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E4DD66" w14:textId="483EBF85" w:rsidR="006C03D0" w:rsidRPr="004A639E" w:rsidRDefault="006C03D0">
      <w:pPr>
        <w:rPr>
          <w:lang w:val="en-GB"/>
        </w:rPr>
      </w:pPr>
    </w:p>
    <w:p w14:paraId="29E4DD67" w14:textId="77777777" w:rsidR="006C03D0" w:rsidRPr="004A639E" w:rsidRDefault="006C03D0" w:rsidP="006C03D0">
      <w:pPr>
        <w:jc w:val="center"/>
        <w:rPr>
          <w:lang w:val="en-GB"/>
        </w:rPr>
      </w:pPr>
    </w:p>
    <w:p w14:paraId="29E4DD68" w14:textId="77777777" w:rsidR="006C03D0" w:rsidRPr="004A639E" w:rsidRDefault="006C03D0" w:rsidP="006C03D0">
      <w:pPr>
        <w:jc w:val="center"/>
        <w:rPr>
          <w:lang w:val="en-GB"/>
        </w:rPr>
      </w:pPr>
    </w:p>
    <w:p w14:paraId="29E4DD69" w14:textId="77777777" w:rsidR="006C03D0" w:rsidRPr="004A639E" w:rsidRDefault="006C03D0" w:rsidP="006C03D0">
      <w:pPr>
        <w:rPr>
          <w:lang w:val="en-GB"/>
        </w:rPr>
      </w:pPr>
    </w:p>
    <w:p w14:paraId="29E4DD6A" w14:textId="77777777" w:rsidR="006C03D0" w:rsidRPr="004A639E" w:rsidRDefault="006C03D0" w:rsidP="006C03D0">
      <w:pPr>
        <w:rPr>
          <w:lang w:val="en-GB"/>
        </w:rPr>
      </w:pPr>
    </w:p>
    <w:p w14:paraId="29E4DD6B" w14:textId="77777777" w:rsidR="006C03D0" w:rsidRPr="004A639E" w:rsidRDefault="007C6571" w:rsidP="006C03D0">
      <w:pPr>
        <w:jc w:val="center"/>
        <w:rPr>
          <w:b/>
          <w:sz w:val="24"/>
          <w:lang w:val="en-GB"/>
        </w:rPr>
      </w:pPr>
      <w:r w:rsidRPr="004A639E">
        <w:rPr>
          <w:b/>
          <w:noProof/>
          <w:sz w:val="24"/>
          <w:szCs w:val="20"/>
          <w:lang w:val="da-DK" w:eastAsia="da-DK"/>
        </w:rPr>
        <mc:AlternateContent>
          <mc:Choice Requires="wpg">
            <w:drawing>
              <wp:anchor distT="0" distB="0" distL="114300" distR="114300" simplePos="0" relativeHeight="251657728" behindDoc="0" locked="0" layoutInCell="1" allowOverlap="1" wp14:anchorId="29E4DE24" wp14:editId="29E4DE25">
                <wp:simplePos x="0" y="0"/>
                <wp:positionH relativeFrom="column">
                  <wp:posOffset>-720090</wp:posOffset>
                </wp:positionH>
                <wp:positionV relativeFrom="paragraph">
                  <wp:posOffset>69850</wp:posOffset>
                </wp:positionV>
                <wp:extent cx="7564120" cy="8268970"/>
                <wp:effectExtent l="0" t="0" r="5080" b="0"/>
                <wp:wrapNone/>
                <wp:docPr id="2"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4120" cy="8268970"/>
                          <a:chOff x="0" y="2700"/>
                          <a:chExt cx="11912" cy="13022"/>
                        </a:xfrm>
                      </wpg:grpSpPr>
                      <wps:wsp>
                        <wps:cNvPr id="5" name="Rectangle 8"/>
                        <wps:cNvSpPr>
                          <a:spLocks noChangeArrowheads="1"/>
                        </wps:cNvSpPr>
                        <wps:spPr bwMode="auto">
                          <a:xfrm>
                            <a:off x="6" y="15439"/>
                            <a:ext cx="11906" cy="283"/>
                          </a:xfrm>
                          <a:prstGeom prst="rect">
                            <a:avLst/>
                          </a:prstGeom>
                          <a:solidFill>
                            <a:srgbClr val="D2232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540000" rIns="72000" bIns="45720" anchor="t" anchorCtr="0" upright="1">
                          <a:noAutofit/>
                        </wps:bodyPr>
                      </wps:wsp>
                      <wps:wsp>
                        <wps:cNvPr id="6" name="Text Box 9"/>
                        <wps:cNvSpPr txBox="1">
                          <a:spLocks noChangeArrowheads="1"/>
                        </wps:cNvSpPr>
                        <wps:spPr bwMode="auto">
                          <a:xfrm>
                            <a:off x="0" y="2700"/>
                            <a:ext cx="11906" cy="2564"/>
                          </a:xfrm>
                          <a:prstGeom prst="rect">
                            <a:avLst/>
                          </a:prstGeom>
                          <a:solidFill>
                            <a:srgbClr val="D2232A"/>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9E4DE36" w14:textId="77777777" w:rsidR="00FC2F33" w:rsidRPr="00FE1795" w:rsidRDefault="00FC2F33" w:rsidP="006C03D0">
                              <w:pPr>
                                <w:rPr>
                                  <w:color w:val="57433E"/>
                                  <w:sz w:val="68"/>
                                </w:rPr>
                              </w:pPr>
                              <w:r w:rsidRPr="00FE1795">
                                <w:rPr>
                                  <w:color w:val="FFFFFF"/>
                                  <w:sz w:val="68"/>
                                </w:rPr>
                                <w:t xml:space="preserve">ECC Decision </w:t>
                              </w:r>
                              <w:r w:rsidRPr="001E2FAA">
                                <w:rPr>
                                  <w:color w:val="887E6E"/>
                                  <w:sz w:val="68"/>
                                </w:rPr>
                                <w:t>(</w:t>
                              </w:r>
                              <w:r w:rsidR="007F7EBF">
                                <w:rPr>
                                  <w:color w:val="887E6E"/>
                                  <w:sz w:val="68"/>
                                </w:rPr>
                                <w:t>19</w:t>
                              </w:r>
                              <w:r w:rsidRPr="001E2FAA">
                                <w:rPr>
                                  <w:color w:val="887E6E"/>
                                  <w:sz w:val="68"/>
                                </w:rPr>
                                <w:t>)</w:t>
                              </w:r>
                              <w:r w:rsidR="00A27333">
                                <w:rPr>
                                  <w:color w:val="887E6E"/>
                                  <w:sz w:val="68"/>
                                </w:rPr>
                                <w:t>03</w:t>
                              </w:r>
                            </w:p>
                          </w:txbxContent>
                        </wps:txbx>
                        <wps:bodyPr rot="0" vert="horz" wrap="square" lIns="2880000" tIns="540000" rIns="72000" bIns="45720" anchor="t" anchorCtr="0" upright="1">
                          <a:noAutofit/>
                        </wps:bodyPr>
                      </wps:wsp>
                      <wpg:grpSp>
                        <wpg:cNvPr id="7" name="Group 26"/>
                        <wpg:cNvGrpSpPr>
                          <a:grpSpLocks/>
                        </wpg:cNvGrpSpPr>
                        <wpg:grpSpPr bwMode="auto">
                          <a:xfrm>
                            <a:off x="1739" y="3125"/>
                            <a:ext cx="1735" cy="1735"/>
                            <a:chOff x="954" y="3125"/>
                            <a:chExt cx="1735" cy="1735"/>
                          </a:xfrm>
                        </wpg:grpSpPr>
                        <wps:wsp>
                          <wps:cNvPr id="8" name="Rectangle 24"/>
                          <wps:cNvSpPr>
                            <a:spLocks noChangeAspect="1" noChangeArrowheads="1"/>
                          </wps:cNvSpPr>
                          <wps:spPr bwMode="auto">
                            <a:xfrm rot="2700000">
                              <a:off x="954" y="3125"/>
                              <a:ext cx="1735" cy="17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540000" rIns="72000" bIns="45720" anchor="t" anchorCtr="0" upright="1">
                            <a:noAutofit/>
                          </wps:bodyPr>
                        </wps:wsp>
                        <wps:wsp>
                          <wps:cNvPr id="9" name="Rectangle 25"/>
                          <wps:cNvSpPr>
                            <a:spLocks noChangeAspect="1" noChangeArrowheads="1"/>
                          </wps:cNvSpPr>
                          <wps:spPr bwMode="auto">
                            <a:xfrm rot="2700000">
                              <a:off x="1241" y="3444"/>
                              <a:ext cx="1126" cy="1126"/>
                            </a:xfrm>
                            <a:prstGeom prst="rect">
                              <a:avLst/>
                            </a:prstGeom>
                            <a:solidFill>
                              <a:srgbClr val="57433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540000" rIns="7200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8" o:spid="_x0000_s1026" style="position:absolute;left:0;text-align:left;margin-left:-56.7pt;margin-top:5.5pt;width:595.6pt;height:651.1pt;z-index:251657728" coordorigin=",2700" coordsize="11912,13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">
                <v:rect id="Rectangle 8" o:spid="_x0000_s1027" style="position:absolute;left:6;top:15439;width:11906;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fQNiMQA&#10;AADaAAAADwAAAGRycy9kb3ducmV2LnhtbESPQWvCQBSE70L/w/KEXkLdtMUg0VWKIObYJnro7ZF9&#10;JsHs2zS7JvHfu4VCj8PMfMNsdpNpxUC9aywreF3EIIhLqxuuFJyKw8sKhPPIGlvLpOBODnbbp9kG&#10;U21H/qIh95UIEHYpKqi971IpXVmTQbewHXHwLrY36IPsK6l7HAPctPItjhNpsOGwUGNH+5rKa34z&#10;ClbJzznJks9mXxyjqLj57PvdZEo9z6ePNQhPk/8P/7UzrWAJv1fCDZDb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H0DYjEAAAA2gAAAA8AAAAAAAAAAAAAAAAAmAIAAGRycy9k&#10;b3ducmV2LnhtbFBLBQYAAAAABAAEAPUAAACJAwAAAAA=&#10;" fillcolor="#d2232a" stroked="f">
                  <v:textbox inset=",15mm,2mm"/>
                </v:rect>
                <v:shapetype id="_x0000_t202" coordsize="21600,21600" o:spt="202" path="m,l,21600r21600,l21600,xe">
                  <v:stroke joinstyle="miter"/>
                  <v:path gradientshapeok="t" o:connecttype="rect"/>
                </v:shapetype>
                <v:shape id="Text Box 9" o:spid="_x0000_s1028" type="#_x0000_t202" style="position:absolute;top:2700;width:11906;height:25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9rnf8MA&#10;AADaAAAADwAAAGRycy9kb3ducmV2LnhtbESPT2vCQBTE7wW/w/IEb3UTCaGmriKKIB4s8c+ht0f2&#10;NQnNvg3Z1cRv7wqFHoeZ+Q2zWA2mEXfqXG1ZQTyNQBAXVtdcKricd+8fIJxH1thYJgUPcrBajt4W&#10;mGnbc073ky9FgLDLUEHlfZtJ6YqKDLqpbYmD92M7gz7IrpS6wz7ATSNnUZRKgzWHhQpb2lRU/J5u&#10;RgHm34djsm3282TztSvjOkZJV6Um42H9CcLT4P/Df+29VpDC60q4AXL5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9rnf8MAAADaAAAADwAAAAAAAAAAAAAAAACYAgAAZHJzL2Rv&#10;d25yZXYueG1sUEsFBgAAAAAEAAQA9QAAAIgDAAAAAA==&#10;" fillcolor="#d2232a" stroked="f">
                  <v:textbox inset="80mm,15mm,2mm">
                    <w:txbxContent>
                      <w:p w14:paraId="29E4DE36" w14:textId="77777777" w:rsidR="00FC2F33" w:rsidRPr="00FE1795" w:rsidRDefault="00FC2F33" w:rsidP="006C03D0">
                        <w:pPr>
                          <w:rPr>
                            <w:color w:val="57433E"/>
                            <w:sz w:val="68"/>
                          </w:rPr>
                        </w:pPr>
                        <w:r w:rsidRPr="00FE1795">
                          <w:rPr>
                            <w:color w:val="FFFFFF"/>
                            <w:sz w:val="68"/>
                          </w:rPr>
                          <w:t xml:space="preserve">ECC Decision </w:t>
                        </w:r>
                        <w:r w:rsidRPr="001E2FAA">
                          <w:rPr>
                            <w:color w:val="887E6E"/>
                            <w:sz w:val="68"/>
                          </w:rPr>
                          <w:t>(</w:t>
                        </w:r>
                        <w:r w:rsidR="007F7EBF">
                          <w:rPr>
                            <w:color w:val="887E6E"/>
                            <w:sz w:val="68"/>
                          </w:rPr>
                          <w:t>19</w:t>
                        </w:r>
                        <w:r w:rsidRPr="001E2FAA">
                          <w:rPr>
                            <w:color w:val="887E6E"/>
                            <w:sz w:val="68"/>
                          </w:rPr>
                          <w:t>)</w:t>
                        </w:r>
                        <w:r w:rsidR="00A27333">
                          <w:rPr>
                            <w:color w:val="887E6E"/>
                            <w:sz w:val="68"/>
                          </w:rPr>
                          <w:t>03</w:t>
                        </w:r>
                      </w:p>
                    </w:txbxContent>
                  </v:textbox>
                </v:shape>
                <v:group id="Group 26" o:spid="_x0000_s1029" style="position:absolute;left:1739;top:3125;width:1735;height:1735" coordorigin="954,3125" coordsize="1735,173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rect id="Rectangle 24" o:spid="_x0000_s1030" style="position:absolute;left:954;top:3125;width:1735;height:1735;rotation: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7aGsAA&#10;AADaAAAADwAAAGRycy9kb3ducmV2LnhtbERPTYvCMBC9L/gfwgheFk31sCvVtIgiFvGiu+p1aMa2&#10;2ExKE23995uDsMfH+16mvanFk1pXWVYwnUQgiHOrKy4U/P5sx3MQziNrrC2Tghc5SJPBxxJjbTs+&#10;0vPkCxFC2MWooPS+iaV0eUkG3cQ2xIG72dagD7AtpG6xC+GmlrMo+pIGKw4NJTa0Lim/nx5GQbRb&#10;7z+zfn45Z92DqDvy92FzVWo07FcLEJ56/y9+uzOtIGwNV8INkMk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E7aGsAAAADaAAAADwAAAAAAAAAAAAAAAACYAgAAZHJzL2Rvd25y&#10;ZXYueG1sUEsFBgAAAAAEAAQA9QAAAIUDAAAAAA==&#10;" stroked="f">
                    <o:lock v:ext="edit" aspectratio="t"/>
                    <v:textbox inset=",15mm,2mm"/>
                  </v:rect>
                  <v:rect id="Rectangle 25" o:spid="_x0000_s1031" style="position:absolute;left:1241;top:3444;width:1126;height:1126;rotation: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fkDsEA&#10;AADaAAAADwAAAGRycy9kb3ducmV2LnhtbESPQYvCMBSE7wv+h/AEL4umq6xobSqyIHhbtCJ4ezTP&#10;trR5qU3U+u83grDHYWa+YZJ1bxpxp85VlhV8TSIQxLnVFRcKjtl2vADhPLLGxjIpeJKDdTr4SDDW&#10;9sF7uh98IQKEXYwKSu/bWEqXl2TQTWxLHLyL7Qz6ILtC6g4fAW4aOY2iuTRYcVgosaWfkvL6cDMK&#10;iL5ni2zaZMjn62dd69Pul4xSo2G/WYHw1Pv/8Lu90wqW8LoSboBM/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4X5A7BAAAA2gAAAA8AAAAAAAAAAAAAAAAAmAIAAGRycy9kb3du&#10;cmV2LnhtbFBLBQYAAAAABAAEAPUAAACGAwAAAAA=&#10;" fillcolor="#57433e" stroked="f">
                    <o:lock v:ext="edit" aspectratio="t"/>
                    <v:textbox inset=",15mm,2mm"/>
                  </v:rect>
                </v:group>
              </v:group>
            </w:pict>
          </mc:Fallback>
        </mc:AlternateContent>
      </w:r>
    </w:p>
    <w:p w14:paraId="29E4DD6C" w14:textId="77777777" w:rsidR="006C03D0" w:rsidRPr="004A639E" w:rsidRDefault="006C03D0" w:rsidP="006C03D0">
      <w:pPr>
        <w:jc w:val="center"/>
        <w:rPr>
          <w:b/>
          <w:sz w:val="24"/>
          <w:lang w:val="en-GB"/>
        </w:rPr>
      </w:pPr>
    </w:p>
    <w:p w14:paraId="29E4DD6D" w14:textId="77777777" w:rsidR="006C03D0" w:rsidRPr="004A639E" w:rsidRDefault="006C03D0" w:rsidP="006C03D0">
      <w:pPr>
        <w:jc w:val="center"/>
        <w:rPr>
          <w:b/>
          <w:sz w:val="24"/>
          <w:lang w:val="en-GB"/>
        </w:rPr>
      </w:pPr>
    </w:p>
    <w:p w14:paraId="29E4DD6E" w14:textId="77777777" w:rsidR="006C03D0" w:rsidRPr="004A639E" w:rsidRDefault="006C03D0" w:rsidP="006C03D0">
      <w:pPr>
        <w:jc w:val="center"/>
        <w:rPr>
          <w:b/>
          <w:sz w:val="24"/>
          <w:lang w:val="en-GB"/>
        </w:rPr>
      </w:pPr>
    </w:p>
    <w:p w14:paraId="29E4DD6F" w14:textId="77777777" w:rsidR="006C03D0" w:rsidRPr="004A639E" w:rsidRDefault="006C03D0" w:rsidP="006C03D0">
      <w:pPr>
        <w:jc w:val="center"/>
        <w:rPr>
          <w:b/>
          <w:sz w:val="24"/>
          <w:lang w:val="en-GB"/>
        </w:rPr>
      </w:pPr>
    </w:p>
    <w:p w14:paraId="29E4DD70" w14:textId="77777777" w:rsidR="006C03D0" w:rsidRPr="004A639E" w:rsidRDefault="006C03D0" w:rsidP="006C03D0">
      <w:pPr>
        <w:jc w:val="center"/>
        <w:rPr>
          <w:b/>
          <w:sz w:val="24"/>
          <w:lang w:val="en-GB"/>
        </w:rPr>
      </w:pPr>
    </w:p>
    <w:p w14:paraId="29E4DD71" w14:textId="77777777" w:rsidR="006C03D0" w:rsidRPr="004A639E" w:rsidRDefault="006C03D0" w:rsidP="006C03D0">
      <w:pPr>
        <w:jc w:val="center"/>
        <w:rPr>
          <w:b/>
          <w:sz w:val="24"/>
          <w:lang w:val="en-GB"/>
        </w:rPr>
      </w:pPr>
    </w:p>
    <w:p w14:paraId="29E4DD72" w14:textId="77777777" w:rsidR="006C03D0" w:rsidRPr="004A639E" w:rsidRDefault="006C03D0" w:rsidP="006C03D0">
      <w:pPr>
        <w:jc w:val="center"/>
        <w:rPr>
          <w:b/>
          <w:sz w:val="24"/>
          <w:lang w:val="en-GB"/>
        </w:rPr>
      </w:pPr>
    </w:p>
    <w:p w14:paraId="29E4DD73" w14:textId="77777777" w:rsidR="006C03D0" w:rsidRPr="004A639E" w:rsidRDefault="006C03D0" w:rsidP="006C03D0">
      <w:pPr>
        <w:jc w:val="center"/>
        <w:rPr>
          <w:b/>
          <w:sz w:val="24"/>
          <w:lang w:val="en-GB"/>
        </w:rPr>
      </w:pPr>
    </w:p>
    <w:p w14:paraId="29E4DD74" w14:textId="77777777" w:rsidR="006C03D0" w:rsidRPr="004A639E" w:rsidRDefault="006C03D0" w:rsidP="006C03D0">
      <w:pPr>
        <w:jc w:val="center"/>
        <w:rPr>
          <w:b/>
          <w:sz w:val="24"/>
          <w:lang w:val="en-GB"/>
        </w:rPr>
      </w:pPr>
    </w:p>
    <w:p w14:paraId="29E4DD75" w14:textId="77777777" w:rsidR="006C03D0" w:rsidRPr="004A639E" w:rsidRDefault="006C03D0" w:rsidP="006C03D0">
      <w:pPr>
        <w:jc w:val="center"/>
        <w:rPr>
          <w:b/>
          <w:sz w:val="24"/>
          <w:lang w:val="en-GB"/>
        </w:rPr>
      </w:pPr>
    </w:p>
    <w:p w14:paraId="29E4DD76" w14:textId="77777777" w:rsidR="006C03D0" w:rsidRPr="004A639E" w:rsidRDefault="006C03D0" w:rsidP="006C03D0">
      <w:pPr>
        <w:rPr>
          <w:b/>
          <w:sz w:val="24"/>
          <w:lang w:val="en-GB"/>
        </w:rPr>
      </w:pPr>
    </w:p>
    <w:p w14:paraId="29E4DD77" w14:textId="77777777" w:rsidR="006C03D0" w:rsidRPr="004A639E" w:rsidRDefault="006C03D0" w:rsidP="006C03D0">
      <w:pPr>
        <w:jc w:val="center"/>
        <w:rPr>
          <w:b/>
          <w:sz w:val="24"/>
          <w:lang w:val="en-GB"/>
        </w:rPr>
      </w:pPr>
    </w:p>
    <w:p w14:paraId="29E4DD78" w14:textId="77777777" w:rsidR="004A639E" w:rsidRPr="005A00E5" w:rsidRDefault="004A639E" w:rsidP="004A639E">
      <w:pPr>
        <w:pStyle w:val="Reporttitledescription"/>
        <w:rPr>
          <w:color w:val="auto"/>
        </w:rPr>
      </w:pPr>
      <w:r>
        <w:rPr>
          <w:color w:val="auto"/>
        </w:rPr>
        <w:fldChar w:fldCharType="begin">
          <w:ffData>
            <w:name w:val="Text7"/>
            <w:enabled/>
            <w:calcOnExit w:val="0"/>
            <w:textInput>
              <w:default w:val="Harmonised usage of the channels of the Radio Regulations Appendix 18 (transmitting frequencies in the VHF maritime mobile band)"/>
            </w:textInput>
          </w:ffData>
        </w:fldChar>
      </w:r>
      <w:bookmarkStart w:id="0" w:name="Text7"/>
      <w:r>
        <w:rPr>
          <w:color w:val="auto"/>
        </w:rPr>
        <w:instrText xml:space="preserve"> FORMTEXT </w:instrText>
      </w:r>
      <w:r>
        <w:rPr>
          <w:color w:val="auto"/>
        </w:rPr>
      </w:r>
      <w:r>
        <w:rPr>
          <w:color w:val="auto"/>
        </w:rPr>
        <w:fldChar w:fldCharType="separate"/>
      </w:r>
      <w:r>
        <w:rPr>
          <w:noProof/>
          <w:color w:val="auto"/>
        </w:rPr>
        <w:t>Harmonised usage of the channels of the Radio Regulations Appendix 18 (transmitting frequencies in the VHF maritime mobile band)</w:t>
      </w:r>
      <w:r>
        <w:rPr>
          <w:color w:val="auto"/>
        </w:rPr>
        <w:fldChar w:fldCharType="end"/>
      </w:r>
      <w:bookmarkEnd w:id="0"/>
      <w:r w:rsidRPr="005A00E5">
        <w:rPr>
          <w:color w:val="auto"/>
        </w:rPr>
        <w:t xml:space="preserve"> </w:t>
      </w:r>
    </w:p>
    <w:p w14:paraId="29E4DD79" w14:textId="2A4627A3" w:rsidR="004A639E" w:rsidRPr="005A00E5" w:rsidRDefault="00AA128E" w:rsidP="004A639E">
      <w:pPr>
        <w:pStyle w:val="Reporttitledescription"/>
        <w:rPr>
          <w:b/>
          <w:color w:val="auto"/>
          <w:sz w:val="18"/>
        </w:rPr>
      </w:pPr>
      <w:r>
        <w:rPr>
          <w:b/>
          <w:color w:val="auto"/>
          <w:sz w:val="18"/>
        </w:rPr>
        <w:fldChar w:fldCharType="begin">
          <w:ffData>
            <w:name w:val="Text8"/>
            <w:enabled/>
            <w:calcOnExit w:val="0"/>
            <w:textInput>
              <w:default w:val="8 March 2019"/>
            </w:textInput>
          </w:ffData>
        </w:fldChar>
      </w:r>
      <w:r>
        <w:rPr>
          <w:b/>
          <w:color w:val="auto"/>
          <w:sz w:val="18"/>
        </w:rPr>
        <w:instrText xml:space="preserve"> </w:instrText>
      </w:r>
      <w:bookmarkStart w:id="1" w:name="Text8"/>
      <w:r>
        <w:rPr>
          <w:b/>
          <w:color w:val="auto"/>
          <w:sz w:val="18"/>
        </w:rPr>
        <w:instrText xml:space="preserve">FORMTEXT </w:instrText>
      </w:r>
      <w:r>
        <w:rPr>
          <w:b/>
          <w:color w:val="auto"/>
          <w:sz w:val="18"/>
        </w:rPr>
      </w:r>
      <w:r>
        <w:rPr>
          <w:b/>
          <w:color w:val="auto"/>
          <w:sz w:val="18"/>
        </w:rPr>
        <w:fldChar w:fldCharType="separate"/>
      </w:r>
      <w:r>
        <w:rPr>
          <w:b/>
          <w:noProof/>
          <w:color w:val="auto"/>
          <w:sz w:val="18"/>
        </w:rPr>
        <w:t>8 March 2019</w:t>
      </w:r>
      <w:r>
        <w:rPr>
          <w:b/>
          <w:color w:val="auto"/>
          <w:sz w:val="18"/>
        </w:rPr>
        <w:fldChar w:fldCharType="end"/>
      </w:r>
      <w:bookmarkEnd w:id="1"/>
    </w:p>
    <w:p w14:paraId="29E4DD7A" w14:textId="77777777" w:rsidR="004A639E" w:rsidRPr="00072B81" w:rsidRDefault="004A639E" w:rsidP="004A639E">
      <w:pPr>
        <w:pStyle w:val="Lastupdated"/>
        <w:rPr>
          <w:b/>
        </w:rPr>
      </w:pPr>
    </w:p>
    <w:p w14:paraId="29E4DD7B" w14:textId="77777777" w:rsidR="006C03D0" w:rsidRPr="0092220A" w:rsidRDefault="00214DEC" w:rsidP="006C03D0">
      <w:pPr>
        <w:pStyle w:val="Heading1"/>
      </w:pPr>
      <w:r w:rsidRPr="0092220A">
        <w:lastRenderedPageBreak/>
        <w:t>explanatory memorandum</w:t>
      </w:r>
    </w:p>
    <w:p w14:paraId="29E4DD7C" w14:textId="77777777" w:rsidR="006C03D0" w:rsidRPr="004A639E" w:rsidRDefault="005770D3" w:rsidP="006C03D0">
      <w:pPr>
        <w:pStyle w:val="Heading2"/>
        <w:rPr>
          <w:lang w:val="en-GB"/>
        </w:rPr>
      </w:pPr>
      <w:r w:rsidRPr="004A639E">
        <w:rPr>
          <w:lang w:val="en-GB"/>
        </w:rPr>
        <w:t>INTRODUCTION</w:t>
      </w:r>
    </w:p>
    <w:p w14:paraId="29E4DD7D" w14:textId="77777777" w:rsidR="006C03D0" w:rsidRPr="0092220A" w:rsidRDefault="007F7EBF" w:rsidP="006C03D0">
      <w:pPr>
        <w:pStyle w:val="ECCParagraph"/>
      </w:pPr>
      <w:r w:rsidRPr="0092220A">
        <w:t xml:space="preserve">The </w:t>
      </w:r>
      <w:r w:rsidR="005770D3" w:rsidRPr="0092220A">
        <w:t xml:space="preserve">ITU Radio Regulations (RR) Appendix 18 </w:t>
      </w:r>
      <w:r w:rsidR="007474B2" w:rsidRPr="004A639E">
        <w:fldChar w:fldCharType="begin"/>
      </w:r>
      <w:r w:rsidR="007474B2" w:rsidRPr="0092220A">
        <w:instrText xml:space="preserve"> REF _Ref516490889 \r \h </w:instrText>
      </w:r>
      <w:r w:rsidR="007474B2" w:rsidRPr="004A639E">
        <w:fldChar w:fldCharType="separate"/>
      </w:r>
      <w:r w:rsidR="00292AC5" w:rsidRPr="0092220A">
        <w:t>[1]</w:t>
      </w:r>
      <w:r w:rsidR="007474B2" w:rsidRPr="004A639E">
        <w:fldChar w:fldCharType="end"/>
      </w:r>
      <w:r w:rsidR="007474B2" w:rsidRPr="0092220A">
        <w:t xml:space="preserve"> </w:t>
      </w:r>
      <w:r w:rsidR="005770D3" w:rsidRPr="0092220A">
        <w:t xml:space="preserve">lists the frequencies in the VHF maritime mobile band. </w:t>
      </w:r>
      <w:r w:rsidRPr="0092220A">
        <w:t xml:space="preserve">The </w:t>
      </w:r>
      <w:r w:rsidR="00D11652" w:rsidRPr="0092220A">
        <w:t>World Radiocommunication</w:t>
      </w:r>
      <w:r w:rsidR="00DE022D" w:rsidRPr="0092220A">
        <w:t xml:space="preserve"> </w:t>
      </w:r>
      <w:r w:rsidR="00D11652" w:rsidRPr="0092220A">
        <w:t>Conference-2012 (</w:t>
      </w:r>
      <w:r w:rsidR="00214DEC" w:rsidRPr="0092220A">
        <w:t>WRC-12</w:t>
      </w:r>
      <w:r w:rsidR="00D11652" w:rsidRPr="0092220A">
        <w:t>)</w:t>
      </w:r>
      <w:r w:rsidR="00214DEC" w:rsidRPr="0092220A">
        <w:t xml:space="preserve"> and </w:t>
      </w:r>
      <w:r w:rsidRPr="0092220A">
        <w:t xml:space="preserve">the </w:t>
      </w:r>
      <w:r w:rsidR="00D11652" w:rsidRPr="0092220A">
        <w:t>World Radiocommunication Conference-2015 (</w:t>
      </w:r>
      <w:r w:rsidR="00214DEC" w:rsidRPr="0092220A">
        <w:t>WRC-15</w:t>
      </w:r>
      <w:r w:rsidR="00D11652" w:rsidRPr="0092220A">
        <w:t>)</w:t>
      </w:r>
      <w:r w:rsidR="00214DEC" w:rsidRPr="0092220A">
        <w:t xml:space="preserve"> decided to implement digital data exchange</w:t>
      </w:r>
      <w:r w:rsidR="00195593" w:rsidRPr="0092220A">
        <w:t xml:space="preserve"> for the maritime mobile service</w:t>
      </w:r>
      <w:r w:rsidR="00214DEC" w:rsidRPr="0092220A">
        <w:t xml:space="preserve"> into the VHF maritime mobile band. The implementation of digital data exchange in </w:t>
      </w:r>
      <w:r w:rsidR="0004444A" w:rsidRPr="0092220A">
        <w:t xml:space="preserve">RR </w:t>
      </w:r>
      <w:r w:rsidR="00214DEC" w:rsidRPr="0092220A">
        <w:t>Appendix 18 leads to a new understanding of the related devices.</w:t>
      </w:r>
      <w:r w:rsidR="005770D3" w:rsidRPr="0092220A">
        <w:t xml:space="preserve"> With the exception</w:t>
      </w:r>
      <w:r w:rsidR="00381F49" w:rsidRPr="0092220A">
        <w:t xml:space="preserve"> of </w:t>
      </w:r>
      <w:r w:rsidR="00DE022D" w:rsidRPr="0092220A">
        <w:t>the a</w:t>
      </w:r>
      <w:r w:rsidR="002D3591" w:rsidRPr="0092220A">
        <w:t xml:space="preserve">utomatic </w:t>
      </w:r>
      <w:r w:rsidR="00DE022D" w:rsidRPr="0092220A">
        <w:t>i</w:t>
      </w:r>
      <w:r w:rsidR="002D3591" w:rsidRPr="0092220A">
        <w:t xml:space="preserve">dentification </w:t>
      </w:r>
      <w:r w:rsidR="00DE022D" w:rsidRPr="0092220A">
        <w:t>s</w:t>
      </w:r>
      <w:r w:rsidR="002D3591" w:rsidRPr="0092220A">
        <w:t>ystem</w:t>
      </w:r>
      <w:r w:rsidR="00381F49" w:rsidRPr="0092220A">
        <w:t xml:space="preserve"> (AIS)</w:t>
      </w:r>
      <w:r w:rsidR="002D3591" w:rsidRPr="0092220A">
        <w:t xml:space="preserve"> </w:t>
      </w:r>
      <w:r w:rsidR="00381F49" w:rsidRPr="0092220A">
        <w:t xml:space="preserve">on channels </w:t>
      </w:r>
      <w:r w:rsidR="005770D3" w:rsidRPr="0092220A">
        <w:t>AIS1 (161.975 MHz) and AIS2 (162.025 MHz)</w:t>
      </w:r>
      <w:r w:rsidR="00381F49" w:rsidRPr="0092220A">
        <w:t xml:space="preserve"> and digital selective calling (DSC)</w:t>
      </w:r>
      <w:r w:rsidR="005770D3" w:rsidRPr="0092220A">
        <w:t xml:space="preserve">, </w:t>
      </w:r>
      <w:r w:rsidR="00195593" w:rsidRPr="0092220A">
        <w:t xml:space="preserve">currently </w:t>
      </w:r>
      <w:r w:rsidR="005770D3" w:rsidRPr="0092220A">
        <w:t xml:space="preserve">all </w:t>
      </w:r>
      <w:r w:rsidR="00195593" w:rsidRPr="0092220A">
        <w:t xml:space="preserve">the remaining </w:t>
      </w:r>
      <w:r w:rsidR="005770D3" w:rsidRPr="0092220A">
        <w:t xml:space="preserve">listed channels are used for </w:t>
      </w:r>
      <w:r w:rsidR="00195593" w:rsidRPr="0092220A">
        <w:t xml:space="preserve">analogue </w:t>
      </w:r>
      <w:r w:rsidR="005770D3" w:rsidRPr="0092220A">
        <w:t xml:space="preserve">voice communication. With the digital data exchange </w:t>
      </w:r>
      <w:r w:rsidR="00381F49" w:rsidRPr="0092220A">
        <w:t xml:space="preserve">allocations </w:t>
      </w:r>
      <w:r w:rsidR="000F639A" w:rsidRPr="0092220A">
        <w:t>in future</w:t>
      </w:r>
      <w:r w:rsidR="009A071C">
        <w:t>,</w:t>
      </w:r>
      <w:r w:rsidR="000F639A" w:rsidRPr="0092220A">
        <w:t xml:space="preserve"> </w:t>
      </w:r>
      <w:r w:rsidR="005770D3" w:rsidRPr="0092220A">
        <w:t>some channels will be used for data transfer and not for voice communication any longer. New digital radios</w:t>
      </w:r>
      <w:r w:rsidR="004D4FEC" w:rsidRPr="0092220A">
        <w:t xml:space="preserve"> need</w:t>
      </w:r>
      <w:r w:rsidR="005770D3" w:rsidRPr="0092220A">
        <w:t xml:space="preserve"> to be developed, which </w:t>
      </w:r>
      <w:r w:rsidR="00EF0D38" w:rsidRPr="0092220A">
        <w:t>is</w:t>
      </w:r>
      <w:r w:rsidR="005770D3" w:rsidRPr="0092220A">
        <w:t xml:space="preserve"> different equipment than the current voice communication radios. As the result</w:t>
      </w:r>
      <w:r w:rsidR="004A639E">
        <w:t>,</w:t>
      </w:r>
      <w:r w:rsidR="005770D3" w:rsidRPr="0092220A">
        <w:t xml:space="preserve"> the frequencies in the VHF maritime mobile band will be shared by</w:t>
      </w:r>
      <w:r w:rsidR="00381F49" w:rsidRPr="0092220A">
        <w:t xml:space="preserve"> four</w:t>
      </w:r>
      <w:r w:rsidR="005770D3" w:rsidRPr="0092220A">
        <w:t xml:space="preserve"> different systems: analogue voice telephony, </w:t>
      </w:r>
      <w:r w:rsidR="00381F49" w:rsidRPr="0092220A">
        <w:t xml:space="preserve">DSC, </w:t>
      </w:r>
      <w:r w:rsidR="00E5524A" w:rsidRPr="0092220A">
        <w:t>AIS and digital data exchange.</w:t>
      </w:r>
    </w:p>
    <w:p w14:paraId="29E4DD7E" w14:textId="77777777" w:rsidR="00E5524A" w:rsidRPr="0092220A" w:rsidRDefault="004D4FEC" w:rsidP="006C03D0">
      <w:pPr>
        <w:pStyle w:val="ECCParagraph"/>
      </w:pPr>
      <w:r w:rsidRPr="0092220A">
        <w:t>Analogue voice telephony</w:t>
      </w:r>
      <w:r w:rsidR="00E5524A" w:rsidRPr="0092220A">
        <w:t xml:space="preserve"> </w:t>
      </w:r>
      <w:r w:rsidRPr="0092220A">
        <w:t xml:space="preserve">is the most important </w:t>
      </w:r>
      <w:r w:rsidR="001B0CC6" w:rsidRPr="0092220A">
        <w:t>form of communication in the maritime mobile s</w:t>
      </w:r>
      <w:r w:rsidRPr="0092220A">
        <w:t xml:space="preserve">ervice </w:t>
      </w:r>
      <w:r w:rsidR="00A70906" w:rsidRPr="0092220A">
        <w:t xml:space="preserve">as a safety </w:t>
      </w:r>
      <w:r w:rsidR="003872C3" w:rsidRPr="0092220A">
        <w:t xml:space="preserve">related </w:t>
      </w:r>
      <w:r w:rsidR="00A70906" w:rsidRPr="0092220A">
        <w:t xml:space="preserve">service, </w:t>
      </w:r>
      <w:r w:rsidR="001B0CC6" w:rsidRPr="0092220A">
        <w:t xml:space="preserve">including port operations service and ship movement service. </w:t>
      </w:r>
      <w:r w:rsidR="00195593" w:rsidRPr="0092220A">
        <w:t xml:space="preserve">DSC is used for distress alerts, urgency and safety announcements and routine calls. </w:t>
      </w:r>
      <w:r w:rsidR="00D42334" w:rsidRPr="0092220A">
        <w:t xml:space="preserve">The </w:t>
      </w:r>
      <w:r w:rsidR="00847788" w:rsidRPr="0092220A">
        <w:t xml:space="preserve">AIS is a collision avoidance system to enhance </w:t>
      </w:r>
      <w:r w:rsidR="007F7EBF" w:rsidRPr="0092220A">
        <w:t xml:space="preserve">the </w:t>
      </w:r>
      <w:r w:rsidR="00847788" w:rsidRPr="0092220A">
        <w:t xml:space="preserve">safety of navigation. </w:t>
      </w:r>
      <w:r w:rsidR="005E467D" w:rsidRPr="0092220A">
        <w:t>Recommendation ITU-R M.1371</w:t>
      </w:r>
      <w:r w:rsidR="00D42334" w:rsidRPr="0092220A">
        <w:t xml:space="preserve"> </w:t>
      </w:r>
      <w:r w:rsidR="00BF505B">
        <w:fldChar w:fldCharType="begin"/>
      </w:r>
      <w:r w:rsidR="00BF505B">
        <w:instrText xml:space="preserve"> REF _Ref531174452 \r \h </w:instrText>
      </w:r>
      <w:r w:rsidR="00BF505B">
        <w:fldChar w:fldCharType="separate"/>
      </w:r>
      <w:r w:rsidR="00BF505B">
        <w:t>[5]</w:t>
      </w:r>
      <w:r w:rsidR="00BF505B">
        <w:fldChar w:fldCharType="end"/>
      </w:r>
      <w:r w:rsidR="005E467D" w:rsidRPr="0092220A">
        <w:t xml:space="preserve"> includes technical characteristics for </w:t>
      </w:r>
      <w:r w:rsidR="0093530E" w:rsidRPr="0092220A">
        <w:t>AIS</w:t>
      </w:r>
      <w:r w:rsidR="005E467D" w:rsidRPr="0092220A">
        <w:t xml:space="preserve"> using time-division multiple access in the VHF maritime mobile band</w:t>
      </w:r>
      <w:r w:rsidR="0093530E" w:rsidRPr="0092220A">
        <w:t>.</w:t>
      </w:r>
    </w:p>
    <w:p w14:paraId="29E4DD7F" w14:textId="77777777" w:rsidR="000A7D5B" w:rsidRPr="0092220A" w:rsidRDefault="00DC1E58" w:rsidP="000A7D5B">
      <w:pPr>
        <w:pStyle w:val="ECCParagraph"/>
      </w:pPr>
      <w:r w:rsidRPr="0092220A">
        <w:t>The</w:t>
      </w:r>
      <w:r w:rsidR="00F12CEA" w:rsidRPr="0092220A">
        <w:t xml:space="preserve"> </w:t>
      </w:r>
      <w:r w:rsidR="00847788" w:rsidRPr="0092220A">
        <w:t>implementation dates of 1</w:t>
      </w:r>
      <w:r w:rsidR="00F12CEA" w:rsidRPr="0092220A">
        <w:t xml:space="preserve"> </w:t>
      </w:r>
      <w:r w:rsidR="00847788" w:rsidRPr="0092220A">
        <w:t>January 2017 and 1 January 2019</w:t>
      </w:r>
      <w:r w:rsidR="00F12CEA" w:rsidRPr="0092220A">
        <w:t xml:space="preserve"> </w:t>
      </w:r>
      <w:r w:rsidR="009D6838" w:rsidRPr="0092220A">
        <w:t xml:space="preserve">in </w:t>
      </w:r>
      <w:r w:rsidR="0004444A" w:rsidRPr="0092220A">
        <w:t xml:space="preserve">RR </w:t>
      </w:r>
      <w:r w:rsidR="009D6838" w:rsidRPr="0092220A">
        <w:t>App</w:t>
      </w:r>
      <w:r w:rsidR="00DE022D" w:rsidRPr="0092220A">
        <w:t xml:space="preserve">endix </w:t>
      </w:r>
      <w:r w:rsidR="009D6838" w:rsidRPr="0092220A">
        <w:t xml:space="preserve">18 </w:t>
      </w:r>
      <w:r w:rsidRPr="0092220A">
        <w:t xml:space="preserve">decided by WRC-12 and WRC-15 </w:t>
      </w:r>
      <w:r w:rsidR="00414A24" w:rsidRPr="0092220A">
        <w:t xml:space="preserve">gave </w:t>
      </w:r>
      <w:r w:rsidRPr="0092220A">
        <w:t>the possibility of</w:t>
      </w:r>
      <w:r w:rsidR="00F12CEA" w:rsidRPr="0092220A">
        <w:t xml:space="preserve"> digital data exchange</w:t>
      </w:r>
      <w:r w:rsidRPr="0092220A">
        <w:t xml:space="preserve"> in the VHF maritime mobile band</w:t>
      </w:r>
      <w:r w:rsidR="00414A24" w:rsidRPr="0092220A">
        <w:t xml:space="preserve"> and</w:t>
      </w:r>
      <w:r w:rsidR="00F12CEA" w:rsidRPr="0092220A">
        <w:t xml:space="preserve"> </w:t>
      </w:r>
      <w:r w:rsidRPr="0092220A">
        <w:t xml:space="preserve">created confusion </w:t>
      </w:r>
      <w:r w:rsidR="00414A24" w:rsidRPr="0092220A">
        <w:t>about the use</w:t>
      </w:r>
      <w:r w:rsidRPr="0092220A">
        <w:t xml:space="preserve"> of VHF channels</w:t>
      </w:r>
      <w:r w:rsidR="000A7D5B" w:rsidRPr="0092220A">
        <w:t>.</w:t>
      </w:r>
      <w:r w:rsidRPr="0092220A">
        <w:t xml:space="preserve"> </w:t>
      </w:r>
      <w:r w:rsidR="009D6838" w:rsidRPr="0092220A">
        <w:t>As a result</w:t>
      </w:r>
      <w:r w:rsidR="004A639E">
        <w:t>,</w:t>
      </w:r>
      <w:r w:rsidR="009D6838" w:rsidRPr="0092220A">
        <w:t xml:space="preserve"> some </w:t>
      </w:r>
      <w:r w:rsidR="000A7D5B" w:rsidRPr="0092220A">
        <w:t xml:space="preserve">manufacturers </w:t>
      </w:r>
      <w:r w:rsidR="00A70906" w:rsidRPr="0092220A">
        <w:t xml:space="preserve">already </w:t>
      </w:r>
      <w:r w:rsidR="009D6838" w:rsidRPr="0092220A">
        <w:t xml:space="preserve">placed </w:t>
      </w:r>
      <w:r w:rsidR="000A7D5B" w:rsidRPr="0092220A">
        <w:t xml:space="preserve">VHF </w:t>
      </w:r>
      <w:r w:rsidR="00CE6B91" w:rsidRPr="0092220A">
        <w:t xml:space="preserve">equipment for </w:t>
      </w:r>
      <w:r w:rsidR="000A7D5B" w:rsidRPr="0092220A">
        <w:t xml:space="preserve">analogue voice telephony </w:t>
      </w:r>
      <w:r w:rsidR="00CE6B91" w:rsidRPr="0092220A">
        <w:t xml:space="preserve">on the market </w:t>
      </w:r>
      <w:r w:rsidR="009D6838" w:rsidRPr="0092220A">
        <w:t>that does not allow the user to select</w:t>
      </w:r>
      <w:r w:rsidR="000A7D5B" w:rsidRPr="0092220A">
        <w:t xml:space="preserve"> channels which are currently assigned for port operations services and ship movement services</w:t>
      </w:r>
      <w:r w:rsidR="00CE6B91" w:rsidRPr="0092220A">
        <w:t xml:space="preserve"> by administrations</w:t>
      </w:r>
      <w:r w:rsidR="000A7D5B" w:rsidRPr="0092220A">
        <w:t xml:space="preserve">. This interruption of voice communication </w:t>
      </w:r>
      <w:r w:rsidR="00E20724" w:rsidRPr="0092220A">
        <w:t>between a vessel traffic centre and a vessel might lead to dangerous traffic situations.</w:t>
      </w:r>
    </w:p>
    <w:p w14:paraId="29E4DD80" w14:textId="075EB3DF" w:rsidR="00E84CAB" w:rsidRPr="0092220A" w:rsidRDefault="00AC5077" w:rsidP="00E84CAB">
      <w:pPr>
        <w:pStyle w:val="ECCParagraph"/>
      </w:pPr>
      <w:r w:rsidRPr="0092220A">
        <w:t>The</w:t>
      </w:r>
      <w:r w:rsidR="00E20724" w:rsidRPr="0092220A">
        <w:t xml:space="preserve"> </w:t>
      </w:r>
      <w:r w:rsidRPr="0092220A">
        <w:t>risk of dangerous traffic situations based on</w:t>
      </w:r>
      <w:r w:rsidR="009D6838" w:rsidRPr="0092220A">
        <w:t xml:space="preserve"> different</w:t>
      </w:r>
      <w:r w:rsidRPr="0092220A">
        <w:t xml:space="preserve"> interpretation of </w:t>
      </w:r>
      <w:r w:rsidR="00A70906" w:rsidRPr="0092220A">
        <w:t xml:space="preserve">the </w:t>
      </w:r>
      <w:r w:rsidRPr="0092220A">
        <w:t xml:space="preserve">footnotes of </w:t>
      </w:r>
      <w:r w:rsidR="0004444A" w:rsidRPr="0092220A">
        <w:t xml:space="preserve">RR </w:t>
      </w:r>
      <w:r w:rsidRPr="0092220A">
        <w:t>Appendix 18 was also recogni</w:t>
      </w:r>
      <w:r w:rsidR="007F7EBF" w:rsidRPr="0092220A">
        <w:t>s</w:t>
      </w:r>
      <w:r w:rsidRPr="0092220A">
        <w:t xml:space="preserve">ed by the International Maritime Organization (IMO). </w:t>
      </w:r>
      <w:r w:rsidR="00831A70" w:rsidRPr="0092220A">
        <w:t xml:space="preserve">The Maritime Safety Committee (MSC) of </w:t>
      </w:r>
      <w:r w:rsidRPr="0092220A">
        <w:t xml:space="preserve">IMO decided in </w:t>
      </w:r>
      <w:r w:rsidR="00E84CAB" w:rsidRPr="0092220A">
        <w:t>its</w:t>
      </w:r>
      <w:r w:rsidR="00831A70" w:rsidRPr="0092220A">
        <w:t xml:space="preserve"> 98</w:t>
      </w:r>
      <w:r w:rsidR="00831A70" w:rsidRPr="0092220A">
        <w:rPr>
          <w:vertAlign w:val="superscript"/>
        </w:rPr>
        <w:t>th</w:t>
      </w:r>
      <w:r w:rsidR="00831A70" w:rsidRPr="0092220A">
        <w:t xml:space="preserve"> session in June 2017</w:t>
      </w:r>
      <w:r w:rsidR="00D42334" w:rsidRPr="0092220A">
        <w:t xml:space="preserve"> </w:t>
      </w:r>
      <w:r w:rsidR="006F7A32" w:rsidRPr="0092220A">
        <w:rPr>
          <w:i/>
        </w:rPr>
        <w:t>”</w:t>
      </w:r>
      <w:r w:rsidR="00414A24" w:rsidRPr="0092220A">
        <w:rPr>
          <w:i/>
        </w:rPr>
        <w:t>that VHF equipment, without prejudice to the arrangements contained in appendix 18 of the RR, should be updated so that following the first radio survey after 1 January 2024, at the earliest, it meets the arrangements which will be in force by then.</w:t>
      </w:r>
      <w:r w:rsidR="006F7A32" w:rsidRPr="0092220A">
        <w:rPr>
          <w:i/>
        </w:rPr>
        <w:t>”</w:t>
      </w:r>
      <w:r w:rsidR="00414A24" w:rsidRPr="0092220A">
        <w:t xml:space="preserve"> This </w:t>
      </w:r>
      <w:r w:rsidR="00D46041" w:rsidRPr="0092220A">
        <w:t>ensures the</w:t>
      </w:r>
      <w:r w:rsidR="00E84CAB" w:rsidRPr="0092220A">
        <w:t xml:space="preserve"> GMDSS </w:t>
      </w:r>
      <w:r w:rsidR="00CE3731" w:rsidRPr="0092220A">
        <w:t xml:space="preserve">(Global Maritime Distress and Safety System) </w:t>
      </w:r>
      <w:r w:rsidR="00E84CAB" w:rsidRPr="0092220A">
        <w:t>communication capability and the availability of appropriate GMDSS radiocommunication equipment</w:t>
      </w:r>
      <w:r w:rsidR="00414A24" w:rsidRPr="0092220A">
        <w:t xml:space="preserve">. </w:t>
      </w:r>
      <w:r w:rsidR="00E84CAB" w:rsidRPr="0092220A">
        <w:t>This ECC Decision</w:t>
      </w:r>
      <w:r w:rsidR="0073287B" w:rsidRPr="0092220A">
        <w:t xml:space="preserve"> </w:t>
      </w:r>
      <w:r w:rsidR="0064589F" w:rsidRPr="0092220A">
        <w:t xml:space="preserve">is intended to </w:t>
      </w:r>
      <w:r w:rsidR="0073287B" w:rsidRPr="0092220A">
        <w:t xml:space="preserve">give </w:t>
      </w:r>
      <w:r w:rsidR="00B956D4" w:rsidRPr="0092220A">
        <w:t>guid</w:t>
      </w:r>
      <w:r w:rsidR="00414A24" w:rsidRPr="0092220A">
        <w:t xml:space="preserve">ance </w:t>
      </w:r>
      <w:r w:rsidR="0073287B" w:rsidRPr="0092220A">
        <w:t xml:space="preserve">to manufacturers, retailers and users throughout </w:t>
      </w:r>
      <w:r w:rsidR="00D93425" w:rsidRPr="0092220A">
        <w:t>CEPT countries</w:t>
      </w:r>
      <w:r w:rsidR="0073287B" w:rsidRPr="0092220A">
        <w:t xml:space="preserve">, that </w:t>
      </w:r>
      <w:r w:rsidR="0002202D" w:rsidRPr="0092220A">
        <w:t xml:space="preserve">the implementation of digital data exchange into the VHF maritime mobile band </w:t>
      </w:r>
      <w:r w:rsidR="0073287B" w:rsidRPr="0092220A">
        <w:t xml:space="preserve">should take place in </w:t>
      </w:r>
      <w:r w:rsidR="00D93425" w:rsidRPr="0092220A">
        <w:t xml:space="preserve">CEPT countries </w:t>
      </w:r>
      <w:r w:rsidR="0073287B" w:rsidRPr="0092220A">
        <w:t>within a common timeframe.</w:t>
      </w:r>
    </w:p>
    <w:p w14:paraId="29E4DD81" w14:textId="77777777" w:rsidR="003872C3" w:rsidRPr="0092220A" w:rsidRDefault="003872C3" w:rsidP="003872C3">
      <w:pPr>
        <w:pStyle w:val="ECCParagraph"/>
      </w:pPr>
      <w:r w:rsidRPr="0092220A">
        <w:t>Furthermore</w:t>
      </w:r>
      <w:r w:rsidR="004A639E">
        <w:t>,</w:t>
      </w:r>
      <w:r w:rsidRPr="0092220A">
        <w:t xml:space="preserve"> </w:t>
      </w:r>
      <w:r w:rsidR="0064589F" w:rsidRPr="0092220A">
        <w:t xml:space="preserve">this ECC Decision </w:t>
      </w:r>
      <w:r w:rsidR="00B956D4" w:rsidRPr="0092220A">
        <w:t>give</w:t>
      </w:r>
      <w:r w:rsidR="00377464" w:rsidRPr="0092220A">
        <w:t>s</w:t>
      </w:r>
      <w:r w:rsidR="00B956D4" w:rsidRPr="0092220A">
        <w:t xml:space="preserve"> guid</w:t>
      </w:r>
      <w:r w:rsidR="00414A24" w:rsidRPr="0092220A">
        <w:t xml:space="preserve">ance </w:t>
      </w:r>
      <w:r w:rsidR="00B956D4" w:rsidRPr="0092220A">
        <w:t xml:space="preserve">for </w:t>
      </w:r>
      <w:r w:rsidRPr="0092220A">
        <w:t xml:space="preserve">the harmonised usage of the RR Appendix 18 for the terrestrial component of the VHF </w:t>
      </w:r>
      <w:r w:rsidR="00D42334" w:rsidRPr="0092220A">
        <w:t>d</w:t>
      </w:r>
      <w:r w:rsidRPr="0092220A">
        <w:t xml:space="preserve">ata </w:t>
      </w:r>
      <w:r w:rsidR="00D42334" w:rsidRPr="0092220A">
        <w:t>e</w:t>
      </w:r>
      <w:r w:rsidRPr="0092220A">
        <w:t xml:space="preserve">xchange </w:t>
      </w:r>
      <w:r w:rsidR="00D42334" w:rsidRPr="0092220A">
        <w:t>s</w:t>
      </w:r>
      <w:r w:rsidRPr="0092220A">
        <w:t>ystems (VDES).</w:t>
      </w:r>
    </w:p>
    <w:p w14:paraId="29E4DD82" w14:textId="11B3D6A8" w:rsidR="003872C3" w:rsidRPr="0092220A" w:rsidRDefault="003872C3" w:rsidP="003872C3">
      <w:pPr>
        <w:pStyle w:val="ECCParagraph"/>
      </w:pPr>
      <w:r w:rsidRPr="0092220A">
        <w:t>The VDES has data communications capa</w:t>
      </w:r>
      <w:r w:rsidR="00414A24" w:rsidRPr="0092220A">
        <w:t xml:space="preserve">bility </w:t>
      </w:r>
      <w:r w:rsidRPr="0092220A">
        <w:t xml:space="preserve">and technical characteristics that </w:t>
      </w:r>
      <w:r w:rsidR="00414A24" w:rsidRPr="0092220A">
        <w:t xml:space="preserve">have the potential to </w:t>
      </w:r>
      <w:r w:rsidRPr="0092220A">
        <w:t>support the harmoni</w:t>
      </w:r>
      <w:r w:rsidR="007F7EBF" w:rsidRPr="0092220A">
        <w:t>s</w:t>
      </w:r>
      <w:r w:rsidRPr="0092220A">
        <w:t>ed collection, integration, exchange, presentation and analysis of marine information on board and ashore by electronic means to enhance berth</w:t>
      </w:r>
      <w:r w:rsidR="004A639E">
        <w:t>-</w:t>
      </w:r>
      <w:r w:rsidRPr="0092220A">
        <w:t>to</w:t>
      </w:r>
      <w:r w:rsidR="004A639E">
        <w:t>-</w:t>
      </w:r>
      <w:r w:rsidRPr="0092220A">
        <w:t>berth navigation and related services for safety and security at sea and protection of the marine environment.</w:t>
      </w:r>
    </w:p>
    <w:p w14:paraId="29E4DD83" w14:textId="77777777" w:rsidR="006C03D0" w:rsidRPr="004A639E" w:rsidRDefault="005F7AD5" w:rsidP="006C03D0">
      <w:pPr>
        <w:pStyle w:val="Heading2"/>
        <w:rPr>
          <w:lang w:val="en-GB"/>
        </w:rPr>
      </w:pPr>
      <w:r w:rsidRPr="004A639E">
        <w:rPr>
          <w:lang w:val="en-GB"/>
        </w:rPr>
        <w:t xml:space="preserve">BACKGROUND </w:t>
      </w:r>
    </w:p>
    <w:p w14:paraId="29E4DD84" w14:textId="77777777" w:rsidR="00D11652" w:rsidRPr="0092220A" w:rsidRDefault="00D11652" w:rsidP="00D11652">
      <w:pPr>
        <w:pStyle w:val="ECCParagraph"/>
      </w:pPr>
      <w:r w:rsidRPr="0092220A">
        <w:t>WRC-15 has identified the frequency bands corresponding to channels: 24, 84, 25, 85, 26 and 86 of RR Appendix 18</w:t>
      </w:r>
      <w:r w:rsidR="007474B2" w:rsidRPr="0092220A">
        <w:t xml:space="preserve"> </w:t>
      </w:r>
      <w:r w:rsidR="007474B2" w:rsidRPr="004A639E">
        <w:fldChar w:fldCharType="begin"/>
      </w:r>
      <w:r w:rsidR="007474B2" w:rsidRPr="0092220A">
        <w:instrText xml:space="preserve"> REF _Ref516490889 \r \h </w:instrText>
      </w:r>
      <w:r w:rsidR="007474B2" w:rsidRPr="004A639E">
        <w:fldChar w:fldCharType="separate"/>
      </w:r>
      <w:r w:rsidR="00292AC5" w:rsidRPr="0092220A">
        <w:t>[1]</w:t>
      </w:r>
      <w:r w:rsidR="007474B2" w:rsidRPr="004A639E">
        <w:fldChar w:fldCharType="end"/>
      </w:r>
      <w:r w:rsidR="00C04058" w:rsidRPr="0092220A">
        <w:t xml:space="preserve"> </w:t>
      </w:r>
      <w:r w:rsidRPr="0092220A">
        <w:t>for the utilisation of the VDES described in the most recent version of Recommendation ITU-R M.2092</w:t>
      </w:r>
      <w:r w:rsidR="007474B2" w:rsidRPr="0092220A">
        <w:t xml:space="preserve"> </w:t>
      </w:r>
      <w:r w:rsidR="007474B2" w:rsidRPr="004A639E">
        <w:fldChar w:fldCharType="begin"/>
      </w:r>
      <w:r w:rsidR="007474B2" w:rsidRPr="0092220A">
        <w:instrText xml:space="preserve"> REF _Ref516491054 \r \h </w:instrText>
      </w:r>
      <w:r w:rsidR="007474B2" w:rsidRPr="004A639E">
        <w:fldChar w:fldCharType="separate"/>
      </w:r>
      <w:r w:rsidR="00292AC5" w:rsidRPr="0092220A">
        <w:t>[3]</w:t>
      </w:r>
      <w:r w:rsidR="007474B2" w:rsidRPr="004A639E">
        <w:fldChar w:fldCharType="end"/>
      </w:r>
      <w:r w:rsidRPr="0092220A">
        <w:t xml:space="preserve">. </w:t>
      </w:r>
      <w:r w:rsidR="008266AE" w:rsidRPr="0092220A">
        <w:t>Only t</w:t>
      </w:r>
      <w:r w:rsidRPr="0092220A">
        <w:t xml:space="preserve">hese channels </w:t>
      </w:r>
      <w:r w:rsidR="008266AE" w:rsidRPr="0092220A">
        <w:t>are available for a global usage</w:t>
      </w:r>
      <w:r w:rsidRPr="0092220A">
        <w:t xml:space="preserve"> for the terrestrial component of the VDES.</w:t>
      </w:r>
    </w:p>
    <w:p w14:paraId="29E4DD85" w14:textId="77777777" w:rsidR="00D11652" w:rsidRPr="0092220A" w:rsidRDefault="002C2EFB" w:rsidP="00D11652">
      <w:pPr>
        <w:pStyle w:val="ECCParagraph"/>
      </w:pPr>
      <w:r w:rsidRPr="0092220A">
        <w:lastRenderedPageBreak/>
        <w:t xml:space="preserve">For </w:t>
      </w:r>
      <w:r w:rsidR="007474B2" w:rsidRPr="0092220A">
        <w:t xml:space="preserve">ITU </w:t>
      </w:r>
      <w:r w:rsidRPr="0092220A">
        <w:t>Regions 1 and 3</w:t>
      </w:r>
      <w:r w:rsidR="00D42334" w:rsidRPr="0092220A">
        <w:t>,</w:t>
      </w:r>
      <w:r w:rsidRPr="0092220A">
        <w:t xml:space="preserve"> </w:t>
      </w:r>
      <w:r w:rsidR="00D11652" w:rsidRPr="0092220A">
        <w:t xml:space="preserve">WRC-15 also identified the frequency bands corresponding to channels: 80, 21, 81, 22, 82, 23 and 83 for </w:t>
      </w:r>
      <w:r w:rsidR="00D42334" w:rsidRPr="0092220A">
        <w:t xml:space="preserve">the </w:t>
      </w:r>
      <w:r w:rsidR="00D11652" w:rsidRPr="0092220A">
        <w:t xml:space="preserve">utilisation of the digital systems </w:t>
      </w:r>
      <w:r w:rsidR="004D670C" w:rsidRPr="0092220A">
        <w:t xml:space="preserve">as </w:t>
      </w:r>
      <w:r w:rsidR="00D11652" w:rsidRPr="0092220A">
        <w:t>described in the most recent version of Recommendation ITU-R M.1842</w:t>
      </w:r>
      <w:r w:rsidR="007474B2" w:rsidRPr="0092220A">
        <w:t xml:space="preserve"> </w:t>
      </w:r>
      <w:r w:rsidR="007474B2" w:rsidRPr="004A639E">
        <w:fldChar w:fldCharType="begin"/>
      </w:r>
      <w:r w:rsidR="007474B2" w:rsidRPr="0092220A">
        <w:instrText xml:space="preserve"> REF _Ref516491062 \r \h </w:instrText>
      </w:r>
      <w:r w:rsidR="007474B2" w:rsidRPr="004A639E">
        <w:fldChar w:fldCharType="separate"/>
      </w:r>
      <w:r w:rsidR="00292AC5" w:rsidRPr="0092220A">
        <w:t>[4]</w:t>
      </w:r>
      <w:r w:rsidR="007474B2" w:rsidRPr="004A639E">
        <w:fldChar w:fldCharType="end"/>
      </w:r>
      <w:r w:rsidR="00D42334" w:rsidRPr="0092220A">
        <w:t>,</w:t>
      </w:r>
      <w:r w:rsidR="00DE022D" w:rsidRPr="0092220A">
        <w:t xml:space="preserve"> using</w:t>
      </w:r>
      <w:r w:rsidR="00D11652" w:rsidRPr="0092220A">
        <w:t xml:space="preserve"> multiple 25 kHz contiguous channels. </w:t>
      </w:r>
      <w:r w:rsidR="00C96CB5" w:rsidRPr="0092220A">
        <w:t>T</w:t>
      </w:r>
      <w:r w:rsidR="00D11652" w:rsidRPr="0092220A">
        <w:t xml:space="preserve">his identification </w:t>
      </w:r>
      <w:r w:rsidR="00C96CB5" w:rsidRPr="0092220A">
        <w:t>of frequencies allows</w:t>
      </w:r>
      <w:r w:rsidR="00D11652" w:rsidRPr="0092220A">
        <w:t xml:space="preserve"> the utilisation of a regional VDES. This regional utilisation was supported by Asian and African countries.</w:t>
      </w:r>
    </w:p>
    <w:p w14:paraId="29E4DD86" w14:textId="3B3EADCB" w:rsidR="00D11652" w:rsidRPr="0092220A" w:rsidRDefault="00465E26" w:rsidP="00D11652">
      <w:pPr>
        <w:pStyle w:val="ECCParagraph"/>
      </w:pPr>
      <w:r w:rsidRPr="0092220A">
        <w:t>T</w:t>
      </w:r>
      <w:r w:rsidR="00D11652" w:rsidRPr="0092220A">
        <w:t xml:space="preserve">he channels </w:t>
      </w:r>
      <w:r w:rsidRPr="0092220A">
        <w:t>80, 21, 81, 22, 82, 23 and 83 may</w:t>
      </w:r>
      <w:r w:rsidR="00D11652" w:rsidRPr="0092220A">
        <w:t xml:space="preserve"> also be used for analogue modulation described in the most recent version of Recommendation ITU-R M.1084 </w:t>
      </w:r>
      <w:r w:rsidR="007474B2" w:rsidRPr="004A639E">
        <w:fldChar w:fldCharType="begin"/>
      </w:r>
      <w:r w:rsidR="007474B2" w:rsidRPr="0092220A">
        <w:instrText xml:space="preserve"> REF _Ref516491038 \r \h </w:instrText>
      </w:r>
      <w:r w:rsidR="007474B2" w:rsidRPr="004A639E">
        <w:fldChar w:fldCharType="separate"/>
      </w:r>
      <w:r w:rsidR="00292AC5" w:rsidRPr="0092220A">
        <w:t>[6]</w:t>
      </w:r>
      <w:r w:rsidR="007474B2" w:rsidRPr="004A639E">
        <w:fldChar w:fldCharType="end"/>
      </w:r>
      <w:r w:rsidR="007474B2" w:rsidRPr="0092220A">
        <w:t xml:space="preserve"> </w:t>
      </w:r>
      <w:r w:rsidR="00D11652" w:rsidRPr="0092220A">
        <w:t>by an administration that wishes to do so</w:t>
      </w:r>
      <w:r w:rsidR="006B4843">
        <w:t>. It is</w:t>
      </w:r>
      <w:r w:rsidR="00D11652" w:rsidRPr="0092220A">
        <w:t xml:space="preserve"> subject to not claiming protection from other stations in the maritime mobile service using digitally modulated emissions and subject to coordination with affected administrations.</w:t>
      </w:r>
    </w:p>
    <w:p w14:paraId="29E4DD87" w14:textId="6E9E1883" w:rsidR="00F02890" w:rsidRPr="0092220A" w:rsidRDefault="009E5977" w:rsidP="006C03D0">
      <w:pPr>
        <w:pStyle w:val="ECCParagraph"/>
      </w:pPr>
      <w:r w:rsidRPr="0092220A">
        <w:t xml:space="preserve">CEPT </w:t>
      </w:r>
      <w:r w:rsidR="00FF5656" w:rsidRPr="0092220A">
        <w:t xml:space="preserve">administrations </w:t>
      </w:r>
      <w:r w:rsidRPr="0092220A">
        <w:t xml:space="preserve">recognise the importance of a harmonised channel arrangement in the VHF maritime mobile band listed in </w:t>
      </w:r>
      <w:r w:rsidR="0004444A" w:rsidRPr="0092220A">
        <w:t xml:space="preserve">RR </w:t>
      </w:r>
      <w:r w:rsidRPr="0092220A">
        <w:t xml:space="preserve">Appendix 18. </w:t>
      </w:r>
      <w:r w:rsidR="005823E1" w:rsidRPr="0092220A">
        <w:t xml:space="preserve">Some channels to be used for VDES are presently assigned to coast stations for </w:t>
      </w:r>
      <w:r w:rsidR="004D3A66" w:rsidRPr="0092220A">
        <w:t xml:space="preserve">analogue </w:t>
      </w:r>
      <w:r w:rsidR="005823E1" w:rsidRPr="0092220A">
        <w:t xml:space="preserve">voice telephony. It is </w:t>
      </w:r>
      <w:r w:rsidR="00FD3108" w:rsidRPr="0092220A">
        <w:t xml:space="preserve">therefore </w:t>
      </w:r>
      <w:r w:rsidR="005823E1" w:rsidRPr="0092220A">
        <w:t xml:space="preserve">necessary to ensure </w:t>
      </w:r>
      <w:r w:rsidR="00FD3108" w:rsidRPr="0092220A">
        <w:t>that changes to</w:t>
      </w:r>
      <w:r w:rsidR="005823E1" w:rsidRPr="0092220A">
        <w:t xml:space="preserve"> </w:t>
      </w:r>
      <w:r w:rsidR="00FD3108" w:rsidRPr="0092220A">
        <w:t xml:space="preserve">assignments </w:t>
      </w:r>
      <w:r w:rsidR="005823E1" w:rsidRPr="0092220A">
        <w:t xml:space="preserve">for ship movement and port </w:t>
      </w:r>
      <w:r w:rsidR="00FF7F31" w:rsidRPr="0092220A">
        <w:t xml:space="preserve">operations </w:t>
      </w:r>
      <w:r w:rsidR="005823E1" w:rsidRPr="0092220A">
        <w:t>service</w:t>
      </w:r>
      <w:r w:rsidR="00FD3108" w:rsidRPr="0092220A">
        <w:t xml:space="preserve"> continue to provide satisfactory communications</w:t>
      </w:r>
      <w:r w:rsidR="005823E1" w:rsidRPr="0092220A">
        <w:t xml:space="preserve">. </w:t>
      </w:r>
      <w:r w:rsidR="0057185F" w:rsidRPr="0092220A">
        <w:t xml:space="preserve">Specific footnotes of </w:t>
      </w:r>
      <w:r w:rsidR="0004444A" w:rsidRPr="0092220A">
        <w:t xml:space="preserve">RR </w:t>
      </w:r>
      <w:r w:rsidR="0057185F" w:rsidRPr="0092220A">
        <w:t>Appendix 18 are dealing with the implementation of digital data exchange, amendments of parts in AIS and the usage of analogue voice telephony. In particular this ECC Decision is deali</w:t>
      </w:r>
      <w:r w:rsidR="00EC349D" w:rsidRPr="0092220A">
        <w:t>ng with the footnotes</w:t>
      </w:r>
      <w:r w:rsidR="007866A6" w:rsidRPr="0092220A">
        <w:t xml:space="preserve">, which are relevant for </w:t>
      </w:r>
      <w:r w:rsidR="00D42334" w:rsidRPr="0092220A">
        <w:t xml:space="preserve">ITU </w:t>
      </w:r>
      <w:r w:rsidR="007866A6" w:rsidRPr="0092220A">
        <w:t>Region 1</w:t>
      </w:r>
      <w:r w:rsidR="00EC349D" w:rsidRPr="0092220A">
        <w:t xml:space="preserve">. </w:t>
      </w:r>
    </w:p>
    <w:p w14:paraId="29E4DD88" w14:textId="77777777" w:rsidR="006D254C" w:rsidRPr="0092220A" w:rsidRDefault="007362B1" w:rsidP="00C346AA">
      <w:pPr>
        <w:pStyle w:val="ECCParBulleted"/>
        <w:numPr>
          <w:ilvl w:val="0"/>
          <w:numId w:val="0"/>
        </w:numPr>
      </w:pPr>
      <w:r w:rsidRPr="0092220A">
        <w:t xml:space="preserve">The </w:t>
      </w:r>
      <w:r w:rsidR="006D254C" w:rsidRPr="0092220A">
        <w:t xml:space="preserve">implementation of VHF digital data exchange is </w:t>
      </w:r>
      <w:r w:rsidR="007877E8" w:rsidRPr="0092220A">
        <w:t>mentioned</w:t>
      </w:r>
      <w:r w:rsidRPr="0092220A">
        <w:t xml:space="preserve"> </w:t>
      </w:r>
      <w:r w:rsidR="006D254C" w:rsidRPr="0092220A">
        <w:t xml:space="preserve">in several </w:t>
      </w:r>
      <w:r w:rsidRPr="0092220A">
        <w:t xml:space="preserve">footnotes of </w:t>
      </w:r>
      <w:r w:rsidR="0004444A" w:rsidRPr="0092220A">
        <w:t xml:space="preserve">RR </w:t>
      </w:r>
      <w:r w:rsidRPr="0092220A">
        <w:t>Appendix 18</w:t>
      </w:r>
      <w:r w:rsidR="006D254C" w:rsidRPr="0092220A">
        <w:t>, which</w:t>
      </w:r>
      <w:r w:rsidRPr="0092220A">
        <w:t xml:space="preserve"> </w:t>
      </w:r>
      <w:r w:rsidR="007877E8" w:rsidRPr="0092220A">
        <w:t>oblige administrations to amend the</w:t>
      </w:r>
      <w:r w:rsidR="009D6596" w:rsidRPr="0092220A">
        <w:t xml:space="preserve"> usage of VHF channels and frequency assignments for coast stations in their responsibility</w:t>
      </w:r>
      <w:r w:rsidR="007877E8" w:rsidRPr="0092220A">
        <w:t>.</w:t>
      </w:r>
      <w:r w:rsidR="00B85021" w:rsidRPr="0092220A">
        <w:t xml:space="preserve"> </w:t>
      </w:r>
      <w:r w:rsidR="006D254C" w:rsidRPr="0092220A">
        <w:t>These</w:t>
      </w:r>
      <w:r w:rsidR="00B85021" w:rsidRPr="0092220A">
        <w:t xml:space="preserve"> amendments require coordination</w:t>
      </w:r>
      <w:r w:rsidR="006D254C" w:rsidRPr="0092220A">
        <w:t xml:space="preserve"> by effected administrations</w:t>
      </w:r>
      <w:r w:rsidR="00B85021" w:rsidRPr="0092220A">
        <w:t xml:space="preserve">. </w:t>
      </w:r>
    </w:p>
    <w:p w14:paraId="29E4DD89" w14:textId="77777777" w:rsidR="00222F73" w:rsidRPr="0092220A" w:rsidRDefault="00507273">
      <w:pPr>
        <w:pStyle w:val="ECCParBulleted"/>
        <w:numPr>
          <w:ilvl w:val="0"/>
          <w:numId w:val="0"/>
        </w:numPr>
      </w:pPr>
      <w:r w:rsidRPr="0092220A">
        <w:t>In June 2017</w:t>
      </w:r>
      <w:r w:rsidR="0092220A">
        <w:t>,</w:t>
      </w:r>
      <w:r w:rsidRPr="0092220A">
        <w:t xml:space="preserve"> IMO</w:t>
      </w:r>
      <w:r w:rsidR="00222F73" w:rsidRPr="0092220A">
        <w:t>’s</w:t>
      </w:r>
      <w:r w:rsidRPr="0092220A">
        <w:t xml:space="preserve"> </w:t>
      </w:r>
      <w:r w:rsidR="00222F73" w:rsidRPr="0092220A">
        <w:t>Maritime Safety Committee (MSC)</w:t>
      </w:r>
      <w:r w:rsidR="003307A7" w:rsidRPr="0092220A">
        <w:t xml:space="preserve"> published </w:t>
      </w:r>
      <w:r w:rsidR="00222F73" w:rsidRPr="0092220A">
        <w:t>circular</w:t>
      </w:r>
      <w:r w:rsidRPr="0092220A">
        <w:t xml:space="preserve"> MSC.1-Circ.1460-Rev.2 - Guidance on the validity of radiocommunication equipment installed and used on ships </w:t>
      </w:r>
      <w:r w:rsidR="007474B2" w:rsidRPr="004A639E">
        <w:fldChar w:fldCharType="begin"/>
      </w:r>
      <w:r w:rsidR="007474B2" w:rsidRPr="0092220A">
        <w:instrText xml:space="preserve"> REF _Ref516491093 \r \h </w:instrText>
      </w:r>
      <w:r w:rsidR="007474B2" w:rsidRPr="004A639E">
        <w:fldChar w:fldCharType="separate"/>
      </w:r>
      <w:r w:rsidR="00292AC5" w:rsidRPr="0092220A">
        <w:t>[2]</w:t>
      </w:r>
      <w:r w:rsidR="007474B2" w:rsidRPr="004A639E">
        <w:fldChar w:fldCharType="end"/>
      </w:r>
      <w:r w:rsidR="007474B2" w:rsidRPr="0092220A">
        <w:t xml:space="preserve"> </w:t>
      </w:r>
      <w:r w:rsidR="003307A7" w:rsidRPr="0092220A">
        <w:t xml:space="preserve">stating </w:t>
      </w:r>
    </w:p>
    <w:p w14:paraId="29E4DD8A" w14:textId="77777777" w:rsidR="00507273" w:rsidRPr="0092220A" w:rsidRDefault="00507273" w:rsidP="0004444A">
      <w:pPr>
        <w:pStyle w:val="ECCParBulleted"/>
        <w:numPr>
          <w:ilvl w:val="0"/>
          <w:numId w:val="0"/>
        </w:numPr>
        <w:ind w:left="426"/>
      </w:pPr>
      <w:r w:rsidRPr="0092220A">
        <w:rPr>
          <w:i/>
        </w:rPr>
        <w:t>“</w:t>
      </w:r>
      <w:r w:rsidR="00222F73" w:rsidRPr="0092220A">
        <w:rPr>
          <w:i/>
        </w:rPr>
        <w:t>T</w:t>
      </w:r>
      <w:r w:rsidRPr="0092220A">
        <w:rPr>
          <w:i/>
        </w:rPr>
        <w:t>o ensure GMDSS communication capability and the availability of appropriate GMDSS radiocommunication equipment, MF radiocommunication equipment capable of operating NBDP as well as VHF equipment, without prejudice to the arrangements contained in appendix 18 of the RR, should be updated so that following the first radio survey after 1 January 2024, at the earliest, it meets the arrangements which will be in force by then</w:t>
      </w:r>
      <w:r w:rsidR="00D72BDB" w:rsidRPr="0092220A">
        <w:rPr>
          <w:i/>
        </w:rPr>
        <w:t>”</w:t>
      </w:r>
      <w:r w:rsidRPr="0092220A">
        <w:t xml:space="preserve">. </w:t>
      </w:r>
    </w:p>
    <w:p w14:paraId="29E4DD8B" w14:textId="77777777" w:rsidR="00101B11" w:rsidRPr="0092220A" w:rsidRDefault="00101B11" w:rsidP="00C346AA">
      <w:pPr>
        <w:pStyle w:val="ECCParBulleted"/>
        <w:numPr>
          <w:ilvl w:val="0"/>
          <w:numId w:val="0"/>
        </w:numPr>
      </w:pPr>
      <w:r w:rsidRPr="0092220A">
        <w:t xml:space="preserve">ECC supports the implementation of </w:t>
      </w:r>
      <w:r w:rsidR="003307A7" w:rsidRPr="0092220A">
        <w:t xml:space="preserve">footnotes for </w:t>
      </w:r>
      <w:r w:rsidRPr="0092220A">
        <w:t>digital data exchange in the VHF maritime mobile band. Based on different options and different implementation dates the development of this ECC Decision was initiated.</w:t>
      </w:r>
    </w:p>
    <w:p w14:paraId="29E4DD8C" w14:textId="77777777" w:rsidR="006B55E4" w:rsidRPr="0092220A" w:rsidRDefault="00101B11" w:rsidP="00C346AA">
      <w:pPr>
        <w:pStyle w:val="ECCParBulleted"/>
        <w:numPr>
          <w:ilvl w:val="0"/>
          <w:numId w:val="0"/>
        </w:numPr>
      </w:pPr>
      <w:r w:rsidRPr="0092220A">
        <w:t xml:space="preserve">ECC </w:t>
      </w:r>
      <w:r w:rsidR="00BF19A8" w:rsidRPr="0092220A">
        <w:t>identified a need of harmoni</w:t>
      </w:r>
      <w:r w:rsidR="007F7EBF" w:rsidRPr="0092220A">
        <w:t>s</w:t>
      </w:r>
      <w:r w:rsidR="00BF19A8" w:rsidRPr="0092220A">
        <w:t xml:space="preserve">ed action and </w:t>
      </w:r>
      <w:r w:rsidRPr="0092220A">
        <w:t>recogni</w:t>
      </w:r>
      <w:r w:rsidR="007F7EBF" w:rsidRPr="0092220A">
        <w:t>s</w:t>
      </w:r>
      <w:r w:rsidRPr="0092220A">
        <w:t>ed that</w:t>
      </w:r>
      <w:r w:rsidR="0003617D" w:rsidRPr="0092220A">
        <w:t>:</w:t>
      </w:r>
    </w:p>
    <w:p w14:paraId="29E4DD8D" w14:textId="77777777" w:rsidR="0003617D" w:rsidRPr="0092220A" w:rsidRDefault="00CB0185" w:rsidP="006B55E4">
      <w:pPr>
        <w:pStyle w:val="ECCParBulleted"/>
      </w:pPr>
      <w:r w:rsidRPr="0092220A">
        <w:t>r</w:t>
      </w:r>
      <w:r w:rsidR="000724BC" w:rsidRPr="0092220A">
        <w:t>elevant footnotes of RR App</w:t>
      </w:r>
      <w:r w:rsidR="00DD6F0C" w:rsidRPr="0092220A">
        <w:t>endix</w:t>
      </w:r>
      <w:r w:rsidR="000724BC" w:rsidRPr="0092220A">
        <w:t xml:space="preserve"> 18 </w:t>
      </w:r>
      <w:r w:rsidR="00101B11" w:rsidRPr="0092220A">
        <w:t xml:space="preserve">have to be considered and </w:t>
      </w:r>
      <w:r w:rsidRPr="0092220A">
        <w:t>might</w:t>
      </w:r>
      <w:r w:rsidR="00101B11" w:rsidRPr="0092220A">
        <w:t xml:space="preserve"> be implemented in different ways</w:t>
      </w:r>
      <w:r w:rsidR="007474B2" w:rsidRPr="0092220A">
        <w:t>;</w:t>
      </w:r>
      <w:r w:rsidR="000724BC" w:rsidRPr="0092220A">
        <w:t xml:space="preserve"> </w:t>
      </w:r>
    </w:p>
    <w:p w14:paraId="29E4DD8E" w14:textId="77777777" w:rsidR="000724BC" w:rsidRPr="0092220A" w:rsidRDefault="00101B11" w:rsidP="000724BC">
      <w:pPr>
        <w:pStyle w:val="ECCParBulleted"/>
      </w:pPr>
      <w:r w:rsidRPr="0092220A">
        <w:t>d</w:t>
      </w:r>
      <w:r w:rsidR="000724BC" w:rsidRPr="0092220A">
        <w:t xml:space="preserve">ecisions </w:t>
      </w:r>
      <w:r w:rsidR="0075472B" w:rsidRPr="0092220A">
        <w:t>on implementation</w:t>
      </w:r>
      <w:r w:rsidR="003307A7" w:rsidRPr="0092220A">
        <w:t xml:space="preserve"> of footnotes of RR A</w:t>
      </w:r>
      <w:r w:rsidR="00DD6F0C" w:rsidRPr="0092220A">
        <w:t>ppendix 1</w:t>
      </w:r>
      <w:r w:rsidR="003307A7" w:rsidRPr="0092220A">
        <w:t>8</w:t>
      </w:r>
      <w:r w:rsidR="0075472B" w:rsidRPr="0092220A">
        <w:t xml:space="preserve"> </w:t>
      </w:r>
      <w:r w:rsidR="00CB0185" w:rsidRPr="0092220A">
        <w:t>need to be taken by ECC</w:t>
      </w:r>
      <w:r w:rsidR="007474B2" w:rsidRPr="0092220A">
        <w:t>;</w:t>
      </w:r>
      <w:r w:rsidR="00CB0185" w:rsidRPr="0092220A">
        <w:t xml:space="preserve"> </w:t>
      </w:r>
    </w:p>
    <w:p w14:paraId="29E4DD8F" w14:textId="77777777" w:rsidR="006B55E4" w:rsidRPr="0092220A" w:rsidRDefault="00CB0185" w:rsidP="006B55E4">
      <w:pPr>
        <w:pStyle w:val="ECCParBulleted"/>
      </w:pPr>
      <w:r w:rsidRPr="0092220A">
        <w:t>a</w:t>
      </w:r>
      <w:r w:rsidR="002B49B2" w:rsidRPr="0092220A">
        <w:t xml:space="preserve"> </w:t>
      </w:r>
      <w:r w:rsidR="006B55E4" w:rsidRPr="0092220A">
        <w:t xml:space="preserve">time schedule </w:t>
      </w:r>
      <w:r w:rsidR="003307A7" w:rsidRPr="0092220A">
        <w:t xml:space="preserve">for the implementation of these footnotes </w:t>
      </w:r>
      <w:r w:rsidRPr="0092220A">
        <w:t>need</w:t>
      </w:r>
      <w:r w:rsidR="00F01B5E" w:rsidRPr="0092220A">
        <w:t>s</w:t>
      </w:r>
      <w:r w:rsidRPr="0092220A">
        <w:t xml:space="preserve"> to be decided by ECC</w:t>
      </w:r>
      <w:r w:rsidR="007474B2" w:rsidRPr="0092220A">
        <w:t>;</w:t>
      </w:r>
    </w:p>
    <w:p w14:paraId="29E4DD90" w14:textId="77777777" w:rsidR="00075DE1" w:rsidRPr="0092220A" w:rsidRDefault="00075DE1" w:rsidP="00075DE1">
      <w:pPr>
        <w:pStyle w:val="ECCParBulleted"/>
      </w:pPr>
      <w:proofErr w:type="gramStart"/>
      <w:r w:rsidRPr="0092220A">
        <w:t>this</w:t>
      </w:r>
      <w:proofErr w:type="gramEnd"/>
      <w:r w:rsidRPr="0092220A">
        <w:t xml:space="preserve"> ECC Decision takes into account the existing standardisation framework and activities at the worldwide level, and an appropriate frequency arrangement.</w:t>
      </w:r>
    </w:p>
    <w:p w14:paraId="29E4DD91" w14:textId="77777777" w:rsidR="006C03D0" w:rsidRPr="006B4843" w:rsidRDefault="005F7AD5" w:rsidP="006C03D0">
      <w:pPr>
        <w:pStyle w:val="Heading2"/>
        <w:rPr>
          <w:lang w:val="en-GB"/>
        </w:rPr>
      </w:pPr>
      <w:r w:rsidRPr="006B4843">
        <w:rPr>
          <w:lang w:val="en-GB"/>
        </w:rPr>
        <w:t>REQUIREMENT FOR AN ECC DECISION</w:t>
      </w:r>
    </w:p>
    <w:p w14:paraId="29E4DD92" w14:textId="77777777" w:rsidR="0075472B" w:rsidRPr="0092220A" w:rsidRDefault="00075DE1" w:rsidP="00200B00">
      <w:pPr>
        <w:pStyle w:val="ECCParagraph"/>
        <w:rPr>
          <w:szCs w:val="20"/>
        </w:rPr>
      </w:pPr>
      <w:r w:rsidRPr="0092220A">
        <w:rPr>
          <w:szCs w:val="20"/>
        </w:rPr>
        <w:t xml:space="preserve">ECC </w:t>
      </w:r>
      <w:r w:rsidR="00B85021" w:rsidRPr="0092220A">
        <w:rPr>
          <w:szCs w:val="20"/>
        </w:rPr>
        <w:t xml:space="preserve">recognises that </w:t>
      </w:r>
      <w:r w:rsidR="005F6D3D" w:rsidRPr="0092220A">
        <w:rPr>
          <w:szCs w:val="20"/>
        </w:rPr>
        <w:t xml:space="preserve">there is a compelling need </w:t>
      </w:r>
      <w:r w:rsidR="00D61403" w:rsidRPr="0092220A">
        <w:rPr>
          <w:szCs w:val="20"/>
        </w:rPr>
        <w:t xml:space="preserve">for </w:t>
      </w:r>
      <w:r w:rsidR="00B85021" w:rsidRPr="0092220A">
        <w:rPr>
          <w:szCs w:val="20"/>
        </w:rPr>
        <w:t xml:space="preserve">clear advice </w:t>
      </w:r>
      <w:r w:rsidR="00D61403" w:rsidRPr="0092220A">
        <w:rPr>
          <w:szCs w:val="20"/>
        </w:rPr>
        <w:t>on the</w:t>
      </w:r>
      <w:r w:rsidR="005F6D3D" w:rsidRPr="0092220A">
        <w:rPr>
          <w:szCs w:val="20"/>
        </w:rPr>
        <w:t xml:space="preserve"> usage of the frequencies in the VHF maritime mobile band </w:t>
      </w:r>
      <w:r w:rsidR="00B85021" w:rsidRPr="0092220A">
        <w:rPr>
          <w:szCs w:val="20"/>
        </w:rPr>
        <w:t xml:space="preserve">to manufacturers, retailers and users </w:t>
      </w:r>
      <w:r w:rsidR="005F6D3D" w:rsidRPr="0092220A">
        <w:rPr>
          <w:szCs w:val="20"/>
        </w:rPr>
        <w:t>to guarantee the communication between the vessels and ship movement services or port operation services</w:t>
      </w:r>
      <w:r w:rsidR="00A712D3" w:rsidRPr="0092220A">
        <w:rPr>
          <w:szCs w:val="20"/>
        </w:rPr>
        <w:t xml:space="preserve"> to avoid dangerous traffic situations</w:t>
      </w:r>
      <w:r w:rsidR="005F6D3D" w:rsidRPr="0092220A">
        <w:rPr>
          <w:szCs w:val="20"/>
        </w:rPr>
        <w:t>.</w:t>
      </w:r>
      <w:r w:rsidR="00200B00" w:rsidRPr="0092220A">
        <w:rPr>
          <w:szCs w:val="20"/>
        </w:rPr>
        <w:t xml:space="preserve"> </w:t>
      </w:r>
    </w:p>
    <w:p w14:paraId="29E4DD93" w14:textId="77777777" w:rsidR="00200B00" w:rsidRPr="0092220A" w:rsidRDefault="00075DE1" w:rsidP="00200B00">
      <w:pPr>
        <w:pStyle w:val="ECCParagraph"/>
      </w:pPr>
      <w:r w:rsidRPr="0092220A">
        <w:rPr>
          <w:szCs w:val="20"/>
        </w:rPr>
        <w:t xml:space="preserve">ECC </w:t>
      </w:r>
      <w:r w:rsidR="00200B00" w:rsidRPr="0092220A">
        <w:rPr>
          <w:szCs w:val="20"/>
        </w:rPr>
        <w:t xml:space="preserve">is of the view that the implementation of </w:t>
      </w:r>
      <w:r w:rsidR="00D61403" w:rsidRPr="0092220A">
        <w:rPr>
          <w:szCs w:val="20"/>
        </w:rPr>
        <w:t xml:space="preserve">the footnotes for </w:t>
      </w:r>
      <w:r w:rsidR="00200B00" w:rsidRPr="0092220A">
        <w:rPr>
          <w:szCs w:val="20"/>
        </w:rPr>
        <w:t xml:space="preserve">digital data exchange into the VHF maritime mobile band should take place in </w:t>
      </w:r>
      <w:r w:rsidR="00D93425" w:rsidRPr="0092220A">
        <w:rPr>
          <w:szCs w:val="20"/>
        </w:rPr>
        <w:t>CEPT countries</w:t>
      </w:r>
      <w:r w:rsidR="00200B00" w:rsidRPr="0092220A">
        <w:rPr>
          <w:szCs w:val="20"/>
        </w:rPr>
        <w:t xml:space="preserve"> within a common timeframe</w:t>
      </w:r>
      <w:r w:rsidR="0075472B" w:rsidRPr="0092220A">
        <w:rPr>
          <w:szCs w:val="20"/>
        </w:rPr>
        <w:t xml:space="preserve"> to ensure an effective usage of spectrum</w:t>
      </w:r>
      <w:r w:rsidR="00200B00" w:rsidRPr="0092220A">
        <w:rPr>
          <w:szCs w:val="20"/>
        </w:rPr>
        <w:t>.</w:t>
      </w:r>
    </w:p>
    <w:p w14:paraId="29E4DD94" w14:textId="5EE028E1" w:rsidR="006C03D0" w:rsidRPr="006B4843" w:rsidRDefault="002C62B3" w:rsidP="006C03D0">
      <w:pPr>
        <w:pStyle w:val="Heading1"/>
      </w:pPr>
      <w:r>
        <w:rPr>
          <w:caps w:val="0"/>
        </w:rPr>
        <w:lastRenderedPageBreak/>
        <w:t>ECC</w:t>
      </w:r>
      <w:r w:rsidRPr="0092220A">
        <w:rPr>
          <w:caps w:val="0"/>
        </w:rPr>
        <w:t xml:space="preserve"> </w:t>
      </w:r>
      <w:r w:rsidRPr="002C62B3">
        <w:t>Decision of 8 march 2019 on the harmonised usage of the channels of the radio regulations appendix 18 (transmitting frequencies in the vhf maritime mobile band)</w:t>
      </w:r>
      <w:r w:rsidRPr="0092220A">
        <w:rPr>
          <w:caps w:val="0"/>
        </w:rPr>
        <w:t xml:space="preserve"> (</w:t>
      </w:r>
      <w:r>
        <w:rPr>
          <w:caps w:val="0"/>
        </w:rPr>
        <w:t>ECC/DEC</w:t>
      </w:r>
      <w:proofErr w:type="gramStart"/>
      <w:r>
        <w:rPr>
          <w:caps w:val="0"/>
        </w:rPr>
        <w:t>/</w:t>
      </w:r>
      <w:r w:rsidRPr="0092220A">
        <w:rPr>
          <w:caps w:val="0"/>
        </w:rPr>
        <w:t>(</w:t>
      </w:r>
      <w:proofErr w:type="gramEnd"/>
      <w:r w:rsidRPr="0092220A">
        <w:rPr>
          <w:caps w:val="0"/>
        </w:rPr>
        <w:t>19)03)</w:t>
      </w:r>
    </w:p>
    <w:p w14:paraId="29E4DD95" w14:textId="77777777" w:rsidR="006C03D0" w:rsidRPr="0092220A" w:rsidRDefault="005F7AD5" w:rsidP="006C03D0">
      <w:pPr>
        <w:pStyle w:val="ECCParagraph"/>
      </w:pPr>
      <w:r w:rsidRPr="0092220A">
        <w:t xml:space="preserve">“The </w:t>
      </w:r>
      <w:r w:rsidR="007A5B0C" w:rsidRPr="0092220A">
        <w:t>European</w:t>
      </w:r>
      <w:r w:rsidRPr="0092220A">
        <w:t xml:space="preserve"> Conference of Postal and Telecommunications Administrations, </w:t>
      </w:r>
    </w:p>
    <w:p w14:paraId="29E4DD96" w14:textId="77777777" w:rsidR="006C03D0" w:rsidRPr="0092220A" w:rsidRDefault="005F7AD5" w:rsidP="00C353C1">
      <w:pPr>
        <w:pStyle w:val="ECCParagraph"/>
        <w:tabs>
          <w:tab w:val="center" w:pos="4819"/>
        </w:tabs>
        <w:rPr>
          <w:i/>
          <w:color w:val="D2232A"/>
        </w:rPr>
      </w:pPr>
      <w:proofErr w:type="gramStart"/>
      <w:r w:rsidRPr="0092220A">
        <w:rPr>
          <w:i/>
          <w:color w:val="D2232A"/>
        </w:rPr>
        <w:t>considering</w:t>
      </w:r>
      <w:proofErr w:type="gramEnd"/>
    </w:p>
    <w:p w14:paraId="29E4DD97" w14:textId="77777777" w:rsidR="00E65E22" w:rsidRPr="006B4843" w:rsidRDefault="00DA1E74" w:rsidP="00E73D39">
      <w:pPr>
        <w:pStyle w:val="ListParagraph"/>
        <w:numPr>
          <w:ilvl w:val="0"/>
          <w:numId w:val="17"/>
        </w:numPr>
        <w:tabs>
          <w:tab w:val="left" w:pos="567"/>
        </w:tabs>
        <w:spacing w:after="240"/>
        <w:ind w:left="567" w:hanging="567"/>
        <w:contextualSpacing w:val="0"/>
        <w:rPr>
          <w:lang w:val="en-GB"/>
        </w:rPr>
      </w:pPr>
      <w:r w:rsidRPr="006B4843">
        <w:rPr>
          <w:lang w:val="en-GB"/>
        </w:rPr>
        <w:t xml:space="preserve">that WRC-15 amended </w:t>
      </w:r>
      <w:r w:rsidR="007474B2" w:rsidRPr="006B4843">
        <w:rPr>
          <w:lang w:val="en-GB"/>
        </w:rPr>
        <w:t>th</w:t>
      </w:r>
      <w:r w:rsidRPr="006B4843">
        <w:rPr>
          <w:lang w:val="en-GB"/>
        </w:rPr>
        <w:t>e ITU Radio Regulation (RR) Appendix 18</w:t>
      </w:r>
      <w:r w:rsidR="007474B2" w:rsidRPr="006B4843">
        <w:rPr>
          <w:lang w:val="en-GB"/>
        </w:rPr>
        <w:t xml:space="preserve"> </w:t>
      </w:r>
      <w:r w:rsidR="007474B2" w:rsidRPr="006B4843">
        <w:rPr>
          <w:lang w:val="en-GB"/>
        </w:rPr>
        <w:fldChar w:fldCharType="begin"/>
      </w:r>
      <w:r w:rsidR="007474B2" w:rsidRPr="006B4843">
        <w:rPr>
          <w:lang w:val="en-GB"/>
        </w:rPr>
        <w:instrText xml:space="preserve"> REF _Ref516490889 \r \h </w:instrText>
      </w:r>
      <w:r w:rsidR="007474B2" w:rsidRPr="006B4843">
        <w:rPr>
          <w:lang w:val="en-GB"/>
        </w:rPr>
      </w:r>
      <w:r w:rsidR="007474B2" w:rsidRPr="006B4843">
        <w:rPr>
          <w:lang w:val="en-GB"/>
        </w:rPr>
        <w:fldChar w:fldCharType="separate"/>
      </w:r>
      <w:r w:rsidR="00292AC5" w:rsidRPr="006B4843">
        <w:rPr>
          <w:lang w:val="en-GB"/>
        </w:rPr>
        <w:t>[1]</w:t>
      </w:r>
      <w:r w:rsidR="007474B2" w:rsidRPr="006B4843">
        <w:rPr>
          <w:lang w:val="en-GB"/>
        </w:rPr>
        <w:fldChar w:fldCharType="end"/>
      </w:r>
      <w:r w:rsidRPr="006B4843">
        <w:rPr>
          <w:lang w:val="en-GB"/>
        </w:rPr>
        <w:t>;</w:t>
      </w:r>
    </w:p>
    <w:p w14:paraId="29E4DD98" w14:textId="77777777" w:rsidR="00E65E22" w:rsidRPr="006B4843" w:rsidRDefault="00DA1E74" w:rsidP="00E73D39">
      <w:pPr>
        <w:pStyle w:val="ListParagraph"/>
        <w:numPr>
          <w:ilvl w:val="0"/>
          <w:numId w:val="17"/>
        </w:numPr>
        <w:tabs>
          <w:tab w:val="left" w:pos="567"/>
        </w:tabs>
        <w:spacing w:after="240"/>
        <w:ind w:left="567" w:hanging="567"/>
        <w:contextualSpacing w:val="0"/>
        <w:rPr>
          <w:lang w:val="en-GB"/>
        </w:rPr>
      </w:pPr>
      <w:r w:rsidRPr="006B4843">
        <w:rPr>
          <w:lang w:val="en-GB"/>
        </w:rPr>
        <w:t>that in addition to analogue voice telephony</w:t>
      </w:r>
      <w:r w:rsidR="00B2639F" w:rsidRPr="006B4843">
        <w:rPr>
          <w:lang w:val="en-GB"/>
        </w:rPr>
        <w:t xml:space="preserve">, DSC and </w:t>
      </w:r>
      <w:r w:rsidRPr="006B4843">
        <w:rPr>
          <w:lang w:val="en-GB"/>
        </w:rPr>
        <w:t xml:space="preserve">AIS, </w:t>
      </w:r>
      <w:r w:rsidRPr="006B4843">
        <w:rPr>
          <w:szCs w:val="20"/>
          <w:lang w:val="en-GB"/>
        </w:rPr>
        <w:t xml:space="preserve">digital data exchange </w:t>
      </w:r>
      <w:r w:rsidRPr="006B4843">
        <w:rPr>
          <w:lang w:val="en-GB"/>
        </w:rPr>
        <w:t>will be operated on RR Appendix 18 frequencies</w:t>
      </w:r>
      <w:r w:rsidR="00CE3731" w:rsidRPr="006B4843">
        <w:rPr>
          <w:lang w:val="en-GB"/>
        </w:rPr>
        <w:t>;</w:t>
      </w:r>
    </w:p>
    <w:p w14:paraId="29E4DD99" w14:textId="77777777" w:rsidR="00E65E22" w:rsidRPr="006B4843" w:rsidRDefault="00EB79B9" w:rsidP="00CE3731">
      <w:pPr>
        <w:pStyle w:val="ListParagraph"/>
        <w:numPr>
          <w:ilvl w:val="0"/>
          <w:numId w:val="17"/>
        </w:numPr>
        <w:tabs>
          <w:tab w:val="left" w:pos="567"/>
        </w:tabs>
        <w:spacing w:after="240"/>
        <w:ind w:left="567" w:hanging="567"/>
        <w:contextualSpacing w:val="0"/>
        <w:rPr>
          <w:lang w:val="en-GB"/>
        </w:rPr>
      </w:pPr>
      <w:r w:rsidRPr="006B4843">
        <w:rPr>
          <w:lang w:val="en-GB"/>
        </w:rPr>
        <w:t xml:space="preserve">that </w:t>
      </w:r>
      <w:r w:rsidR="00CE3731" w:rsidRPr="006B4843">
        <w:rPr>
          <w:lang w:val="en-GB"/>
        </w:rPr>
        <w:t xml:space="preserve">RR Appendix 18 </w:t>
      </w:r>
      <w:r w:rsidRPr="006B4843">
        <w:rPr>
          <w:lang w:val="en-GB"/>
        </w:rPr>
        <w:t xml:space="preserve">footnotes </w:t>
      </w:r>
      <w:r w:rsidRPr="006B4843">
        <w:rPr>
          <w:i/>
          <w:lang w:val="en-GB"/>
        </w:rPr>
        <w:t>w)</w:t>
      </w:r>
      <w:r w:rsidRPr="006B4843">
        <w:rPr>
          <w:lang w:val="en-GB"/>
        </w:rPr>
        <w:t xml:space="preserve"> and </w:t>
      </w:r>
      <w:proofErr w:type="spellStart"/>
      <w:r w:rsidRPr="006B4843">
        <w:rPr>
          <w:i/>
          <w:lang w:val="en-GB"/>
        </w:rPr>
        <w:t>wa</w:t>
      </w:r>
      <w:proofErr w:type="spellEnd"/>
      <w:r w:rsidRPr="006B4843">
        <w:rPr>
          <w:i/>
          <w:lang w:val="en-GB"/>
        </w:rPr>
        <w:t>)</w:t>
      </w:r>
      <w:r w:rsidRPr="006B4843">
        <w:rPr>
          <w:lang w:val="en-GB"/>
        </w:rPr>
        <w:t xml:space="preserve"> allow a different usage of VHF channels subject to coordination with affected administrations</w:t>
      </w:r>
      <w:r w:rsidR="00E65E22" w:rsidRPr="006B4843">
        <w:rPr>
          <w:lang w:val="en-GB"/>
        </w:rPr>
        <w:t>;</w:t>
      </w:r>
    </w:p>
    <w:p w14:paraId="29E4DD9A" w14:textId="77777777" w:rsidR="00E65E22" w:rsidRPr="006B4843" w:rsidRDefault="00EB79B9" w:rsidP="00CE3731">
      <w:pPr>
        <w:pStyle w:val="ListParagraph"/>
        <w:numPr>
          <w:ilvl w:val="0"/>
          <w:numId w:val="17"/>
        </w:numPr>
        <w:tabs>
          <w:tab w:val="left" w:pos="567"/>
        </w:tabs>
        <w:spacing w:after="240"/>
        <w:ind w:left="567" w:hanging="567"/>
        <w:contextualSpacing w:val="0"/>
        <w:rPr>
          <w:lang w:val="en-GB"/>
        </w:rPr>
      </w:pPr>
      <w:r w:rsidRPr="006B4843">
        <w:rPr>
          <w:lang w:val="en-GB"/>
        </w:rPr>
        <w:t xml:space="preserve">that </w:t>
      </w:r>
      <w:r w:rsidR="00CE3731" w:rsidRPr="006B4843">
        <w:rPr>
          <w:lang w:val="en-GB"/>
        </w:rPr>
        <w:t xml:space="preserve">RR Appendix 18 </w:t>
      </w:r>
      <w:r w:rsidRPr="006B4843">
        <w:rPr>
          <w:lang w:val="en-GB"/>
        </w:rPr>
        <w:t xml:space="preserve">footnote </w:t>
      </w:r>
      <w:r w:rsidRPr="006B4843">
        <w:rPr>
          <w:i/>
          <w:lang w:val="en-GB"/>
        </w:rPr>
        <w:t>m)</w:t>
      </w:r>
      <w:r w:rsidRPr="006B4843">
        <w:rPr>
          <w:lang w:val="en-GB"/>
        </w:rPr>
        <w:t xml:space="preserve"> allows to operate existing duplex channels as single frequency channels subject to coordination with affected administrations</w:t>
      </w:r>
      <w:r w:rsidR="00E65E22" w:rsidRPr="006B4843">
        <w:rPr>
          <w:lang w:val="en-GB"/>
        </w:rPr>
        <w:t>;</w:t>
      </w:r>
    </w:p>
    <w:p w14:paraId="29E4DD9B" w14:textId="421F5CA4" w:rsidR="00E65E22" w:rsidRPr="006B4843" w:rsidRDefault="00216C32" w:rsidP="00E73D39">
      <w:pPr>
        <w:pStyle w:val="ListParagraph"/>
        <w:numPr>
          <w:ilvl w:val="0"/>
          <w:numId w:val="17"/>
        </w:numPr>
        <w:tabs>
          <w:tab w:val="left" w:pos="567"/>
        </w:tabs>
        <w:spacing w:after="240"/>
        <w:ind w:left="567" w:hanging="567"/>
        <w:contextualSpacing w:val="0"/>
        <w:rPr>
          <w:lang w:val="en-GB"/>
        </w:rPr>
      </w:pPr>
      <w:r w:rsidRPr="006B4843">
        <w:rPr>
          <w:lang w:val="en-GB"/>
        </w:rPr>
        <w:t xml:space="preserve">that the channels 2027 (161.950 MHz) and 2028 (162.000 MHz) are designated </w:t>
      </w:r>
      <w:r w:rsidR="003526BD" w:rsidRPr="006B4843">
        <w:rPr>
          <w:lang w:val="en-GB"/>
        </w:rPr>
        <w:t xml:space="preserve">for transmission of the application specific messages (ASM) </w:t>
      </w:r>
      <w:r w:rsidRPr="006B4843">
        <w:rPr>
          <w:lang w:val="en-GB"/>
        </w:rPr>
        <w:t>as</w:t>
      </w:r>
      <w:r w:rsidR="003526BD" w:rsidRPr="006B4843">
        <w:rPr>
          <w:lang w:val="en-GB"/>
        </w:rPr>
        <w:t xml:space="preserve"> </w:t>
      </w:r>
      <w:r w:rsidRPr="006B4843">
        <w:rPr>
          <w:lang w:val="en-GB"/>
        </w:rPr>
        <w:t>ASM 1 and ASM 2</w:t>
      </w:r>
      <w:r w:rsidR="00E65E22" w:rsidRPr="006B4843">
        <w:rPr>
          <w:lang w:val="en-GB"/>
        </w:rPr>
        <w:t>;</w:t>
      </w:r>
    </w:p>
    <w:p w14:paraId="29E4DD9C" w14:textId="77777777" w:rsidR="00E65E22" w:rsidRPr="006B4843" w:rsidRDefault="00B12B5D" w:rsidP="00DE022D">
      <w:pPr>
        <w:pStyle w:val="ListParagraph"/>
        <w:numPr>
          <w:ilvl w:val="0"/>
          <w:numId w:val="17"/>
        </w:numPr>
        <w:tabs>
          <w:tab w:val="left" w:pos="567"/>
        </w:tabs>
        <w:spacing w:after="240"/>
        <w:ind w:left="567" w:hanging="567"/>
        <w:contextualSpacing w:val="0"/>
        <w:rPr>
          <w:lang w:val="en-GB"/>
        </w:rPr>
      </w:pPr>
      <w:r w:rsidRPr="006B4843">
        <w:rPr>
          <w:lang w:val="en-GB"/>
        </w:rPr>
        <w:t xml:space="preserve">that the dates of implementation for digital usage indicated in </w:t>
      </w:r>
      <w:r w:rsidR="00CE3731" w:rsidRPr="006B4843">
        <w:rPr>
          <w:lang w:val="en-GB"/>
        </w:rPr>
        <w:t xml:space="preserve">RR Appendix 18 </w:t>
      </w:r>
      <w:r w:rsidRPr="006B4843">
        <w:rPr>
          <w:lang w:val="en-GB"/>
        </w:rPr>
        <w:t xml:space="preserve">footnotes m), mm), w), </w:t>
      </w:r>
      <w:proofErr w:type="spellStart"/>
      <w:r w:rsidRPr="006B4843">
        <w:rPr>
          <w:lang w:val="en-GB"/>
        </w:rPr>
        <w:t>wa</w:t>
      </w:r>
      <w:proofErr w:type="spellEnd"/>
      <w:r w:rsidRPr="006B4843">
        <w:rPr>
          <w:lang w:val="en-GB"/>
        </w:rPr>
        <w:t xml:space="preserve">), xx), z) and </w:t>
      </w:r>
      <w:proofErr w:type="spellStart"/>
      <w:r w:rsidRPr="006B4843">
        <w:rPr>
          <w:lang w:val="en-GB"/>
        </w:rPr>
        <w:t>zz</w:t>
      </w:r>
      <w:proofErr w:type="spellEnd"/>
      <w:r w:rsidRPr="006B4843">
        <w:rPr>
          <w:lang w:val="en-GB"/>
        </w:rPr>
        <w:t>)</w:t>
      </w:r>
      <w:r w:rsidR="0075472B" w:rsidRPr="006B4843">
        <w:rPr>
          <w:lang w:val="en-GB"/>
        </w:rPr>
        <w:t xml:space="preserve"> </w:t>
      </w:r>
      <w:r w:rsidR="00D024DE" w:rsidRPr="006B4843">
        <w:rPr>
          <w:lang w:val="en-GB"/>
        </w:rPr>
        <w:t>may be difficult to comply with</w:t>
      </w:r>
      <w:r w:rsidR="00E65E22" w:rsidRPr="006B4843">
        <w:rPr>
          <w:lang w:val="en-GB"/>
        </w:rPr>
        <w:t>;</w:t>
      </w:r>
    </w:p>
    <w:p w14:paraId="29E4DD9D" w14:textId="77777777" w:rsidR="00E65E22" w:rsidRPr="006B4843" w:rsidRDefault="00B12B5D" w:rsidP="00E73D39">
      <w:pPr>
        <w:pStyle w:val="ListParagraph"/>
        <w:numPr>
          <w:ilvl w:val="0"/>
          <w:numId w:val="17"/>
        </w:numPr>
        <w:tabs>
          <w:tab w:val="left" w:pos="567"/>
        </w:tabs>
        <w:spacing w:after="240"/>
        <w:ind w:left="567" w:hanging="567"/>
        <w:contextualSpacing w:val="0"/>
        <w:rPr>
          <w:lang w:val="en-GB"/>
        </w:rPr>
      </w:pPr>
      <w:r w:rsidRPr="006B4843">
        <w:rPr>
          <w:lang w:val="en-GB"/>
        </w:rPr>
        <w:t xml:space="preserve">that the development of </w:t>
      </w:r>
      <w:r w:rsidR="00D1398E" w:rsidRPr="006B4843">
        <w:rPr>
          <w:lang w:val="en-GB"/>
        </w:rPr>
        <w:t>a satellite component for digital data exchange</w:t>
      </w:r>
      <w:r w:rsidRPr="006B4843">
        <w:rPr>
          <w:lang w:val="en-GB"/>
        </w:rPr>
        <w:t xml:space="preserve"> cannot be finali</w:t>
      </w:r>
      <w:r w:rsidR="007F7EBF" w:rsidRPr="006B4843">
        <w:rPr>
          <w:lang w:val="en-GB"/>
        </w:rPr>
        <w:t>s</w:t>
      </w:r>
      <w:r w:rsidRPr="006B4843">
        <w:rPr>
          <w:lang w:val="en-GB"/>
        </w:rPr>
        <w:t>ed before WRC-19</w:t>
      </w:r>
      <w:r w:rsidR="00E65E22" w:rsidRPr="006B4843">
        <w:rPr>
          <w:lang w:val="en-GB"/>
        </w:rPr>
        <w:t>;</w:t>
      </w:r>
    </w:p>
    <w:p w14:paraId="29E4DD9E" w14:textId="77777777" w:rsidR="00B12B5D" w:rsidRPr="006B4843" w:rsidRDefault="00B12B5D" w:rsidP="00DE022D">
      <w:pPr>
        <w:pStyle w:val="ListParagraph"/>
        <w:numPr>
          <w:ilvl w:val="0"/>
          <w:numId w:val="17"/>
        </w:numPr>
        <w:tabs>
          <w:tab w:val="left" w:pos="567"/>
        </w:tabs>
        <w:spacing w:after="240"/>
        <w:ind w:left="567" w:hanging="567"/>
        <w:contextualSpacing w:val="0"/>
        <w:rPr>
          <w:lang w:val="en-GB"/>
        </w:rPr>
      </w:pPr>
      <w:r w:rsidRPr="006B4843">
        <w:rPr>
          <w:lang w:val="en-GB"/>
        </w:rPr>
        <w:t xml:space="preserve">that </w:t>
      </w:r>
      <w:r w:rsidR="003526BD" w:rsidRPr="006B4843">
        <w:rPr>
          <w:lang w:val="en-GB"/>
        </w:rPr>
        <w:t xml:space="preserve">the Maritime Safety Committee (MSC) of IMO decided that </w:t>
      </w:r>
      <w:r w:rsidR="00292D32" w:rsidRPr="006B4843">
        <w:rPr>
          <w:lang w:val="en-GB"/>
        </w:rPr>
        <w:t>“</w:t>
      </w:r>
      <w:r w:rsidR="003526BD" w:rsidRPr="006B4843">
        <w:rPr>
          <w:i/>
          <w:lang w:val="en-GB"/>
        </w:rPr>
        <w:t>VHF equipment, without prejudice to the arrangements contained in appendix 18 of the RR, should be updated so that following the first radio survey after 1 January 2024, at the earliest, it meets the arrangements which will be in force by then</w:t>
      </w:r>
      <w:r w:rsidR="0004444A" w:rsidRPr="006B4843">
        <w:rPr>
          <w:lang w:val="en-GB"/>
        </w:rPr>
        <w:t>”</w:t>
      </w:r>
      <w:r w:rsidR="00DE022D" w:rsidRPr="006B4843">
        <w:rPr>
          <w:lang w:val="en-GB"/>
        </w:rPr>
        <w:t>;</w:t>
      </w:r>
      <w:r w:rsidR="003526BD" w:rsidRPr="006B4843">
        <w:rPr>
          <w:lang w:val="en-GB"/>
        </w:rPr>
        <w:t xml:space="preserve">  </w:t>
      </w:r>
    </w:p>
    <w:p w14:paraId="29E4DD9F" w14:textId="10DBE62A" w:rsidR="00B618E0" w:rsidRPr="006B4843" w:rsidRDefault="00E65E22" w:rsidP="00DE022D">
      <w:pPr>
        <w:pStyle w:val="ListParagraph"/>
        <w:numPr>
          <w:ilvl w:val="0"/>
          <w:numId w:val="17"/>
        </w:numPr>
        <w:tabs>
          <w:tab w:val="left" w:pos="567"/>
        </w:tabs>
        <w:spacing w:after="240"/>
        <w:ind w:left="567" w:hanging="567"/>
        <w:contextualSpacing w:val="0"/>
        <w:rPr>
          <w:lang w:val="en-GB"/>
        </w:rPr>
      </w:pPr>
      <w:proofErr w:type="gramStart"/>
      <w:r w:rsidRPr="006B4843">
        <w:rPr>
          <w:lang w:val="en-GB"/>
        </w:rPr>
        <w:t>that</w:t>
      </w:r>
      <w:proofErr w:type="gramEnd"/>
      <w:r w:rsidRPr="006B4843">
        <w:rPr>
          <w:lang w:val="en-GB"/>
        </w:rPr>
        <w:t xml:space="preserve"> in EU/EFTA countries the radio equipment that is under the scope of this Decision shall comply </w:t>
      </w:r>
      <w:r w:rsidR="005E467D" w:rsidRPr="006B4843">
        <w:rPr>
          <w:lang w:val="en-GB"/>
        </w:rPr>
        <w:t xml:space="preserve"> </w:t>
      </w:r>
      <w:r w:rsidRPr="006B4843">
        <w:rPr>
          <w:lang w:val="en-GB"/>
        </w:rPr>
        <w:t xml:space="preserve">with </w:t>
      </w:r>
      <w:r w:rsidR="005E467D" w:rsidRPr="006B4843">
        <w:rPr>
          <w:lang w:val="en-GB"/>
        </w:rPr>
        <w:t xml:space="preserve">Council Directive </w:t>
      </w:r>
      <w:r w:rsidR="004967C5" w:rsidRPr="006B4843">
        <w:rPr>
          <w:lang w:val="en-GB"/>
        </w:rPr>
        <w:t>2014/90/EU</w:t>
      </w:r>
      <w:r w:rsidR="005E467D" w:rsidRPr="006B4843">
        <w:rPr>
          <w:lang w:val="en-GB"/>
        </w:rPr>
        <w:t xml:space="preserve"> </w:t>
      </w:r>
      <w:r w:rsidR="005E467D" w:rsidRPr="006B4843">
        <w:rPr>
          <w:lang w:val="en-GB"/>
        </w:rPr>
        <w:fldChar w:fldCharType="begin"/>
      </w:r>
      <w:r w:rsidR="005E467D" w:rsidRPr="006B4843">
        <w:rPr>
          <w:lang w:val="en-GB"/>
        </w:rPr>
        <w:instrText xml:space="preserve"> REF _Ref516554080 \r \h </w:instrText>
      </w:r>
      <w:r w:rsidR="0032761B" w:rsidRPr="006B4843">
        <w:rPr>
          <w:lang w:val="en-GB"/>
        </w:rPr>
        <w:instrText xml:space="preserve"> \* MERGEFORMAT </w:instrText>
      </w:r>
      <w:r w:rsidR="005E467D" w:rsidRPr="006B4843">
        <w:rPr>
          <w:lang w:val="en-GB"/>
        </w:rPr>
      </w:r>
      <w:r w:rsidR="005E467D" w:rsidRPr="006B4843">
        <w:rPr>
          <w:lang w:val="en-GB"/>
        </w:rPr>
        <w:fldChar w:fldCharType="separate"/>
      </w:r>
      <w:r w:rsidR="00292AC5" w:rsidRPr="006B4843">
        <w:rPr>
          <w:lang w:val="en-GB"/>
        </w:rPr>
        <w:t>[8]</w:t>
      </w:r>
      <w:r w:rsidR="005E467D" w:rsidRPr="006B4843">
        <w:rPr>
          <w:lang w:val="en-GB"/>
        </w:rPr>
        <w:fldChar w:fldCharType="end"/>
      </w:r>
      <w:r w:rsidR="005E467D" w:rsidRPr="006B4843">
        <w:rPr>
          <w:lang w:val="en-GB"/>
        </w:rPr>
        <w:t xml:space="preserve"> for marine equipment or </w:t>
      </w:r>
      <w:r w:rsidRPr="006B4843">
        <w:rPr>
          <w:lang w:val="en-GB"/>
        </w:rPr>
        <w:t>the RE Directive</w:t>
      </w:r>
      <w:r w:rsidR="007474B2" w:rsidRPr="006B4843">
        <w:rPr>
          <w:lang w:val="en-GB"/>
        </w:rPr>
        <w:t xml:space="preserve"> </w:t>
      </w:r>
      <w:r w:rsidR="007474B2" w:rsidRPr="006B4843">
        <w:rPr>
          <w:lang w:val="en-GB"/>
        </w:rPr>
        <w:fldChar w:fldCharType="begin"/>
      </w:r>
      <w:r w:rsidR="007474B2" w:rsidRPr="006B4843">
        <w:rPr>
          <w:lang w:val="en-GB"/>
        </w:rPr>
        <w:instrText xml:space="preserve"> REF _Ref516491667 \r \h </w:instrText>
      </w:r>
      <w:r w:rsidR="0032761B" w:rsidRPr="006B4843">
        <w:rPr>
          <w:lang w:val="en-GB"/>
        </w:rPr>
        <w:instrText xml:space="preserve"> \* MERGEFORMAT </w:instrText>
      </w:r>
      <w:r w:rsidR="007474B2" w:rsidRPr="006B4843">
        <w:rPr>
          <w:lang w:val="en-GB"/>
        </w:rPr>
      </w:r>
      <w:r w:rsidR="007474B2" w:rsidRPr="006B4843">
        <w:rPr>
          <w:lang w:val="en-GB"/>
        </w:rPr>
        <w:fldChar w:fldCharType="separate"/>
      </w:r>
      <w:r w:rsidR="00292AC5" w:rsidRPr="006B4843">
        <w:rPr>
          <w:lang w:val="en-GB"/>
        </w:rPr>
        <w:t>[7]</w:t>
      </w:r>
      <w:r w:rsidR="007474B2" w:rsidRPr="006B4843">
        <w:rPr>
          <w:lang w:val="en-GB"/>
        </w:rPr>
        <w:fldChar w:fldCharType="end"/>
      </w:r>
      <w:r w:rsidRPr="006B4843">
        <w:rPr>
          <w:lang w:val="en-GB"/>
        </w:rPr>
        <w:t>.</w:t>
      </w:r>
      <w:r w:rsidR="006B4843">
        <w:rPr>
          <w:lang w:val="en-GB"/>
        </w:rPr>
        <w:t xml:space="preserve"> </w:t>
      </w:r>
      <w:r w:rsidRPr="006B4843">
        <w:rPr>
          <w:lang w:val="en-GB"/>
        </w:rPr>
        <w:t>Conformity with the essential requirements of the</w:t>
      </w:r>
      <w:r w:rsidR="005E467D" w:rsidRPr="006B4843">
        <w:rPr>
          <w:lang w:val="en-GB"/>
        </w:rPr>
        <w:t xml:space="preserve">se </w:t>
      </w:r>
      <w:r w:rsidRPr="006B4843">
        <w:rPr>
          <w:lang w:val="en-GB"/>
        </w:rPr>
        <w:t>Directive</w:t>
      </w:r>
      <w:r w:rsidR="005E467D" w:rsidRPr="006B4843">
        <w:rPr>
          <w:lang w:val="en-GB"/>
        </w:rPr>
        <w:t>s</w:t>
      </w:r>
      <w:r w:rsidRPr="006B4843">
        <w:rPr>
          <w:lang w:val="en-GB"/>
        </w:rPr>
        <w:t xml:space="preserve"> may be demonstrated by compliance with the applicable harmonised European standard(s) or by using the other conformity assessment procedures set out in the</w:t>
      </w:r>
      <w:r w:rsidR="005E467D" w:rsidRPr="006B4843">
        <w:rPr>
          <w:lang w:val="en-GB"/>
        </w:rPr>
        <w:t>se</w:t>
      </w:r>
      <w:r w:rsidRPr="006B4843">
        <w:rPr>
          <w:lang w:val="en-GB"/>
        </w:rPr>
        <w:t xml:space="preserve"> Directive</w:t>
      </w:r>
      <w:r w:rsidR="005E467D" w:rsidRPr="006B4843">
        <w:rPr>
          <w:lang w:val="en-GB"/>
        </w:rPr>
        <w:t>s</w:t>
      </w:r>
      <w:r w:rsidRPr="006B4843">
        <w:rPr>
          <w:lang w:val="en-GB"/>
        </w:rPr>
        <w:t>.</w:t>
      </w:r>
    </w:p>
    <w:p w14:paraId="29E4DDA0" w14:textId="77777777" w:rsidR="006C03D0" w:rsidRPr="0092220A" w:rsidRDefault="005F7AD5" w:rsidP="006C03D0">
      <w:pPr>
        <w:pStyle w:val="ECCParagraph"/>
        <w:rPr>
          <w:color w:val="D2232A"/>
        </w:rPr>
      </w:pPr>
      <w:r w:rsidRPr="0092220A">
        <w:rPr>
          <w:i/>
          <w:color w:val="D2232A"/>
        </w:rPr>
        <w:t>DECIDES</w:t>
      </w:r>
      <w:r w:rsidRPr="0092220A">
        <w:rPr>
          <w:color w:val="D2232A"/>
        </w:rPr>
        <w:t xml:space="preserve"> </w:t>
      </w:r>
    </w:p>
    <w:p w14:paraId="29E4DDA1" w14:textId="77777777" w:rsidR="006C03D0" w:rsidRPr="0092220A" w:rsidRDefault="00A41673" w:rsidP="00E73D39">
      <w:pPr>
        <w:pStyle w:val="NumberedList"/>
        <w:spacing w:after="120"/>
      </w:pPr>
      <w:r w:rsidRPr="0092220A">
        <w:t xml:space="preserve">that the </w:t>
      </w:r>
      <w:r w:rsidR="00F32EE8" w:rsidRPr="0092220A">
        <w:rPr>
          <w:b/>
        </w:rPr>
        <w:t>purpose of this ECC</w:t>
      </w:r>
      <w:r w:rsidRPr="0092220A">
        <w:rPr>
          <w:b/>
        </w:rPr>
        <w:t xml:space="preserve"> Decision</w:t>
      </w:r>
      <w:r w:rsidRPr="0092220A">
        <w:t xml:space="preserve"> is to:</w:t>
      </w:r>
    </w:p>
    <w:p w14:paraId="29E4DDA2" w14:textId="77777777" w:rsidR="00A41673" w:rsidRPr="0092220A" w:rsidRDefault="00A41673" w:rsidP="00A41673">
      <w:pPr>
        <w:pStyle w:val="NumberedList"/>
        <w:numPr>
          <w:ilvl w:val="0"/>
          <w:numId w:val="22"/>
        </w:numPr>
      </w:pPr>
      <w:r w:rsidRPr="0092220A">
        <w:t xml:space="preserve">harmonise the use of the </w:t>
      </w:r>
      <w:r w:rsidR="00992DEA" w:rsidRPr="0092220A">
        <w:t>frequencies</w:t>
      </w:r>
      <w:r w:rsidR="00B2295E" w:rsidRPr="0092220A">
        <w:t xml:space="preserve"> and allow free circulation of equipment operating</w:t>
      </w:r>
      <w:r w:rsidR="00992DEA" w:rsidRPr="0092220A">
        <w:t xml:space="preserve"> in the VHF maritime mobile band</w:t>
      </w:r>
      <w:r w:rsidRPr="0092220A">
        <w:t>;</w:t>
      </w:r>
    </w:p>
    <w:p w14:paraId="29E4DDA3" w14:textId="77777777" w:rsidR="005A4988" w:rsidRPr="0092220A" w:rsidRDefault="005A4988" w:rsidP="005A4988">
      <w:pPr>
        <w:pStyle w:val="NumberedList"/>
        <w:numPr>
          <w:ilvl w:val="0"/>
          <w:numId w:val="22"/>
        </w:numPr>
      </w:pPr>
      <w:r w:rsidRPr="0092220A">
        <w:t>ensure an effective usage of spectrum;</w:t>
      </w:r>
    </w:p>
    <w:p w14:paraId="29E4DDA4" w14:textId="77777777" w:rsidR="005A422F" w:rsidRPr="0092220A" w:rsidRDefault="00A41673" w:rsidP="005A422F">
      <w:pPr>
        <w:pStyle w:val="NumberedList"/>
        <w:numPr>
          <w:ilvl w:val="0"/>
          <w:numId w:val="21"/>
        </w:numPr>
      </w:pPr>
      <w:r w:rsidRPr="0092220A">
        <w:t xml:space="preserve">establish a common framework for </w:t>
      </w:r>
      <w:r w:rsidR="00E3257D" w:rsidRPr="0092220A">
        <w:t xml:space="preserve">a time schedule to implement </w:t>
      </w:r>
      <w:r w:rsidR="00B2295E" w:rsidRPr="0092220A">
        <w:t xml:space="preserve">the footnotes for </w:t>
      </w:r>
      <w:r w:rsidR="00E3257D" w:rsidRPr="0092220A">
        <w:t>digital data exchange</w:t>
      </w:r>
      <w:r w:rsidR="005A422F" w:rsidRPr="0092220A">
        <w:t>;</w:t>
      </w:r>
    </w:p>
    <w:p w14:paraId="29E4DDA5" w14:textId="77777777" w:rsidR="005A422F" w:rsidRPr="0092220A" w:rsidRDefault="005A422F" w:rsidP="005A422F">
      <w:pPr>
        <w:pStyle w:val="NumberedList"/>
        <w:numPr>
          <w:ilvl w:val="0"/>
          <w:numId w:val="22"/>
        </w:numPr>
      </w:pPr>
      <w:r w:rsidRPr="0092220A">
        <w:t xml:space="preserve">establish a common framework for </w:t>
      </w:r>
      <w:r w:rsidR="00F5682C" w:rsidRPr="0092220A">
        <w:t xml:space="preserve"> the </w:t>
      </w:r>
      <w:r w:rsidRPr="0092220A">
        <w:t>coordination of coast stations</w:t>
      </w:r>
      <w:r w:rsidR="00F921E9" w:rsidRPr="0092220A">
        <w:t xml:space="preserve"> to:</w:t>
      </w:r>
    </w:p>
    <w:p w14:paraId="29E4DDA6" w14:textId="77777777" w:rsidR="005A422F" w:rsidRPr="0092220A" w:rsidRDefault="005A422F" w:rsidP="00EA239D">
      <w:pPr>
        <w:pStyle w:val="NumberedList"/>
        <w:numPr>
          <w:ilvl w:val="0"/>
          <w:numId w:val="28"/>
        </w:numPr>
        <w:ind w:left="1134" w:hanging="425"/>
      </w:pPr>
      <w:r w:rsidRPr="0092220A">
        <w:t xml:space="preserve">enable </w:t>
      </w:r>
      <w:r w:rsidR="00EA239D" w:rsidRPr="0092220A">
        <w:t xml:space="preserve">the usage of </w:t>
      </w:r>
      <w:r w:rsidRPr="0092220A">
        <w:t xml:space="preserve">the </w:t>
      </w:r>
      <w:r w:rsidR="00EA239D" w:rsidRPr="0092220A">
        <w:t>indicated channels for digital data exchange</w:t>
      </w:r>
      <w:r w:rsidR="0004444A" w:rsidRPr="0092220A">
        <w:t>;</w:t>
      </w:r>
    </w:p>
    <w:p w14:paraId="29E4DDA7" w14:textId="77777777" w:rsidR="00EA239D" w:rsidRPr="0092220A" w:rsidRDefault="00EA239D" w:rsidP="00EA239D">
      <w:pPr>
        <w:pStyle w:val="NumberedList"/>
        <w:numPr>
          <w:ilvl w:val="0"/>
          <w:numId w:val="28"/>
        </w:numPr>
        <w:ind w:left="1134" w:hanging="425"/>
      </w:pPr>
      <w:r w:rsidRPr="0092220A">
        <w:t>enable the usage of the indicated ASM channels</w:t>
      </w:r>
      <w:r w:rsidR="00E65D25" w:rsidRPr="0092220A">
        <w:t>;</w:t>
      </w:r>
      <w:r w:rsidR="002E6F26" w:rsidRPr="0092220A">
        <w:t xml:space="preserve"> </w:t>
      </w:r>
    </w:p>
    <w:p w14:paraId="29E4DDA8" w14:textId="77777777" w:rsidR="00650E6B" w:rsidRPr="0092220A" w:rsidRDefault="00650E6B" w:rsidP="00C90F4F">
      <w:pPr>
        <w:pStyle w:val="NumberedList"/>
        <w:jc w:val="left"/>
      </w:pPr>
      <w:r w:rsidRPr="0092220A">
        <w:t>that CEPT administrations designate the frequency bands corresponding to channels: 24, 84, 25, 85, 26 and 86 of RR Appendix 18</w:t>
      </w:r>
      <w:r w:rsidR="002467FA" w:rsidRPr="0092220A">
        <w:t xml:space="preserve"> </w:t>
      </w:r>
      <w:r w:rsidRPr="0092220A">
        <w:t>for the use of the terrestrial component of the VDES;</w:t>
      </w:r>
    </w:p>
    <w:p w14:paraId="29E4DDA9" w14:textId="77777777" w:rsidR="00650E6B" w:rsidRPr="0092220A" w:rsidRDefault="00650E6B" w:rsidP="00C90F4F">
      <w:pPr>
        <w:pStyle w:val="NumberedList"/>
        <w:jc w:val="left"/>
      </w:pPr>
      <w:r w:rsidRPr="0092220A">
        <w:lastRenderedPageBreak/>
        <w:t xml:space="preserve">that CEPT </w:t>
      </w:r>
      <w:r w:rsidR="002467FA" w:rsidRPr="0092220A">
        <w:t>administrations shall</w:t>
      </w:r>
      <w:r w:rsidRPr="0092220A">
        <w:t xml:space="preserve"> not implement a regional VDES on the frequency bands corresponding to channels: 80, 21, 81, 22, 82, 23 and 83 of RR Appendix 18;</w:t>
      </w:r>
    </w:p>
    <w:p w14:paraId="29E4DDAA" w14:textId="77777777" w:rsidR="00D61A75" w:rsidRPr="0092220A" w:rsidRDefault="00635516" w:rsidP="00C90F4F">
      <w:pPr>
        <w:pStyle w:val="NumberedList"/>
        <w:jc w:val="left"/>
      </w:pPr>
      <w:r w:rsidRPr="0092220A">
        <w:t xml:space="preserve">that CEPT administrations shall implement the </w:t>
      </w:r>
      <w:r w:rsidR="00AE14D4" w:rsidRPr="0092220A">
        <w:t xml:space="preserve">decisions on </w:t>
      </w:r>
      <w:r w:rsidRPr="0092220A">
        <w:t>VHF channels as described in Annex 1 of this Decision;</w:t>
      </w:r>
    </w:p>
    <w:p w14:paraId="29E4DDAB" w14:textId="77777777" w:rsidR="00635516" w:rsidRPr="0092220A" w:rsidRDefault="00635516" w:rsidP="00C90F4F">
      <w:pPr>
        <w:pStyle w:val="NumberedList"/>
      </w:pPr>
      <w:r w:rsidRPr="0092220A">
        <w:t xml:space="preserve">that CEPT administrations shall </w:t>
      </w:r>
      <w:r w:rsidR="00787D46" w:rsidRPr="0092220A">
        <w:t>coordinate changes of channels within the time schedule as described in Annex 2 of this Decision;</w:t>
      </w:r>
    </w:p>
    <w:p w14:paraId="29E4DDAC" w14:textId="77777777" w:rsidR="00E07C33" w:rsidRPr="0092220A" w:rsidRDefault="00E07C33" w:rsidP="00C90F4F">
      <w:pPr>
        <w:pStyle w:val="NumberedList"/>
      </w:pPr>
      <w:r w:rsidRPr="0092220A">
        <w:t xml:space="preserve">that all </w:t>
      </w:r>
      <w:r w:rsidR="00422F7F" w:rsidRPr="0092220A">
        <w:t xml:space="preserve">stations operating </w:t>
      </w:r>
      <w:r w:rsidRPr="0092220A">
        <w:t xml:space="preserve">in </w:t>
      </w:r>
      <w:r w:rsidR="00AE14D4" w:rsidRPr="0092220A">
        <w:t xml:space="preserve">the territorial </w:t>
      </w:r>
      <w:r w:rsidR="008A6942" w:rsidRPr="0092220A">
        <w:t xml:space="preserve">sea and inland </w:t>
      </w:r>
      <w:r w:rsidRPr="0092220A">
        <w:t>waters</w:t>
      </w:r>
      <w:r w:rsidR="008A6942" w:rsidRPr="0092220A">
        <w:rPr>
          <w:rStyle w:val="FootnoteReference"/>
        </w:rPr>
        <w:footnoteReference w:id="1"/>
      </w:r>
      <w:r w:rsidRPr="0092220A">
        <w:t xml:space="preserve"> </w:t>
      </w:r>
      <w:r w:rsidR="00422F7F" w:rsidRPr="0092220A">
        <w:t xml:space="preserve">of CEPT administrations </w:t>
      </w:r>
      <w:r w:rsidR="008A6942" w:rsidRPr="0092220A">
        <w:t>or close to national offshore installations which are subject to regulations issued by</w:t>
      </w:r>
      <w:r w:rsidRPr="0092220A">
        <w:t xml:space="preserve"> CEPT administrations shall fulfil the rules of this Decision;</w:t>
      </w:r>
      <w:r w:rsidR="008A6942" w:rsidRPr="0092220A">
        <w:t xml:space="preserve"> </w:t>
      </w:r>
    </w:p>
    <w:p w14:paraId="29E4DDAD" w14:textId="77777777" w:rsidR="002467FA" w:rsidRPr="0092220A" w:rsidRDefault="0004444A" w:rsidP="00C90F4F">
      <w:pPr>
        <w:pStyle w:val="NumberedList"/>
      </w:pPr>
      <w:proofErr w:type="gramStart"/>
      <w:r w:rsidRPr="0092220A">
        <w:t>that</w:t>
      </w:r>
      <w:proofErr w:type="gramEnd"/>
      <w:r w:rsidRPr="0092220A">
        <w:t xml:space="preserve"> CEPT administrations</w:t>
      </w:r>
      <w:r w:rsidR="002467FA" w:rsidRPr="0092220A">
        <w:t xml:space="preserve"> shall ensure </w:t>
      </w:r>
      <w:r w:rsidR="00BE5E75" w:rsidRPr="0092220A">
        <w:t xml:space="preserve">satisfactory </w:t>
      </w:r>
      <w:r w:rsidR="002467FA" w:rsidRPr="0092220A">
        <w:t xml:space="preserve">communications for ship movement services and  port </w:t>
      </w:r>
      <w:r w:rsidR="00FF7F31" w:rsidRPr="0092220A">
        <w:t xml:space="preserve">operations </w:t>
      </w:r>
      <w:r w:rsidR="002467FA" w:rsidRPr="0092220A">
        <w:t>service. In doing so</w:t>
      </w:r>
      <w:r w:rsidR="00D46041" w:rsidRPr="0092220A">
        <w:t>,</w:t>
      </w:r>
      <w:r w:rsidR="002467FA" w:rsidRPr="0092220A">
        <w:t xml:space="preserve"> CEPT </w:t>
      </w:r>
      <w:r w:rsidR="00D46041" w:rsidRPr="0092220A">
        <w:t>a</w:t>
      </w:r>
      <w:r w:rsidR="002467FA" w:rsidRPr="0092220A">
        <w:t>dministrations should give due regard to the information provided in Annex 3;</w:t>
      </w:r>
    </w:p>
    <w:p w14:paraId="29E4DDAE" w14:textId="75EA4D96" w:rsidR="00713DBA" w:rsidRPr="0092220A" w:rsidRDefault="00713DBA" w:rsidP="00C90F4F">
      <w:pPr>
        <w:pStyle w:val="NumberedList"/>
        <w:jc w:val="left"/>
      </w:pPr>
      <w:r w:rsidRPr="0092220A">
        <w:t xml:space="preserve">that this Decision </w:t>
      </w:r>
      <w:r w:rsidRPr="0092220A">
        <w:rPr>
          <w:b/>
        </w:rPr>
        <w:t>enters into force</w:t>
      </w:r>
      <w:r w:rsidRPr="0092220A">
        <w:t xml:space="preserve"> on </w:t>
      </w:r>
      <w:r w:rsidR="00AA128E">
        <w:t>8 March 2019</w:t>
      </w:r>
      <w:r w:rsidRPr="0092220A">
        <w:t>;</w:t>
      </w:r>
    </w:p>
    <w:p w14:paraId="29E4DDAF" w14:textId="3DCE0739" w:rsidR="00F5682C" w:rsidRPr="0092220A" w:rsidRDefault="00F5682C" w:rsidP="00C90F4F">
      <w:pPr>
        <w:pStyle w:val="NumberedList"/>
        <w:jc w:val="left"/>
      </w:pPr>
      <w:r w:rsidRPr="0092220A">
        <w:t xml:space="preserve">that the preferred date for implementation of this Decision shall be </w:t>
      </w:r>
      <w:r w:rsidR="00BC1166">
        <w:t>8 September</w:t>
      </w:r>
      <w:r w:rsidR="00AA128E">
        <w:t xml:space="preserve"> 2019;</w:t>
      </w:r>
      <w:r w:rsidRPr="0092220A">
        <w:t xml:space="preserve"> </w:t>
      </w:r>
    </w:p>
    <w:p w14:paraId="29E4DDB0" w14:textId="77777777" w:rsidR="00D177A0" w:rsidRPr="0092220A" w:rsidRDefault="00D177A0" w:rsidP="00C90F4F">
      <w:pPr>
        <w:pStyle w:val="NumberedList"/>
        <w:jc w:val="left"/>
      </w:pPr>
      <w:r w:rsidRPr="0092220A">
        <w:t>that CEPT administrations shall ensure that this Decision is brought to the attention of the relevant maritime authorities;</w:t>
      </w:r>
    </w:p>
    <w:p w14:paraId="29E4DDB1" w14:textId="77777777" w:rsidR="006C03D0" w:rsidRPr="0092220A" w:rsidRDefault="00713DBA" w:rsidP="00D90B0A">
      <w:pPr>
        <w:pStyle w:val="NumberedList"/>
        <w:keepNext/>
      </w:pPr>
      <w:proofErr w:type="gramStart"/>
      <w:r w:rsidRPr="0092220A">
        <w:t>that</w:t>
      </w:r>
      <w:proofErr w:type="gramEnd"/>
      <w:r w:rsidRPr="0092220A">
        <w:t xml:space="preserve"> CEPT administrations shall communicate the </w:t>
      </w:r>
      <w:r w:rsidRPr="0092220A">
        <w:rPr>
          <w:b/>
        </w:rPr>
        <w:t>national measures</w:t>
      </w:r>
      <w:r w:rsidRPr="0092220A">
        <w:t xml:space="preserve"> implementing this Decision to the ECC Chairman and the Office when th</w:t>
      </w:r>
      <w:r w:rsidR="00F32EE8" w:rsidRPr="0092220A">
        <w:t>is ECC</w:t>
      </w:r>
      <w:r w:rsidRPr="0092220A">
        <w:t xml:space="preserve"> Decision is nationally implemented.”</w:t>
      </w:r>
    </w:p>
    <w:p w14:paraId="29E4DDB2" w14:textId="77777777" w:rsidR="001C46EA" w:rsidRPr="0092220A" w:rsidRDefault="001C46EA" w:rsidP="00D90B0A">
      <w:pPr>
        <w:pStyle w:val="ECCParagraph"/>
        <w:keepNext/>
      </w:pPr>
    </w:p>
    <w:p w14:paraId="29E4DDB3" w14:textId="77777777" w:rsidR="001C46EA" w:rsidRPr="0092220A" w:rsidRDefault="001C46EA" w:rsidP="00D90B0A">
      <w:pPr>
        <w:pStyle w:val="ECCParagraph"/>
        <w:keepNext/>
        <w:rPr>
          <w:i/>
          <w:color w:val="D2232A"/>
        </w:rPr>
      </w:pPr>
      <w:r w:rsidRPr="0092220A">
        <w:rPr>
          <w:i/>
          <w:color w:val="D2232A"/>
        </w:rPr>
        <w:t xml:space="preserve">Note: </w:t>
      </w:r>
    </w:p>
    <w:p w14:paraId="29E4DDB4" w14:textId="77777777" w:rsidR="001C46EA" w:rsidRPr="0092220A" w:rsidRDefault="001C46EA" w:rsidP="00D90B0A">
      <w:pPr>
        <w:pStyle w:val="ECCParagraph"/>
        <w:keepNext/>
      </w:pPr>
      <w:r w:rsidRPr="0092220A">
        <w:rPr>
          <w:i/>
          <w:szCs w:val="20"/>
        </w:rPr>
        <w:t xml:space="preserve">Please check the Office documentation database </w:t>
      </w:r>
      <w:hyperlink r:id="rId9" w:history="1">
        <w:r w:rsidR="00C353C1" w:rsidRPr="0092220A">
          <w:rPr>
            <w:rStyle w:val="Hyperlink"/>
            <w:i/>
            <w:szCs w:val="20"/>
          </w:rPr>
          <w:t>https://www.ecodocdb.dk</w:t>
        </w:r>
      </w:hyperlink>
      <w:r w:rsidRPr="0092220A">
        <w:rPr>
          <w:i/>
          <w:szCs w:val="20"/>
        </w:rPr>
        <w:t xml:space="preserve"> for the up to date position on the implementation of this and other ECC Decisions.</w:t>
      </w:r>
    </w:p>
    <w:p w14:paraId="29E4DDB5" w14:textId="77777777" w:rsidR="007D7331" w:rsidRPr="0092220A" w:rsidRDefault="00F630C4" w:rsidP="007D7331">
      <w:pPr>
        <w:pStyle w:val="ECCAnnex-heading1"/>
      </w:pPr>
      <w:r w:rsidRPr="0092220A">
        <w:lastRenderedPageBreak/>
        <w:t xml:space="preserve">Relevant Footnotes of </w:t>
      </w:r>
      <w:r w:rsidR="007D7331" w:rsidRPr="0092220A">
        <w:t xml:space="preserve">Appendix 18 </w:t>
      </w:r>
      <w:r w:rsidR="00DB085C" w:rsidRPr="0092220A">
        <w:t>(</w:t>
      </w:r>
      <w:r w:rsidR="007D7331" w:rsidRPr="0092220A">
        <w:t>Radio Regulations 2016</w:t>
      </w:r>
      <w:r w:rsidR="00DB085C" w:rsidRPr="0092220A">
        <w:t>)</w:t>
      </w:r>
      <w:r w:rsidRPr="0092220A">
        <w:t xml:space="preserve"> </w:t>
      </w:r>
      <w:r w:rsidR="007474B2" w:rsidRPr="004A639E">
        <w:fldChar w:fldCharType="begin"/>
      </w:r>
      <w:r w:rsidR="007474B2" w:rsidRPr="0092220A">
        <w:instrText xml:space="preserve"> REF _Ref516490889 \r \h </w:instrText>
      </w:r>
      <w:r w:rsidR="007474B2" w:rsidRPr="004A639E">
        <w:fldChar w:fldCharType="separate"/>
      </w:r>
      <w:r w:rsidR="00292AC5" w:rsidRPr="0092220A">
        <w:t>[1]</w:t>
      </w:r>
      <w:r w:rsidR="007474B2" w:rsidRPr="004A639E">
        <w:fldChar w:fldCharType="end"/>
      </w:r>
    </w:p>
    <w:p w14:paraId="29E4DDB6" w14:textId="77777777" w:rsidR="00F630C4" w:rsidRPr="0092220A" w:rsidRDefault="00F83A24" w:rsidP="00C90F4F">
      <w:pPr>
        <w:pStyle w:val="ECCParagraph"/>
      </w:pPr>
      <w:r w:rsidRPr="0092220A">
        <w:t>Annex 1 contains the relevant footnotes, comments on it and the basic decisions of implementation in CEPT countries</w:t>
      </w:r>
      <w:r w:rsidR="0091539D" w:rsidRPr="0092220A">
        <w:t xml:space="preserve"> in particular</w:t>
      </w:r>
      <w:r w:rsidRPr="0092220A">
        <w:t xml:space="preserve">. </w:t>
      </w:r>
    </w:p>
    <w:p w14:paraId="29E4DDB7" w14:textId="77777777" w:rsidR="002F46C4" w:rsidRPr="0092220A" w:rsidRDefault="00CE3731" w:rsidP="00CE3731">
      <w:pPr>
        <w:pStyle w:val="ECCParBulleted"/>
        <w:rPr>
          <w:b/>
          <w:u w:val="single"/>
        </w:rPr>
      </w:pPr>
      <w:r w:rsidRPr="0092220A">
        <w:rPr>
          <w:b/>
          <w:u w:val="single"/>
        </w:rPr>
        <w:t xml:space="preserve">RR Appendix 18 </w:t>
      </w:r>
      <w:r w:rsidR="002F46C4" w:rsidRPr="0092220A">
        <w:rPr>
          <w:b/>
          <w:u w:val="single"/>
        </w:rPr>
        <w:t xml:space="preserve">Footnote </w:t>
      </w:r>
      <w:r w:rsidR="002F46C4" w:rsidRPr="0092220A">
        <w:rPr>
          <w:b/>
          <w:i/>
          <w:u w:val="single"/>
        </w:rPr>
        <w:t>m)</w:t>
      </w:r>
    </w:p>
    <w:p w14:paraId="29E4DDB8" w14:textId="77777777" w:rsidR="002F46C4" w:rsidRPr="0092220A" w:rsidRDefault="00FC59EA" w:rsidP="002F46C4">
      <w:pPr>
        <w:pStyle w:val="ECCParBulleted"/>
        <w:numPr>
          <w:ilvl w:val="0"/>
          <w:numId w:val="0"/>
        </w:numPr>
        <w:ind w:left="360"/>
        <w:rPr>
          <w:i/>
        </w:rPr>
      </w:pPr>
      <w:r w:rsidRPr="0092220A">
        <w:t>“</w:t>
      </w:r>
      <w:r w:rsidR="002F46C4" w:rsidRPr="0092220A">
        <w:rPr>
          <w:i/>
        </w:rPr>
        <w:t>These channels may be operated as single frequency channels, subject to coordination with affected administrations. The following conditions apply for single frequency usage:</w:t>
      </w:r>
    </w:p>
    <w:p w14:paraId="29E4DDB9" w14:textId="77777777" w:rsidR="002F46C4" w:rsidRPr="009A071C" w:rsidRDefault="002F46C4" w:rsidP="002F46C4">
      <w:pPr>
        <w:pStyle w:val="Tablelegend"/>
        <w:tabs>
          <w:tab w:val="clear" w:pos="284"/>
          <w:tab w:val="clear" w:pos="1134"/>
          <w:tab w:val="left" w:pos="851"/>
        </w:tabs>
        <w:spacing w:before="80"/>
        <w:ind w:left="851" w:hanging="425"/>
        <w:rPr>
          <w:rFonts w:ascii="Arial" w:hAnsi="Arial" w:cs="Arial"/>
          <w:i/>
        </w:rPr>
      </w:pPr>
      <w:r w:rsidRPr="009A071C">
        <w:rPr>
          <w:rFonts w:ascii="Arial" w:hAnsi="Arial" w:cs="Arial"/>
          <w:i/>
        </w:rPr>
        <w:t>–</w:t>
      </w:r>
      <w:r w:rsidRPr="009A071C">
        <w:rPr>
          <w:rFonts w:ascii="Arial" w:hAnsi="Arial" w:cs="Arial"/>
          <w:i/>
        </w:rPr>
        <w:tab/>
        <w:t xml:space="preserve">The lower frequency portion of these channels may be operated as single frequency channels by ship and coast stations. </w:t>
      </w:r>
    </w:p>
    <w:p w14:paraId="29E4DDBA" w14:textId="77777777" w:rsidR="002F46C4" w:rsidRPr="009A071C" w:rsidRDefault="002F46C4" w:rsidP="002F46C4">
      <w:pPr>
        <w:pStyle w:val="Tablelegend"/>
        <w:tabs>
          <w:tab w:val="clear" w:pos="284"/>
          <w:tab w:val="clear" w:pos="1134"/>
          <w:tab w:val="left" w:pos="851"/>
        </w:tabs>
        <w:spacing w:before="80"/>
        <w:ind w:left="851" w:hanging="425"/>
        <w:rPr>
          <w:rFonts w:ascii="Arial" w:hAnsi="Arial" w:cs="Arial"/>
          <w:i/>
        </w:rPr>
      </w:pPr>
      <w:r w:rsidRPr="009A071C">
        <w:rPr>
          <w:rFonts w:ascii="Arial" w:hAnsi="Arial" w:cs="Arial"/>
          <w:i/>
        </w:rPr>
        <w:t>–</w:t>
      </w:r>
      <w:r w:rsidRPr="009A071C">
        <w:rPr>
          <w:rFonts w:ascii="Arial" w:hAnsi="Arial" w:cs="Arial"/>
          <w:i/>
        </w:rPr>
        <w:tab/>
        <w:t>Transmission using the upper frequency portion of these channels is limited to coast stations.</w:t>
      </w:r>
    </w:p>
    <w:p w14:paraId="29E4DDBB" w14:textId="77777777" w:rsidR="002F46C4" w:rsidRPr="009A071C" w:rsidRDefault="002F46C4" w:rsidP="002F46C4">
      <w:pPr>
        <w:pStyle w:val="Tablelegend"/>
        <w:tabs>
          <w:tab w:val="clear" w:pos="284"/>
          <w:tab w:val="clear" w:pos="1134"/>
          <w:tab w:val="left" w:pos="851"/>
        </w:tabs>
        <w:spacing w:before="80"/>
        <w:ind w:left="851" w:hanging="425"/>
        <w:rPr>
          <w:rFonts w:ascii="Arial" w:hAnsi="Arial" w:cs="Arial"/>
          <w:i/>
        </w:rPr>
      </w:pPr>
      <w:r w:rsidRPr="009A071C">
        <w:rPr>
          <w:rFonts w:ascii="Arial" w:hAnsi="Arial" w:cs="Arial"/>
          <w:i/>
        </w:rPr>
        <w:t>–</w:t>
      </w:r>
      <w:r w:rsidRPr="009A071C">
        <w:rPr>
          <w:rFonts w:ascii="Arial" w:hAnsi="Arial" w:cs="Arial"/>
          <w:i/>
        </w:rPr>
        <w:tab/>
        <w:t>If permitted by administrations and specified by national regulations, the upper frequency portion of these channels may be used by ship stations for transmission. All precautions should be taken to avoid harmful interference to channels AIS 1, AIS 2, 2027* and 2028*.</w:t>
      </w:r>
      <w:r w:rsidRPr="009A071C">
        <w:rPr>
          <w:rFonts w:ascii="Arial" w:hAnsi="Arial" w:cs="Arial"/>
          <w:i/>
          <w:sz w:val="16"/>
          <w:szCs w:val="16"/>
        </w:rPr>
        <w:t>     (WRC</w:t>
      </w:r>
      <w:r w:rsidRPr="009A071C">
        <w:rPr>
          <w:rFonts w:ascii="Arial" w:hAnsi="Arial" w:cs="Arial"/>
          <w:i/>
          <w:sz w:val="16"/>
          <w:szCs w:val="16"/>
        </w:rPr>
        <w:noBreakHyphen/>
        <w:t>15)</w:t>
      </w:r>
    </w:p>
    <w:p w14:paraId="29E4DDBC" w14:textId="77777777" w:rsidR="002F46C4" w:rsidRPr="009A071C" w:rsidRDefault="002F46C4" w:rsidP="002F46C4">
      <w:pPr>
        <w:pStyle w:val="Tablelegend"/>
        <w:tabs>
          <w:tab w:val="clear" w:pos="284"/>
          <w:tab w:val="clear" w:pos="1134"/>
        </w:tabs>
        <w:spacing w:before="80" w:after="120"/>
        <w:ind w:left="993" w:hanging="141"/>
        <w:rPr>
          <w:rFonts w:ascii="Arial" w:hAnsi="Arial" w:cs="Arial"/>
        </w:rPr>
      </w:pPr>
      <w:r w:rsidRPr="009A071C">
        <w:rPr>
          <w:rFonts w:ascii="Arial" w:hAnsi="Arial" w:cs="Arial"/>
          <w:i/>
        </w:rPr>
        <w:t>*</w:t>
      </w:r>
      <w:r w:rsidRPr="009A071C">
        <w:rPr>
          <w:rFonts w:ascii="Arial" w:hAnsi="Arial" w:cs="Arial"/>
          <w:i/>
        </w:rPr>
        <w:tab/>
        <w:t>From 1 January 2019, channel 2027 will be designated ASM 1 and channel 2028 will be designated ASM 2.</w:t>
      </w:r>
      <w:r w:rsidR="00FC59EA" w:rsidRPr="009A071C">
        <w:rPr>
          <w:rFonts w:ascii="Arial" w:hAnsi="Arial" w:cs="Arial"/>
        </w:rPr>
        <w:t>”</w:t>
      </w:r>
    </w:p>
    <w:p w14:paraId="29E4DDBD" w14:textId="77777777" w:rsidR="002F46C4" w:rsidRPr="009A071C" w:rsidRDefault="002F46C4" w:rsidP="002F46C4">
      <w:pPr>
        <w:pStyle w:val="ECCParBulleted"/>
        <w:numPr>
          <w:ilvl w:val="0"/>
          <w:numId w:val="0"/>
        </w:numPr>
        <w:ind w:left="360"/>
      </w:pPr>
      <w:r w:rsidRPr="009A071C">
        <w:t xml:space="preserve">Comment to footnote </w:t>
      </w:r>
      <w:r w:rsidRPr="009A071C">
        <w:rPr>
          <w:i/>
        </w:rPr>
        <w:t>m)</w:t>
      </w:r>
      <w:r w:rsidRPr="009A071C">
        <w:t>:</w:t>
      </w:r>
    </w:p>
    <w:p w14:paraId="29E4DDBE" w14:textId="77777777" w:rsidR="002F46C4" w:rsidRPr="009A071C" w:rsidRDefault="000A35E7" w:rsidP="002F46C4">
      <w:pPr>
        <w:pStyle w:val="ECCParBulleted"/>
        <w:numPr>
          <w:ilvl w:val="0"/>
          <w:numId w:val="0"/>
        </w:numPr>
        <w:ind w:left="360"/>
      </w:pPr>
      <w:r w:rsidRPr="009A071C">
        <w:t xml:space="preserve">Channels marked with footnote </w:t>
      </w:r>
      <w:r w:rsidRPr="009A071C">
        <w:rPr>
          <w:i/>
        </w:rPr>
        <w:t>m)</w:t>
      </w:r>
      <w:r w:rsidRPr="009A071C">
        <w:t xml:space="preserve"> </w:t>
      </w:r>
      <w:r w:rsidR="00BE5E75" w:rsidRPr="009A071C">
        <w:t xml:space="preserve">may be used </w:t>
      </w:r>
      <w:r w:rsidRPr="009A071C">
        <w:t xml:space="preserve">in connection with </w:t>
      </w:r>
      <w:r w:rsidR="00A43583" w:rsidRPr="009A071C">
        <w:t>the public switched telephone network (</w:t>
      </w:r>
      <w:r w:rsidRPr="009A071C">
        <w:t>PSTN</w:t>
      </w:r>
      <w:r w:rsidR="00A43583" w:rsidRPr="009A071C">
        <w:t>)</w:t>
      </w:r>
      <w:r w:rsidRPr="009A071C">
        <w:t>. C</w:t>
      </w:r>
      <w:r w:rsidR="002F46C4" w:rsidRPr="009A071C">
        <w:t>oncern</w:t>
      </w:r>
      <w:r w:rsidRPr="009A071C">
        <w:t>ed</w:t>
      </w:r>
      <w:r w:rsidR="002F46C4" w:rsidRPr="009A071C">
        <w:t xml:space="preserve"> </w:t>
      </w:r>
      <w:r w:rsidRPr="009A071C">
        <w:t xml:space="preserve">is </w:t>
      </w:r>
      <w:r w:rsidR="002F46C4" w:rsidRPr="009A071C">
        <w:t xml:space="preserve">analogue voice telephony. To split duplex channels for simplex use </w:t>
      </w:r>
      <w:r w:rsidR="003C0994" w:rsidRPr="009A071C">
        <w:t xml:space="preserve">maybe </w:t>
      </w:r>
      <w:r w:rsidR="002F46C4" w:rsidRPr="009A071C">
        <w:t xml:space="preserve">an advantage for port operations services and ship movement services because ships stations can follow the entire communication, </w:t>
      </w:r>
      <w:r w:rsidR="008D5929" w:rsidRPr="009A071C">
        <w:t xml:space="preserve">in case of </w:t>
      </w:r>
      <w:r w:rsidR="002F46C4" w:rsidRPr="009A071C">
        <w:t>duplex operation only the coast station could be listened</w:t>
      </w:r>
      <w:r w:rsidR="008D5929" w:rsidRPr="009A071C">
        <w:t xml:space="preserve"> by ships</w:t>
      </w:r>
      <w:r w:rsidR="002F46C4" w:rsidRPr="009A071C">
        <w:t xml:space="preserve">. However this does not provide two two-way simplex channels because the </w:t>
      </w:r>
      <w:r w:rsidR="00CB3935" w:rsidRPr="009A071C">
        <w:t>“</w:t>
      </w:r>
      <w:r w:rsidR="002F46C4" w:rsidRPr="009A071C">
        <w:t>upper leg</w:t>
      </w:r>
      <w:r w:rsidR="00CB3935" w:rsidRPr="009A071C">
        <w:t>”</w:t>
      </w:r>
      <w:r w:rsidR="002F46C4" w:rsidRPr="009A071C">
        <w:t xml:space="preserve"> may not be used on ship</w:t>
      </w:r>
      <w:r w:rsidR="008D5929" w:rsidRPr="009A071C">
        <w:t>s</w:t>
      </w:r>
      <w:r w:rsidR="002F46C4" w:rsidRPr="009A071C">
        <w:t xml:space="preserve">. The simplex use of channels will increase congestion. </w:t>
      </w:r>
    </w:p>
    <w:p w14:paraId="29E4DDBF" w14:textId="77777777" w:rsidR="002F46C4" w:rsidRPr="009A071C" w:rsidRDefault="002F46C4" w:rsidP="002F46C4">
      <w:pPr>
        <w:pStyle w:val="ECCParBulleted"/>
        <w:numPr>
          <w:ilvl w:val="0"/>
          <w:numId w:val="0"/>
        </w:numPr>
        <w:ind w:left="360"/>
        <w:rPr>
          <w:b/>
          <w:u w:val="single"/>
        </w:rPr>
      </w:pPr>
      <w:r w:rsidRPr="009A071C">
        <w:rPr>
          <w:b/>
          <w:u w:val="single"/>
        </w:rPr>
        <w:t xml:space="preserve">Decision </w:t>
      </w:r>
      <w:r w:rsidR="008D5929" w:rsidRPr="009A071C">
        <w:rPr>
          <w:b/>
          <w:u w:val="single"/>
        </w:rPr>
        <w:t>on implementation of</w:t>
      </w:r>
      <w:r w:rsidRPr="009A071C">
        <w:rPr>
          <w:b/>
          <w:u w:val="single"/>
        </w:rPr>
        <w:t xml:space="preserve"> </w:t>
      </w:r>
      <w:r w:rsidR="007F6757" w:rsidRPr="009A071C">
        <w:rPr>
          <w:b/>
          <w:u w:val="single"/>
        </w:rPr>
        <w:t>F</w:t>
      </w:r>
      <w:r w:rsidRPr="009A071C">
        <w:rPr>
          <w:b/>
          <w:u w:val="single"/>
        </w:rPr>
        <w:t xml:space="preserve">ootnote </w:t>
      </w:r>
      <w:r w:rsidRPr="009A071C">
        <w:rPr>
          <w:b/>
          <w:i/>
          <w:u w:val="single"/>
        </w:rPr>
        <w:t>m)</w:t>
      </w:r>
      <w:r w:rsidRPr="009A071C">
        <w:rPr>
          <w:b/>
          <w:u w:val="single"/>
        </w:rPr>
        <w:t>:</w:t>
      </w:r>
    </w:p>
    <w:p w14:paraId="29E4DDC0" w14:textId="77777777" w:rsidR="00F83A24" w:rsidRPr="009A071C" w:rsidRDefault="00A43583" w:rsidP="00F82E4F">
      <w:pPr>
        <w:pStyle w:val="ECCParBulleted"/>
        <w:numPr>
          <w:ilvl w:val="0"/>
          <w:numId w:val="0"/>
        </w:numPr>
        <w:spacing w:after="240"/>
        <w:ind w:left="360"/>
      </w:pPr>
      <w:r w:rsidRPr="009A071C">
        <w:t>Channel split based on f</w:t>
      </w:r>
      <w:r w:rsidR="008D5929" w:rsidRPr="009A071C">
        <w:t xml:space="preserve">ootnote </w:t>
      </w:r>
      <w:r w:rsidR="008D5929" w:rsidRPr="009A071C">
        <w:rPr>
          <w:i/>
        </w:rPr>
        <w:t>m)</w:t>
      </w:r>
      <w:r w:rsidR="008D5929" w:rsidRPr="009A071C">
        <w:t xml:space="preserve"> </w:t>
      </w:r>
      <w:r w:rsidR="00D46041" w:rsidRPr="009A071C">
        <w:t>shall</w:t>
      </w:r>
      <w:r w:rsidR="008D5929" w:rsidRPr="009A071C">
        <w:t xml:space="preserve"> not </w:t>
      </w:r>
      <w:r w:rsidRPr="009A071C">
        <w:t xml:space="preserve">be implemented in CEPT countries. </w:t>
      </w:r>
      <w:r w:rsidR="002F46C4" w:rsidRPr="009A071C">
        <w:t xml:space="preserve">All duplex channels </w:t>
      </w:r>
      <w:r w:rsidRPr="009A071C">
        <w:t xml:space="preserve">marked with footnote </w:t>
      </w:r>
      <w:r w:rsidRPr="009A071C">
        <w:rPr>
          <w:i/>
        </w:rPr>
        <w:t>m)</w:t>
      </w:r>
      <w:r w:rsidRPr="009A071C">
        <w:t xml:space="preserve"> </w:t>
      </w:r>
      <w:r w:rsidR="002F46C4" w:rsidRPr="009A071C">
        <w:t xml:space="preserve">remain unchanged. </w:t>
      </w:r>
    </w:p>
    <w:p w14:paraId="29E4DDC2" w14:textId="77777777" w:rsidR="002F46C4" w:rsidRPr="0092220A" w:rsidRDefault="00CE3731" w:rsidP="00CE3731">
      <w:pPr>
        <w:pStyle w:val="ECCParBulleted"/>
        <w:rPr>
          <w:b/>
          <w:u w:val="single"/>
        </w:rPr>
      </w:pPr>
      <w:r w:rsidRPr="0092220A">
        <w:rPr>
          <w:b/>
          <w:u w:val="single"/>
        </w:rPr>
        <w:t xml:space="preserve">RR Appendix 18 </w:t>
      </w:r>
      <w:r w:rsidR="002F46C4" w:rsidRPr="0092220A">
        <w:rPr>
          <w:b/>
          <w:u w:val="single"/>
        </w:rPr>
        <w:t xml:space="preserve">Footnote </w:t>
      </w:r>
      <w:r w:rsidR="002F46C4" w:rsidRPr="0092220A">
        <w:rPr>
          <w:b/>
          <w:i/>
          <w:u w:val="single"/>
        </w:rPr>
        <w:t>mm)</w:t>
      </w:r>
    </w:p>
    <w:p w14:paraId="29E4DDC3" w14:textId="77777777" w:rsidR="002F46C4" w:rsidRPr="009A071C" w:rsidRDefault="00FC59EA" w:rsidP="002F46C4">
      <w:pPr>
        <w:pStyle w:val="ECCParBulleted"/>
        <w:numPr>
          <w:ilvl w:val="0"/>
          <w:numId w:val="0"/>
        </w:numPr>
        <w:ind w:left="360"/>
        <w:rPr>
          <w:rFonts w:cs="Arial"/>
          <w:sz w:val="16"/>
          <w:szCs w:val="16"/>
        </w:rPr>
      </w:pPr>
      <w:r w:rsidRPr="009A071C">
        <w:rPr>
          <w:rFonts w:cs="Arial"/>
        </w:rPr>
        <w:t>“</w:t>
      </w:r>
      <w:r w:rsidR="002F46C4" w:rsidRPr="009A071C">
        <w:rPr>
          <w:rFonts w:cs="Arial"/>
          <w:i/>
        </w:rPr>
        <w:t xml:space="preserve">Transmission on these channels is limited to coast stations. If permitted by administrations and </w:t>
      </w:r>
      <w:r w:rsidR="002F46C4" w:rsidRPr="009A071C">
        <w:rPr>
          <w:rFonts w:cs="Arial"/>
          <w:i/>
          <w:lang w:eastAsia="zh-CN"/>
        </w:rPr>
        <w:t xml:space="preserve">specified by national regulations, </w:t>
      </w:r>
      <w:r w:rsidR="002F46C4" w:rsidRPr="009A071C">
        <w:rPr>
          <w:rFonts w:eastAsia="SimSun" w:cs="Arial"/>
          <w:i/>
          <w:lang w:eastAsia="zh-CN"/>
        </w:rPr>
        <w:t xml:space="preserve">these channels may be used by ship stations for transmission. </w:t>
      </w:r>
      <w:r w:rsidR="002F46C4" w:rsidRPr="009A071C">
        <w:rPr>
          <w:rFonts w:cs="Arial"/>
          <w:i/>
          <w:lang w:eastAsia="zh-CN"/>
        </w:rPr>
        <w:t>A</w:t>
      </w:r>
      <w:r w:rsidR="002F46C4" w:rsidRPr="009A071C">
        <w:rPr>
          <w:rFonts w:eastAsia="SimSun" w:cs="Arial"/>
          <w:i/>
          <w:lang w:eastAsia="zh-CN"/>
        </w:rPr>
        <w:t>ll precautions should be taken to avoid harmful interference to channels AIS</w:t>
      </w:r>
      <w:r w:rsidR="002F46C4" w:rsidRPr="009A071C">
        <w:rPr>
          <w:rFonts w:cs="Arial"/>
          <w:i/>
        </w:rPr>
        <w:t> </w:t>
      </w:r>
      <w:r w:rsidR="002F46C4" w:rsidRPr="009A071C">
        <w:rPr>
          <w:rFonts w:eastAsia="SimSun" w:cs="Arial"/>
          <w:i/>
          <w:lang w:eastAsia="zh-CN"/>
        </w:rPr>
        <w:t>1, AIS</w:t>
      </w:r>
      <w:r w:rsidR="002F46C4" w:rsidRPr="009A071C">
        <w:rPr>
          <w:rFonts w:cs="Arial"/>
          <w:i/>
        </w:rPr>
        <w:t> </w:t>
      </w:r>
      <w:r w:rsidR="002F46C4" w:rsidRPr="009A071C">
        <w:rPr>
          <w:rFonts w:eastAsia="SimSun" w:cs="Arial"/>
          <w:i/>
          <w:lang w:eastAsia="zh-CN"/>
        </w:rPr>
        <w:t>2, 2027* and 2028*.</w:t>
      </w:r>
      <w:r w:rsidR="002F46C4" w:rsidRPr="009A071C">
        <w:rPr>
          <w:rFonts w:eastAsia="SimSun" w:cs="Arial"/>
          <w:i/>
          <w:sz w:val="16"/>
          <w:szCs w:val="16"/>
          <w:lang w:eastAsia="zh-CN"/>
        </w:rPr>
        <w:t>  </w:t>
      </w:r>
      <w:r w:rsidR="002F46C4" w:rsidRPr="009A071C">
        <w:rPr>
          <w:rFonts w:eastAsia="SimSun" w:cs="Arial"/>
          <w:sz w:val="16"/>
          <w:szCs w:val="16"/>
          <w:lang w:eastAsia="zh-CN"/>
        </w:rPr>
        <w:t>   </w:t>
      </w:r>
      <w:r w:rsidR="002F46C4" w:rsidRPr="009A071C">
        <w:rPr>
          <w:rFonts w:cs="Arial"/>
          <w:sz w:val="16"/>
          <w:szCs w:val="16"/>
        </w:rPr>
        <w:t>(WRC</w:t>
      </w:r>
      <w:r w:rsidR="002F46C4" w:rsidRPr="009A071C">
        <w:rPr>
          <w:rFonts w:cs="Arial"/>
          <w:sz w:val="16"/>
          <w:szCs w:val="16"/>
        </w:rPr>
        <w:noBreakHyphen/>
        <w:t>15)</w:t>
      </w:r>
    </w:p>
    <w:p w14:paraId="29E4DDC4" w14:textId="77777777" w:rsidR="002F46C4" w:rsidRPr="009A071C" w:rsidRDefault="002F46C4" w:rsidP="002F46C4">
      <w:pPr>
        <w:pStyle w:val="Tablelegend"/>
        <w:tabs>
          <w:tab w:val="clear" w:pos="284"/>
        </w:tabs>
        <w:spacing w:after="120"/>
        <w:ind w:left="709" w:hanging="283"/>
        <w:rPr>
          <w:rFonts w:ascii="Arial" w:hAnsi="Arial" w:cs="Arial"/>
        </w:rPr>
      </w:pPr>
      <w:r w:rsidRPr="009A071C">
        <w:rPr>
          <w:rFonts w:ascii="Arial" w:hAnsi="Arial" w:cs="Arial"/>
        </w:rPr>
        <w:t>*</w:t>
      </w:r>
      <w:r w:rsidRPr="009A071C">
        <w:rPr>
          <w:rFonts w:ascii="Arial" w:hAnsi="Arial" w:cs="Arial"/>
        </w:rPr>
        <w:tab/>
      </w:r>
      <w:r w:rsidRPr="009A071C">
        <w:rPr>
          <w:rFonts w:ascii="Arial" w:hAnsi="Arial" w:cs="Arial"/>
          <w:i/>
        </w:rPr>
        <w:t>From 1 January 2019, channel 2027 will be designated ASM 1 and channel 2028 will be designated ASM 2.</w:t>
      </w:r>
      <w:r w:rsidR="00FC59EA" w:rsidRPr="009A071C">
        <w:rPr>
          <w:rFonts w:ascii="Arial" w:hAnsi="Arial" w:cs="Arial"/>
        </w:rPr>
        <w:t>”</w:t>
      </w:r>
    </w:p>
    <w:p w14:paraId="29E4DDC5" w14:textId="77777777" w:rsidR="002F46C4" w:rsidRPr="009A071C" w:rsidRDefault="002F46C4" w:rsidP="002F46C4">
      <w:pPr>
        <w:pStyle w:val="ECCParBulleted"/>
        <w:numPr>
          <w:ilvl w:val="0"/>
          <w:numId w:val="0"/>
        </w:numPr>
        <w:ind w:left="360"/>
        <w:rPr>
          <w:rFonts w:cs="Arial"/>
        </w:rPr>
      </w:pPr>
      <w:r w:rsidRPr="009A071C">
        <w:rPr>
          <w:rFonts w:cs="Arial"/>
        </w:rPr>
        <w:t xml:space="preserve">Comment to footnote </w:t>
      </w:r>
      <w:r w:rsidRPr="009A071C">
        <w:rPr>
          <w:rFonts w:cs="Arial"/>
          <w:i/>
        </w:rPr>
        <w:t>mm)</w:t>
      </w:r>
      <w:r w:rsidRPr="009A071C">
        <w:rPr>
          <w:rFonts w:cs="Arial"/>
        </w:rPr>
        <w:t>:</w:t>
      </w:r>
    </w:p>
    <w:p w14:paraId="29E4DDC6" w14:textId="77777777" w:rsidR="002F46C4" w:rsidRPr="009A071C" w:rsidRDefault="002F46C4" w:rsidP="00F82E4F">
      <w:pPr>
        <w:pStyle w:val="ECCParBulleted"/>
        <w:numPr>
          <w:ilvl w:val="0"/>
          <w:numId w:val="0"/>
        </w:numPr>
        <w:spacing w:after="240"/>
        <w:ind w:left="360"/>
        <w:rPr>
          <w:rFonts w:cs="Arial"/>
        </w:rPr>
      </w:pPr>
      <w:r w:rsidRPr="009A071C">
        <w:rPr>
          <w:rFonts w:cs="Arial"/>
        </w:rPr>
        <w:t xml:space="preserve">This footnote has the same intention/content as footnote </w:t>
      </w:r>
      <w:r w:rsidRPr="009A071C">
        <w:rPr>
          <w:rFonts w:cs="Arial"/>
          <w:i/>
        </w:rPr>
        <w:t>m</w:t>
      </w:r>
      <w:r w:rsidRPr="009A071C">
        <w:rPr>
          <w:rFonts w:cs="Arial"/>
        </w:rPr>
        <w:t>)</w:t>
      </w:r>
      <w:r w:rsidR="006E41EB" w:rsidRPr="009A071C">
        <w:rPr>
          <w:rFonts w:cs="Arial"/>
        </w:rPr>
        <w:t xml:space="preserve"> and is directly combined with footnote </w:t>
      </w:r>
      <w:r w:rsidR="006E41EB" w:rsidRPr="009A071C">
        <w:rPr>
          <w:rFonts w:cs="Arial"/>
          <w:i/>
        </w:rPr>
        <w:t>m</w:t>
      </w:r>
      <w:r w:rsidR="006E41EB" w:rsidRPr="009A071C">
        <w:rPr>
          <w:rFonts w:cs="Arial"/>
        </w:rPr>
        <w:t>)</w:t>
      </w:r>
      <w:r w:rsidRPr="009A071C">
        <w:rPr>
          <w:rFonts w:cs="Arial"/>
        </w:rPr>
        <w:t>; however Appendix 18</w:t>
      </w:r>
      <w:r w:rsidR="005400F6" w:rsidRPr="009A071C">
        <w:rPr>
          <w:rFonts w:cs="Arial"/>
        </w:rPr>
        <w:t xml:space="preserve"> lists </w:t>
      </w:r>
      <w:r w:rsidRPr="009A071C">
        <w:rPr>
          <w:rFonts w:cs="Arial"/>
        </w:rPr>
        <w:t>the split channels</w:t>
      </w:r>
      <w:r w:rsidR="00CB3935" w:rsidRPr="009A071C">
        <w:rPr>
          <w:rFonts w:cs="Arial"/>
        </w:rPr>
        <w:t>.</w:t>
      </w:r>
      <w:r w:rsidRPr="009A071C">
        <w:rPr>
          <w:rFonts w:cs="Arial"/>
        </w:rPr>
        <w:t xml:space="preserve"> </w:t>
      </w:r>
      <w:r w:rsidR="00CB3935" w:rsidRPr="009A071C">
        <w:rPr>
          <w:rFonts w:cs="Arial"/>
        </w:rPr>
        <w:t xml:space="preserve">Footnote </w:t>
      </w:r>
      <w:r w:rsidR="00CB3935" w:rsidRPr="009A071C">
        <w:rPr>
          <w:i/>
        </w:rPr>
        <w:t>mm)</w:t>
      </w:r>
      <w:r w:rsidR="00CB3935" w:rsidRPr="009A071C">
        <w:rPr>
          <w:rFonts w:cs="Arial"/>
        </w:rPr>
        <w:t xml:space="preserve"> is only valid for the </w:t>
      </w:r>
      <w:r w:rsidR="00CB3935" w:rsidRPr="009A071C">
        <w:t xml:space="preserve">“upper leg channels” </w:t>
      </w:r>
      <w:r w:rsidRPr="009A071C">
        <w:rPr>
          <w:rFonts w:cs="Arial"/>
        </w:rPr>
        <w:t>2078, 2019, 2079</w:t>
      </w:r>
      <w:r w:rsidR="0060697D" w:rsidRPr="009A071C">
        <w:rPr>
          <w:rFonts w:cs="Arial"/>
        </w:rPr>
        <w:t xml:space="preserve"> </w:t>
      </w:r>
      <w:r w:rsidRPr="009A071C">
        <w:rPr>
          <w:rFonts w:cs="Arial"/>
        </w:rPr>
        <w:t>and 2020.</w:t>
      </w:r>
      <w:r w:rsidR="00CB3935" w:rsidRPr="009A071C">
        <w:rPr>
          <w:rFonts w:cs="Arial"/>
        </w:rPr>
        <w:t xml:space="preserve"> </w:t>
      </w:r>
    </w:p>
    <w:p w14:paraId="29E4DDC8" w14:textId="77777777" w:rsidR="002F46C4" w:rsidRPr="009A071C" w:rsidRDefault="00CC2911" w:rsidP="002F46C4">
      <w:pPr>
        <w:pStyle w:val="ECCParBulleted"/>
        <w:numPr>
          <w:ilvl w:val="0"/>
          <w:numId w:val="0"/>
        </w:numPr>
        <w:ind w:left="360"/>
        <w:rPr>
          <w:b/>
          <w:u w:val="single"/>
        </w:rPr>
      </w:pPr>
      <w:r w:rsidRPr="009A071C">
        <w:rPr>
          <w:b/>
          <w:u w:val="single"/>
        </w:rPr>
        <w:t xml:space="preserve">Decision on implementation of </w:t>
      </w:r>
      <w:r w:rsidR="007F6757" w:rsidRPr="009A071C">
        <w:rPr>
          <w:b/>
          <w:u w:val="single"/>
        </w:rPr>
        <w:t>F</w:t>
      </w:r>
      <w:r w:rsidRPr="009A071C">
        <w:rPr>
          <w:b/>
          <w:u w:val="single"/>
        </w:rPr>
        <w:t xml:space="preserve">ootnote </w:t>
      </w:r>
      <w:r w:rsidR="002F46C4" w:rsidRPr="009A071C">
        <w:rPr>
          <w:b/>
          <w:i/>
          <w:u w:val="single"/>
        </w:rPr>
        <w:t>mm)</w:t>
      </w:r>
      <w:r w:rsidR="002F46C4" w:rsidRPr="009A071C">
        <w:rPr>
          <w:b/>
          <w:u w:val="single"/>
        </w:rPr>
        <w:t>:</w:t>
      </w:r>
    </w:p>
    <w:p w14:paraId="29E4DDC9" w14:textId="77777777" w:rsidR="00EE7C5E" w:rsidRPr="009A071C" w:rsidRDefault="00EE7C5E" w:rsidP="002F46C4">
      <w:pPr>
        <w:pStyle w:val="ECCParBulleted"/>
        <w:numPr>
          <w:ilvl w:val="0"/>
          <w:numId w:val="0"/>
        </w:numPr>
        <w:ind w:left="360"/>
      </w:pPr>
      <w:r w:rsidRPr="009A071C">
        <w:t xml:space="preserve">Channels marked with </w:t>
      </w:r>
      <w:r w:rsidRPr="009A071C">
        <w:rPr>
          <w:rFonts w:cs="Arial"/>
        </w:rPr>
        <w:t xml:space="preserve">footnote </w:t>
      </w:r>
      <w:r w:rsidRPr="009A071C">
        <w:rPr>
          <w:rFonts w:cs="Arial"/>
          <w:i/>
        </w:rPr>
        <w:t>mm)</w:t>
      </w:r>
      <w:r w:rsidRPr="009A071C">
        <w:rPr>
          <w:rFonts w:cs="Arial"/>
        </w:rPr>
        <w:t xml:space="preserve"> </w:t>
      </w:r>
      <w:r w:rsidR="007F6757" w:rsidRPr="009A071C">
        <w:rPr>
          <w:rFonts w:cs="Arial"/>
        </w:rPr>
        <w:t>shall</w:t>
      </w:r>
      <w:r w:rsidRPr="009A071C">
        <w:rPr>
          <w:rFonts w:cs="Arial"/>
        </w:rPr>
        <w:t xml:space="preserve"> not be operated in simplex mode by coast stations in CEPT countries. </w:t>
      </w:r>
    </w:p>
    <w:p w14:paraId="29E4DDCA" w14:textId="77777777" w:rsidR="006E41EB" w:rsidRPr="009A071C" w:rsidRDefault="006E41EB" w:rsidP="002F46C4">
      <w:pPr>
        <w:pStyle w:val="ECCParBulleted"/>
        <w:numPr>
          <w:ilvl w:val="0"/>
          <w:numId w:val="0"/>
        </w:numPr>
        <w:ind w:left="360"/>
      </w:pPr>
      <w:r w:rsidRPr="009A071C">
        <w:t xml:space="preserve">Channel split based on footnote </w:t>
      </w:r>
      <w:r w:rsidRPr="009A071C">
        <w:rPr>
          <w:i/>
        </w:rPr>
        <w:t>m</w:t>
      </w:r>
      <w:r w:rsidR="00BE5E75" w:rsidRPr="009A071C">
        <w:rPr>
          <w:i/>
        </w:rPr>
        <w:t>m</w:t>
      </w:r>
      <w:r w:rsidRPr="009A071C">
        <w:rPr>
          <w:i/>
        </w:rPr>
        <w:t>)</w:t>
      </w:r>
      <w:r w:rsidRPr="009A071C">
        <w:t xml:space="preserve"> </w:t>
      </w:r>
      <w:r w:rsidR="00D46041" w:rsidRPr="009A071C">
        <w:t>shall</w:t>
      </w:r>
      <w:r w:rsidRPr="009A071C">
        <w:t xml:space="preserve"> not be implemented in CEPT countries. All duplex channels marked with footnote </w:t>
      </w:r>
      <w:r w:rsidRPr="009A071C">
        <w:rPr>
          <w:i/>
        </w:rPr>
        <w:t>m</w:t>
      </w:r>
      <w:r w:rsidR="00BE5E75" w:rsidRPr="009A071C">
        <w:rPr>
          <w:i/>
        </w:rPr>
        <w:t>m</w:t>
      </w:r>
      <w:r w:rsidRPr="009A071C">
        <w:rPr>
          <w:i/>
        </w:rPr>
        <w:t>)</w:t>
      </w:r>
      <w:r w:rsidRPr="009A071C">
        <w:t xml:space="preserve"> remain unchanged. </w:t>
      </w:r>
    </w:p>
    <w:p w14:paraId="29E4DDCB" w14:textId="77777777" w:rsidR="007F6757" w:rsidRPr="009A071C" w:rsidRDefault="007F6757">
      <w:pPr>
        <w:rPr>
          <w:rFonts w:cs="Arial"/>
          <w:lang w:val="en-GB"/>
        </w:rPr>
      </w:pPr>
      <w:r w:rsidRPr="009A071C">
        <w:rPr>
          <w:rFonts w:cs="Arial"/>
          <w:lang w:val="en-GB"/>
        </w:rPr>
        <w:br w:type="page"/>
      </w:r>
    </w:p>
    <w:p w14:paraId="29E4DDCC" w14:textId="77777777" w:rsidR="002F46C4" w:rsidRPr="0092220A" w:rsidRDefault="00CE3731" w:rsidP="00CE3731">
      <w:pPr>
        <w:pStyle w:val="ECCParBulleted"/>
        <w:rPr>
          <w:b/>
          <w:u w:val="single"/>
        </w:rPr>
      </w:pPr>
      <w:r w:rsidRPr="0092220A">
        <w:rPr>
          <w:b/>
          <w:u w:val="single"/>
        </w:rPr>
        <w:lastRenderedPageBreak/>
        <w:t xml:space="preserve">RR Appendix 18 </w:t>
      </w:r>
      <w:r w:rsidR="002F46C4" w:rsidRPr="0092220A">
        <w:rPr>
          <w:b/>
          <w:u w:val="single"/>
        </w:rPr>
        <w:t xml:space="preserve">Footnote </w:t>
      </w:r>
      <w:r w:rsidR="002F46C4" w:rsidRPr="0092220A">
        <w:rPr>
          <w:b/>
          <w:i/>
          <w:u w:val="single"/>
        </w:rPr>
        <w:t>w)</w:t>
      </w:r>
    </w:p>
    <w:p w14:paraId="29E4DDCD" w14:textId="77777777" w:rsidR="002F46C4" w:rsidRPr="009A071C" w:rsidRDefault="00FC59EA" w:rsidP="002F46C4">
      <w:pPr>
        <w:pStyle w:val="ECCParBulleted"/>
        <w:numPr>
          <w:ilvl w:val="0"/>
          <w:numId w:val="0"/>
        </w:numPr>
        <w:ind w:left="360"/>
        <w:rPr>
          <w:i/>
        </w:rPr>
      </w:pPr>
      <w:r w:rsidRPr="009A071C">
        <w:t>“</w:t>
      </w:r>
      <w:r w:rsidR="002F46C4" w:rsidRPr="009A071C">
        <w:rPr>
          <w:i/>
        </w:rPr>
        <w:t>In Regions 1 and 3:</w:t>
      </w:r>
    </w:p>
    <w:p w14:paraId="29E4DDCE" w14:textId="77777777" w:rsidR="002F46C4" w:rsidRPr="009A071C" w:rsidRDefault="002F46C4" w:rsidP="002F46C4">
      <w:pPr>
        <w:pStyle w:val="ECCParBulleted"/>
        <w:numPr>
          <w:ilvl w:val="0"/>
          <w:numId w:val="0"/>
        </w:numPr>
        <w:ind w:left="360"/>
        <w:rPr>
          <w:i/>
        </w:rPr>
      </w:pPr>
      <w:r w:rsidRPr="009A071C">
        <w:rPr>
          <w:i/>
        </w:rPr>
        <w:t>Until 1 January 2017, the frequency bands 157.200-157.325 MHz and 161.800-161.925 MHz (corresponding to channels: 24, 84, 25, 85, 26 and 86) may be used for digitally modulated emissions, subject to coordination with affected administrations. Stations using these channels or frequency bands for digitally modulated emissions shall not cause harmful interference to, or claim protection from, other stations operating in accordance with Article </w:t>
      </w:r>
      <w:r w:rsidRPr="009A071C">
        <w:rPr>
          <w:bCs/>
          <w:i/>
        </w:rPr>
        <w:t>5</w:t>
      </w:r>
      <w:r w:rsidRPr="009A071C">
        <w:rPr>
          <w:i/>
        </w:rPr>
        <w:t>.</w:t>
      </w:r>
    </w:p>
    <w:p w14:paraId="29E4DDCF" w14:textId="77777777" w:rsidR="002F46C4" w:rsidRPr="009A071C" w:rsidRDefault="002F46C4" w:rsidP="002F46C4">
      <w:pPr>
        <w:pStyle w:val="ECCParBulleted"/>
        <w:numPr>
          <w:ilvl w:val="0"/>
          <w:numId w:val="0"/>
        </w:numPr>
        <w:ind w:left="360"/>
        <w:rPr>
          <w:sz w:val="16"/>
          <w:szCs w:val="16"/>
        </w:rPr>
      </w:pPr>
      <w:r w:rsidRPr="009A071C">
        <w:rPr>
          <w:i/>
        </w:rPr>
        <w:t>From 1 January 2017, the frequency bands 157.200</w:t>
      </w:r>
      <w:r w:rsidR="0029348E" w:rsidRPr="009A071C">
        <w:rPr>
          <w:i/>
        </w:rPr>
        <w:t>-</w:t>
      </w:r>
      <w:r w:rsidRPr="009A071C">
        <w:rPr>
          <w:i/>
        </w:rPr>
        <w:t xml:space="preserve">157.325 MHz and 161.800-161.925 MHz (corresponding to channels: 24, 84, 25, 85, 26 and 86) are identified for the utilization of the VHF </w:t>
      </w:r>
      <w:r w:rsidR="00D46041" w:rsidRPr="009A071C">
        <w:rPr>
          <w:i/>
        </w:rPr>
        <w:t>d</w:t>
      </w:r>
      <w:r w:rsidRPr="009A071C">
        <w:rPr>
          <w:i/>
        </w:rPr>
        <w:t xml:space="preserve">ata </w:t>
      </w:r>
      <w:r w:rsidR="007F6757" w:rsidRPr="009A071C">
        <w:rPr>
          <w:i/>
        </w:rPr>
        <w:t>e</w:t>
      </w:r>
      <w:r w:rsidRPr="009A071C">
        <w:rPr>
          <w:i/>
        </w:rPr>
        <w:t xml:space="preserve">xchange </w:t>
      </w:r>
      <w:r w:rsidR="007F6757" w:rsidRPr="009A071C">
        <w:rPr>
          <w:i/>
        </w:rPr>
        <w:t>s</w:t>
      </w:r>
      <w:r w:rsidRPr="009A071C">
        <w:rPr>
          <w:i/>
        </w:rPr>
        <w:t>ystem (VDES) described in the most recent version of Recommendation ITU</w:t>
      </w:r>
      <w:r w:rsidR="00E16C1F" w:rsidRPr="009A071C">
        <w:rPr>
          <w:i/>
        </w:rPr>
        <w:t>-</w:t>
      </w:r>
      <w:r w:rsidRPr="009A071C">
        <w:rPr>
          <w:i/>
        </w:rPr>
        <w:t>R M.2092.</w:t>
      </w:r>
      <w:r w:rsidR="00BF4788" w:rsidRPr="009A071C">
        <w:rPr>
          <w:i/>
          <w:sz w:val="16"/>
          <w:szCs w:val="16"/>
        </w:rPr>
        <w:t xml:space="preserve"> </w:t>
      </w:r>
      <w:r w:rsidRPr="009A071C">
        <w:rPr>
          <w:i/>
        </w:rPr>
        <w:t xml:space="preserve">These frequency bands </w:t>
      </w:r>
      <w:r w:rsidRPr="009A071C">
        <w:rPr>
          <w:i/>
          <w:lang w:eastAsia="ja-JP"/>
        </w:rPr>
        <w:t xml:space="preserve">may </w:t>
      </w:r>
      <w:r w:rsidRPr="009A071C">
        <w:rPr>
          <w:i/>
        </w:rPr>
        <w:t>also be used for analogue modulation described in the most recent version of Recommendation ITU</w:t>
      </w:r>
      <w:r w:rsidR="00E16C1F" w:rsidRPr="009A071C">
        <w:rPr>
          <w:i/>
        </w:rPr>
        <w:t>-</w:t>
      </w:r>
      <w:r w:rsidRPr="009A071C">
        <w:rPr>
          <w:i/>
        </w:rPr>
        <w:t xml:space="preserve">R M.1084 by an administration that wishes to do so, subject to not </w:t>
      </w:r>
      <w:r w:rsidRPr="009A071C">
        <w:rPr>
          <w:i/>
          <w:lang w:eastAsia="ja-JP"/>
        </w:rPr>
        <w:t>causing harmful interference to, or</w:t>
      </w:r>
      <w:r w:rsidRPr="009A071C">
        <w:rPr>
          <w:i/>
        </w:rPr>
        <w:t xml:space="preserve"> claiming protection from other stations in the maritime mobile service</w:t>
      </w:r>
      <w:r w:rsidRPr="009A071C">
        <w:rPr>
          <w:i/>
          <w:lang w:eastAsia="ja-JP"/>
        </w:rPr>
        <w:t xml:space="preserve"> </w:t>
      </w:r>
      <w:r w:rsidRPr="009A071C">
        <w:rPr>
          <w:i/>
        </w:rPr>
        <w:t>using digitally modulated emissions and subject to coordination with affected administrations.</w:t>
      </w:r>
      <w:r w:rsidRPr="009A071C">
        <w:rPr>
          <w:i/>
          <w:sz w:val="16"/>
          <w:szCs w:val="16"/>
        </w:rPr>
        <w:t>   </w:t>
      </w:r>
      <w:r w:rsidRPr="009A071C">
        <w:rPr>
          <w:sz w:val="16"/>
          <w:szCs w:val="16"/>
        </w:rPr>
        <w:t>  (WRC</w:t>
      </w:r>
      <w:r w:rsidRPr="009A071C">
        <w:rPr>
          <w:sz w:val="16"/>
          <w:szCs w:val="16"/>
        </w:rPr>
        <w:noBreakHyphen/>
        <w:t>15)</w:t>
      </w:r>
      <w:r w:rsidR="00FC59EA" w:rsidRPr="009A071C">
        <w:rPr>
          <w:sz w:val="16"/>
          <w:szCs w:val="16"/>
        </w:rPr>
        <w:t>”</w:t>
      </w:r>
    </w:p>
    <w:p w14:paraId="29E4DDD0" w14:textId="77777777" w:rsidR="002F46C4" w:rsidRPr="009A071C" w:rsidRDefault="002F46C4" w:rsidP="002F46C4">
      <w:pPr>
        <w:pStyle w:val="ECCParBulleted"/>
        <w:numPr>
          <w:ilvl w:val="0"/>
          <w:numId w:val="0"/>
        </w:numPr>
        <w:ind w:left="360"/>
      </w:pPr>
      <w:r w:rsidRPr="009A071C">
        <w:t xml:space="preserve">Comment to footnote </w:t>
      </w:r>
      <w:r w:rsidRPr="009A071C">
        <w:rPr>
          <w:i/>
        </w:rPr>
        <w:t>w)</w:t>
      </w:r>
      <w:r w:rsidRPr="009A071C">
        <w:t>:</w:t>
      </w:r>
    </w:p>
    <w:p w14:paraId="29E4DDD1" w14:textId="77777777" w:rsidR="002F46C4" w:rsidRPr="0092220A" w:rsidRDefault="002F46C4" w:rsidP="002F46C4">
      <w:pPr>
        <w:pStyle w:val="ECCParBulleted"/>
        <w:numPr>
          <w:ilvl w:val="0"/>
          <w:numId w:val="0"/>
        </w:numPr>
        <w:ind w:left="360"/>
      </w:pPr>
      <w:r w:rsidRPr="0092220A">
        <w:t xml:space="preserve">This footnote concerns digital data exchange based on </w:t>
      </w:r>
      <w:r w:rsidR="00BF4788" w:rsidRPr="0092220A">
        <w:t xml:space="preserve">Recommendation </w:t>
      </w:r>
      <w:r w:rsidRPr="0092220A">
        <w:t xml:space="preserve">ITU-R M.2092 </w:t>
      </w:r>
      <w:r w:rsidR="007F6757" w:rsidRPr="004A639E">
        <w:fldChar w:fldCharType="begin"/>
      </w:r>
      <w:r w:rsidR="007F6757" w:rsidRPr="0092220A">
        <w:instrText xml:space="preserve"> REF _Ref516491054 \r \h </w:instrText>
      </w:r>
      <w:r w:rsidR="007F6757" w:rsidRPr="004A639E">
        <w:fldChar w:fldCharType="separate"/>
      </w:r>
      <w:r w:rsidR="007F6757" w:rsidRPr="0092220A">
        <w:t>[3]</w:t>
      </w:r>
      <w:r w:rsidR="007F6757" w:rsidRPr="004A639E">
        <w:fldChar w:fldCharType="end"/>
      </w:r>
      <w:r w:rsidR="007F6757" w:rsidRPr="0092220A">
        <w:t xml:space="preserve"> </w:t>
      </w:r>
      <w:r w:rsidR="00CE3731" w:rsidRPr="0092220A">
        <w:t xml:space="preserve">on </w:t>
      </w:r>
      <w:r w:rsidRPr="0092220A">
        <w:t xml:space="preserve">VHF </w:t>
      </w:r>
      <w:r w:rsidR="007F6757" w:rsidRPr="0092220A">
        <w:t>d</w:t>
      </w:r>
      <w:r w:rsidRPr="0092220A">
        <w:t xml:space="preserve">ata </w:t>
      </w:r>
      <w:r w:rsidR="007F6757" w:rsidRPr="0092220A">
        <w:t>e</w:t>
      </w:r>
      <w:r w:rsidRPr="0092220A">
        <w:t xml:space="preserve">xchange </w:t>
      </w:r>
      <w:r w:rsidR="007F6757" w:rsidRPr="0092220A">
        <w:t>s</w:t>
      </w:r>
      <w:r w:rsidRPr="0092220A">
        <w:t>ystem (VDES). Rec</w:t>
      </w:r>
      <w:r w:rsidR="00BF4788" w:rsidRPr="0092220A">
        <w:t>ommendation</w:t>
      </w:r>
      <w:r w:rsidRPr="0092220A">
        <w:t xml:space="preserve"> ITU-R</w:t>
      </w:r>
      <w:r w:rsidR="00E16C1F" w:rsidRPr="0092220A">
        <w:t> </w:t>
      </w:r>
      <w:r w:rsidRPr="0092220A">
        <w:t xml:space="preserve">M.2092 describes </w:t>
      </w:r>
      <w:r w:rsidR="00BF4788" w:rsidRPr="0092220A">
        <w:t>the</w:t>
      </w:r>
      <w:r w:rsidRPr="0092220A">
        <w:t xml:space="preserve"> terrestrial V</w:t>
      </w:r>
      <w:r w:rsidR="00BF4788" w:rsidRPr="0092220A">
        <w:t>HF data exchange</w:t>
      </w:r>
      <w:r w:rsidRPr="0092220A">
        <w:t xml:space="preserve"> component (VDE-TER) and </w:t>
      </w:r>
      <w:r w:rsidR="00BF4788" w:rsidRPr="0092220A">
        <w:t xml:space="preserve">the </w:t>
      </w:r>
      <w:r w:rsidRPr="0092220A">
        <w:t xml:space="preserve">satellite component (VDE-SAT). However RR 2016 </w:t>
      </w:r>
      <w:proofErr w:type="gramStart"/>
      <w:r w:rsidRPr="0092220A">
        <w:t>do</w:t>
      </w:r>
      <w:proofErr w:type="gramEnd"/>
      <w:r w:rsidRPr="0092220A">
        <w:t xml:space="preserve"> not contain </w:t>
      </w:r>
      <w:r w:rsidR="005311A2" w:rsidRPr="0092220A">
        <w:t xml:space="preserve">a </w:t>
      </w:r>
      <w:r w:rsidR="007C780C" w:rsidRPr="0092220A">
        <w:t>maritime</w:t>
      </w:r>
      <w:r w:rsidR="005311A2" w:rsidRPr="0092220A">
        <w:t>-</w:t>
      </w:r>
      <w:r w:rsidR="007C780C" w:rsidRPr="0092220A">
        <w:t>mobile satellite service (</w:t>
      </w:r>
      <w:r w:rsidRPr="0092220A">
        <w:t>MMSS</w:t>
      </w:r>
      <w:r w:rsidR="007C780C" w:rsidRPr="0092220A">
        <w:t>)</w:t>
      </w:r>
      <w:r w:rsidRPr="0092220A">
        <w:t xml:space="preserve"> allocation</w:t>
      </w:r>
      <w:r w:rsidR="007C780C" w:rsidRPr="0092220A">
        <w:t xml:space="preserve"> for the VDE-SAT which is</w:t>
      </w:r>
      <w:r w:rsidRPr="0092220A">
        <w:t xml:space="preserve"> described in </w:t>
      </w:r>
      <w:r w:rsidR="00157FE2" w:rsidRPr="0092220A">
        <w:t xml:space="preserve">Recommendation </w:t>
      </w:r>
      <w:r w:rsidRPr="0092220A">
        <w:t>ITU-R M.2092. Nevertheless VDE-SAT can still be operated in these channels under RR No. 4.4</w:t>
      </w:r>
      <w:r w:rsidR="007C780C" w:rsidRPr="0092220A">
        <w:t xml:space="preserve">. </w:t>
      </w:r>
      <w:r w:rsidRPr="0092220A">
        <w:t xml:space="preserve"> </w:t>
      </w:r>
    </w:p>
    <w:p w14:paraId="29E4DDD2" w14:textId="77777777" w:rsidR="002F46C4" w:rsidRPr="009A071C" w:rsidRDefault="002F46C4" w:rsidP="002F46C4">
      <w:pPr>
        <w:pStyle w:val="ECCParBulleted"/>
        <w:numPr>
          <w:ilvl w:val="0"/>
          <w:numId w:val="0"/>
        </w:numPr>
        <w:ind w:left="360"/>
        <w:rPr>
          <w:b/>
          <w:u w:val="single"/>
        </w:rPr>
      </w:pPr>
      <w:r w:rsidRPr="009A071C">
        <w:rPr>
          <w:b/>
          <w:u w:val="single"/>
        </w:rPr>
        <w:t xml:space="preserve">Decision </w:t>
      </w:r>
      <w:r w:rsidR="008421AB" w:rsidRPr="009A071C">
        <w:rPr>
          <w:b/>
          <w:u w:val="single"/>
        </w:rPr>
        <w:t xml:space="preserve">on implementation of </w:t>
      </w:r>
      <w:r w:rsidR="007F6757" w:rsidRPr="009A071C">
        <w:rPr>
          <w:b/>
          <w:u w:val="single"/>
        </w:rPr>
        <w:t>F</w:t>
      </w:r>
      <w:r w:rsidRPr="009A071C">
        <w:rPr>
          <w:b/>
          <w:u w:val="single"/>
        </w:rPr>
        <w:t xml:space="preserve">ootnote </w:t>
      </w:r>
      <w:r w:rsidRPr="009A071C">
        <w:rPr>
          <w:b/>
          <w:i/>
          <w:u w:val="single"/>
        </w:rPr>
        <w:t>w)</w:t>
      </w:r>
      <w:r w:rsidRPr="009A071C">
        <w:rPr>
          <w:b/>
          <w:u w:val="single"/>
        </w:rPr>
        <w:t>:</w:t>
      </w:r>
    </w:p>
    <w:p w14:paraId="29E4DDD3" w14:textId="77777777" w:rsidR="002F46C4" w:rsidRPr="0092220A" w:rsidRDefault="008421AB" w:rsidP="00F82E4F">
      <w:pPr>
        <w:pStyle w:val="ECCParBulleted"/>
        <w:numPr>
          <w:ilvl w:val="0"/>
          <w:numId w:val="0"/>
        </w:numPr>
        <w:spacing w:after="240"/>
        <w:ind w:left="360"/>
      </w:pPr>
      <w:r w:rsidRPr="009A071C">
        <w:t xml:space="preserve">Channels marked with footnote </w:t>
      </w:r>
      <w:r w:rsidRPr="009A071C">
        <w:rPr>
          <w:i/>
        </w:rPr>
        <w:t>w)</w:t>
      </w:r>
      <w:r w:rsidRPr="009A071C">
        <w:t xml:space="preserve"> are designated to be used for VDES as described in Recommendation ITU-R M.2092. CEPT countries intend to </w:t>
      </w:r>
      <w:r w:rsidR="00684192" w:rsidRPr="009A071C">
        <w:t xml:space="preserve">enable </w:t>
      </w:r>
      <w:r w:rsidRPr="009A071C">
        <w:t xml:space="preserve"> the terrestrial component of VDES as described in </w:t>
      </w:r>
      <w:r w:rsidR="00157FE2" w:rsidRPr="009A071C">
        <w:t xml:space="preserve">this </w:t>
      </w:r>
      <w:r w:rsidRPr="009A071C">
        <w:t xml:space="preserve">Recommendation </w:t>
      </w:r>
      <w:r w:rsidR="002F46C4" w:rsidRPr="009A071C">
        <w:t xml:space="preserve">CEPT administrations </w:t>
      </w:r>
      <w:r w:rsidRPr="009A071C">
        <w:t xml:space="preserve">will ensure that the </w:t>
      </w:r>
      <w:r w:rsidR="002F46C4" w:rsidRPr="009A071C">
        <w:t>designate</w:t>
      </w:r>
      <w:r w:rsidRPr="009A071C">
        <w:t>d</w:t>
      </w:r>
      <w:r w:rsidR="002F46C4" w:rsidRPr="009A071C">
        <w:t xml:space="preserve"> frequency bands corresponding to channels: 24, 84, 25, 85, 26 and 86 of RR Appendix 18 </w:t>
      </w:r>
      <w:r w:rsidRPr="009A071C">
        <w:t xml:space="preserve">will be available </w:t>
      </w:r>
      <w:r w:rsidR="002F46C4" w:rsidRPr="009A071C">
        <w:t>for the use of the terrestrial component of the VDES.</w:t>
      </w:r>
      <w:r w:rsidRPr="009A071C">
        <w:t xml:space="preserve"> </w:t>
      </w:r>
      <w:r w:rsidR="0028624F" w:rsidRPr="009A071C">
        <w:t>After the impl</w:t>
      </w:r>
      <w:r w:rsidR="00FC59EA" w:rsidRPr="009A071C">
        <w:t xml:space="preserve">ementation </w:t>
      </w:r>
      <w:r w:rsidR="0028624F" w:rsidRPr="009A071C">
        <w:t>period</w:t>
      </w:r>
      <w:r w:rsidR="009028F7" w:rsidRPr="009A071C">
        <w:t>,</w:t>
      </w:r>
      <w:r w:rsidR="0028624F" w:rsidRPr="009A071C">
        <w:t xml:space="preserve"> as shown in Annex 2 of this </w:t>
      </w:r>
      <w:r w:rsidR="00FB1F90" w:rsidRPr="009A071C">
        <w:t>D</w:t>
      </w:r>
      <w:r w:rsidR="0028624F" w:rsidRPr="009A071C">
        <w:t>ecision</w:t>
      </w:r>
      <w:r w:rsidR="009028F7" w:rsidRPr="009A071C">
        <w:t>,</w:t>
      </w:r>
      <w:r w:rsidR="0028624F" w:rsidRPr="009A071C">
        <w:t xml:space="preserve"> on these channels analogue voice telephony</w:t>
      </w:r>
      <w:r w:rsidR="005311A2" w:rsidRPr="009A071C">
        <w:t xml:space="preserve"> shall</w:t>
      </w:r>
      <w:r w:rsidR="00071FFD" w:rsidRPr="009A071C">
        <w:t xml:space="preserve"> no longer </w:t>
      </w:r>
      <w:r w:rsidR="0028624F" w:rsidRPr="009A071C">
        <w:t>be permitted in CEPT countries</w:t>
      </w:r>
      <w:r w:rsidR="00071FFD" w:rsidRPr="009A071C">
        <w:t xml:space="preserve"> for the maritime mobile service.</w:t>
      </w:r>
    </w:p>
    <w:p w14:paraId="29E4DDD5" w14:textId="77777777" w:rsidR="002F46C4" w:rsidRPr="0092220A" w:rsidRDefault="00CE3731" w:rsidP="00CE3731">
      <w:pPr>
        <w:pStyle w:val="ECCParBulleted"/>
        <w:rPr>
          <w:b/>
          <w:u w:val="single"/>
        </w:rPr>
      </w:pPr>
      <w:r w:rsidRPr="0092220A">
        <w:rPr>
          <w:b/>
          <w:u w:val="single"/>
        </w:rPr>
        <w:t xml:space="preserve">RR Appendix 18 </w:t>
      </w:r>
      <w:r w:rsidR="002F46C4" w:rsidRPr="0092220A">
        <w:rPr>
          <w:b/>
          <w:u w:val="single"/>
        </w:rPr>
        <w:t xml:space="preserve">Footnote </w:t>
      </w:r>
      <w:proofErr w:type="spellStart"/>
      <w:r w:rsidR="002F46C4" w:rsidRPr="0092220A">
        <w:rPr>
          <w:b/>
          <w:i/>
          <w:u w:val="single"/>
        </w:rPr>
        <w:t>wa</w:t>
      </w:r>
      <w:proofErr w:type="spellEnd"/>
      <w:r w:rsidR="002F46C4" w:rsidRPr="0092220A">
        <w:rPr>
          <w:b/>
          <w:i/>
          <w:u w:val="single"/>
        </w:rPr>
        <w:t>)</w:t>
      </w:r>
    </w:p>
    <w:p w14:paraId="29E4DDD6" w14:textId="77777777" w:rsidR="002F46C4" w:rsidRPr="009A071C" w:rsidRDefault="00FC59EA" w:rsidP="002F46C4">
      <w:pPr>
        <w:pStyle w:val="ECCParBulleted"/>
        <w:numPr>
          <w:ilvl w:val="0"/>
          <w:numId w:val="0"/>
        </w:numPr>
        <w:ind w:left="360"/>
        <w:rPr>
          <w:i/>
        </w:rPr>
      </w:pPr>
      <w:r w:rsidRPr="009A071C">
        <w:t>“</w:t>
      </w:r>
      <w:r w:rsidR="002F46C4" w:rsidRPr="009A071C">
        <w:rPr>
          <w:i/>
        </w:rPr>
        <w:t>In Regions 1 and 3:</w:t>
      </w:r>
    </w:p>
    <w:p w14:paraId="29E4DDD7" w14:textId="77777777" w:rsidR="002F46C4" w:rsidRPr="009A071C" w:rsidRDefault="002F46C4" w:rsidP="002F46C4">
      <w:pPr>
        <w:pStyle w:val="ECCParBulleted"/>
        <w:numPr>
          <w:ilvl w:val="0"/>
          <w:numId w:val="0"/>
        </w:numPr>
        <w:ind w:left="360"/>
        <w:rPr>
          <w:i/>
        </w:rPr>
      </w:pPr>
      <w:r w:rsidRPr="009A071C">
        <w:rPr>
          <w:i/>
        </w:rPr>
        <w:t>Until 1 January 2017, the frequency bands 157.025-157.175 MHz and 161.625-161.775 MHz (corresponding to channels: 80, 21, 81, 22, 82, 23 and 83) may be used for digitally modulated emissions, subject to coordination with affected administrations. Stations using these channels or frequency bands for digitally modulated emissions shall not cause harmful interference to, or claim protection from, other stations operating in accordance with Article </w:t>
      </w:r>
      <w:r w:rsidRPr="009A071C">
        <w:rPr>
          <w:bCs/>
          <w:i/>
        </w:rPr>
        <w:t>5</w:t>
      </w:r>
      <w:r w:rsidRPr="009A071C">
        <w:rPr>
          <w:i/>
        </w:rPr>
        <w:t>.</w:t>
      </w:r>
    </w:p>
    <w:p w14:paraId="29E4DDD8" w14:textId="77777777" w:rsidR="002F46C4" w:rsidRPr="009A071C" w:rsidRDefault="002F46C4" w:rsidP="002F46C4">
      <w:pPr>
        <w:pStyle w:val="ECCParBulleted"/>
        <w:numPr>
          <w:ilvl w:val="0"/>
          <w:numId w:val="0"/>
        </w:numPr>
        <w:ind w:left="360"/>
        <w:rPr>
          <w:i/>
        </w:rPr>
      </w:pPr>
      <w:r w:rsidRPr="009A071C">
        <w:rPr>
          <w:i/>
        </w:rPr>
        <w:t>From 1 January 2017, the frequency bands 157.025</w:t>
      </w:r>
      <w:r w:rsidR="005E646C" w:rsidRPr="009A071C">
        <w:rPr>
          <w:i/>
        </w:rPr>
        <w:t>-</w:t>
      </w:r>
      <w:r w:rsidRPr="009A071C">
        <w:rPr>
          <w:i/>
        </w:rPr>
        <w:t>157.100 MHz and 161.625-161.700 MHz (corresponding to channels: 80, 21, 81 and 22) are identified for utilization of the digital systems described in the most recent version of Recommendation ITU</w:t>
      </w:r>
      <w:r w:rsidR="005E646C" w:rsidRPr="009A071C">
        <w:rPr>
          <w:i/>
        </w:rPr>
        <w:t>-</w:t>
      </w:r>
      <w:r w:rsidRPr="009A071C">
        <w:rPr>
          <w:i/>
        </w:rPr>
        <w:t>R M.1842 using multiple 25 kHz contiguous channels.</w:t>
      </w:r>
    </w:p>
    <w:p w14:paraId="29E4DDD9" w14:textId="77777777" w:rsidR="002F46C4" w:rsidRPr="009A071C" w:rsidRDefault="002F46C4" w:rsidP="002F46C4">
      <w:pPr>
        <w:pStyle w:val="ECCParBulleted"/>
        <w:numPr>
          <w:ilvl w:val="0"/>
          <w:numId w:val="0"/>
        </w:numPr>
        <w:ind w:left="360"/>
        <w:rPr>
          <w:i/>
        </w:rPr>
      </w:pPr>
      <w:r w:rsidRPr="009A071C">
        <w:rPr>
          <w:i/>
        </w:rPr>
        <w:t>From 1 January 2017, the frequency bands 157.150</w:t>
      </w:r>
      <w:r w:rsidR="005E646C" w:rsidRPr="009A071C">
        <w:rPr>
          <w:i/>
        </w:rPr>
        <w:t>-</w:t>
      </w:r>
      <w:r w:rsidRPr="009A071C">
        <w:rPr>
          <w:i/>
        </w:rPr>
        <w:t>157.175 MHz and 161.750-161.775 MHz (corresponding to channels: 23 and 83) are identified for utilization of the digital systems described in the most recent version of Recommendation ITU</w:t>
      </w:r>
      <w:r w:rsidR="005E646C" w:rsidRPr="009A071C">
        <w:rPr>
          <w:i/>
        </w:rPr>
        <w:t>-</w:t>
      </w:r>
      <w:r w:rsidRPr="009A071C">
        <w:rPr>
          <w:i/>
        </w:rPr>
        <w:t>R M.1842 using two 25 </w:t>
      </w:r>
      <w:proofErr w:type="gramStart"/>
      <w:r w:rsidRPr="009A071C">
        <w:rPr>
          <w:i/>
        </w:rPr>
        <w:t>kHz</w:t>
      </w:r>
      <w:proofErr w:type="gramEnd"/>
      <w:r w:rsidRPr="009A071C">
        <w:rPr>
          <w:i/>
        </w:rPr>
        <w:t xml:space="preserve"> contiguous channels. From 1 January 2017, the frequencies 157.125 MHz and 161.725 MHz (corresponding to channel: 82) are identified for the utilization of the digital systems described in the most recent version of Recommendation ITU</w:t>
      </w:r>
      <w:r w:rsidR="005E646C" w:rsidRPr="009A071C">
        <w:rPr>
          <w:i/>
        </w:rPr>
        <w:t>-</w:t>
      </w:r>
      <w:r w:rsidRPr="009A071C">
        <w:rPr>
          <w:i/>
        </w:rPr>
        <w:t>R M.1842.</w:t>
      </w:r>
    </w:p>
    <w:p w14:paraId="29E4DDDA" w14:textId="77777777" w:rsidR="002F46C4" w:rsidRPr="009A071C" w:rsidRDefault="002F46C4" w:rsidP="002F46C4">
      <w:pPr>
        <w:pStyle w:val="ECCParBulleted"/>
        <w:numPr>
          <w:ilvl w:val="0"/>
          <w:numId w:val="0"/>
        </w:numPr>
        <w:ind w:left="360"/>
        <w:rPr>
          <w:sz w:val="16"/>
          <w:szCs w:val="16"/>
        </w:rPr>
      </w:pPr>
      <w:r w:rsidRPr="009A071C">
        <w:rPr>
          <w:i/>
        </w:rPr>
        <w:t>The frequency bands 157.025</w:t>
      </w:r>
      <w:r w:rsidRPr="009A071C">
        <w:rPr>
          <w:i/>
        </w:rPr>
        <w:noBreakHyphen/>
        <w:t>157.175 MHz and 161.625-161.775 MHz (corresponding to channels: 80, 21, 81, 22, 82, 23 and 83) can also be used for analogue modulation described in the most recent version of Recommendation ITU</w:t>
      </w:r>
      <w:r w:rsidR="005E646C" w:rsidRPr="009A071C">
        <w:rPr>
          <w:i/>
        </w:rPr>
        <w:t>-</w:t>
      </w:r>
      <w:r w:rsidRPr="009A071C">
        <w:rPr>
          <w:i/>
        </w:rPr>
        <w:t>R M.1084 by an administration that wishes to do so, subject to not claiming protection from other stations in the maritime mobile service using digitally modulated emissions and subject to coordination with affected administrations.</w:t>
      </w:r>
      <w:r w:rsidRPr="009A071C">
        <w:rPr>
          <w:sz w:val="16"/>
          <w:szCs w:val="16"/>
        </w:rPr>
        <w:t>     (WRC</w:t>
      </w:r>
      <w:r w:rsidRPr="009A071C">
        <w:noBreakHyphen/>
      </w:r>
      <w:r w:rsidRPr="009A071C">
        <w:rPr>
          <w:sz w:val="16"/>
          <w:szCs w:val="16"/>
        </w:rPr>
        <w:t>15)</w:t>
      </w:r>
      <w:r w:rsidR="00FC59EA" w:rsidRPr="009A071C">
        <w:rPr>
          <w:sz w:val="16"/>
          <w:szCs w:val="16"/>
        </w:rPr>
        <w:t>”</w:t>
      </w:r>
    </w:p>
    <w:p w14:paraId="29E4DDDB" w14:textId="77777777" w:rsidR="00D46041" w:rsidRPr="009A071C" w:rsidRDefault="00D46041" w:rsidP="002F46C4">
      <w:pPr>
        <w:pStyle w:val="ECCParBulleted"/>
        <w:numPr>
          <w:ilvl w:val="0"/>
          <w:numId w:val="0"/>
        </w:numPr>
        <w:ind w:left="360"/>
        <w:rPr>
          <w:sz w:val="16"/>
          <w:szCs w:val="16"/>
        </w:rPr>
      </w:pPr>
    </w:p>
    <w:p w14:paraId="29E4DDDC" w14:textId="77777777" w:rsidR="00D46041" w:rsidRPr="009A071C" w:rsidRDefault="00D46041" w:rsidP="002F46C4">
      <w:pPr>
        <w:pStyle w:val="ECCParBulleted"/>
        <w:numPr>
          <w:ilvl w:val="0"/>
          <w:numId w:val="0"/>
        </w:numPr>
        <w:ind w:left="360"/>
        <w:rPr>
          <w:sz w:val="16"/>
          <w:szCs w:val="16"/>
        </w:rPr>
      </w:pPr>
    </w:p>
    <w:p w14:paraId="29E4DDDD" w14:textId="77777777" w:rsidR="002F46C4" w:rsidRPr="009A071C" w:rsidRDefault="002F46C4" w:rsidP="002F46C4">
      <w:pPr>
        <w:pStyle w:val="ECCParBulleted"/>
        <w:numPr>
          <w:ilvl w:val="0"/>
          <w:numId w:val="0"/>
        </w:numPr>
        <w:ind w:left="360"/>
      </w:pPr>
      <w:r w:rsidRPr="009A071C">
        <w:lastRenderedPageBreak/>
        <w:t xml:space="preserve">Comment to footnote </w:t>
      </w:r>
      <w:proofErr w:type="spellStart"/>
      <w:proofErr w:type="gramStart"/>
      <w:r w:rsidRPr="009A071C">
        <w:rPr>
          <w:i/>
        </w:rPr>
        <w:t>wa</w:t>
      </w:r>
      <w:proofErr w:type="spellEnd"/>
      <w:proofErr w:type="gramEnd"/>
      <w:r w:rsidRPr="009A071C">
        <w:rPr>
          <w:i/>
        </w:rPr>
        <w:t>)</w:t>
      </w:r>
      <w:r w:rsidRPr="009A071C">
        <w:t>:</w:t>
      </w:r>
    </w:p>
    <w:p w14:paraId="29E4DDDE" w14:textId="77777777" w:rsidR="00C347CA" w:rsidRPr="0092220A" w:rsidRDefault="002F46C4" w:rsidP="002F46C4">
      <w:pPr>
        <w:pStyle w:val="ECCParBulleted"/>
        <w:numPr>
          <w:ilvl w:val="0"/>
          <w:numId w:val="0"/>
        </w:numPr>
        <w:ind w:left="360"/>
      </w:pPr>
      <w:r w:rsidRPr="0092220A">
        <w:t>This footnote concerns digital data exchange based on Recommendation ITU</w:t>
      </w:r>
      <w:r w:rsidR="005E646C" w:rsidRPr="009A071C">
        <w:t>-</w:t>
      </w:r>
      <w:r w:rsidRPr="0092220A">
        <w:t>R</w:t>
      </w:r>
      <w:r w:rsidR="00514F23" w:rsidRPr="0092220A">
        <w:t> </w:t>
      </w:r>
      <w:r w:rsidRPr="0092220A">
        <w:t>M.1842</w:t>
      </w:r>
      <w:r w:rsidR="007F6757" w:rsidRPr="0092220A">
        <w:t xml:space="preserve"> </w:t>
      </w:r>
      <w:r w:rsidR="007F6757" w:rsidRPr="004A639E">
        <w:fldChar w:fldCharType="begin"/>
      </w:r>
      <w:r w:rsidR="007F6757" w:rsidRPr="0092220A">
        <w:instrText xml:space="preserve"> REF _Ref516491062 \r \h </w:instrText>
      </w:r>
      <w:r w:rsidR="007F6757" w:rsidRPr="004A639E">
        <w:fldChar w:fldCharType="separate"/>
      </w:r>
      <w:r w:rsidR="007F6757" w:rsidRPr="0092220A">
        <w:t>[4]</w:t>
      </w:r>
      <w:r w:rsidR="007F6757" w:rsidRPr="004A639E">
        <w:fldChar w:fldCharType="end"/>
      </w:r>
      <w:r w:rsidRPr="0092220A">
        <w:t xml:space="preserve">, which describes different data exchange systems excluding VDES. </w:t>
      </w:r>
      <w:r w:rsidR="00BC4C97" w:rsidRPr="0092220A">
        <w:t xml:space="preserve"> A regional utilisation was supported by Asian and African countries. </w:t>
      </w:r>
      <w:r w:rsidRPr="0092220A">
        <w:t xml:space="preserve">Only one system is operating </w:t>
      </w:r>
      <w:r w:rsidR="00BC4C97" w:rsidRPr="0092220A">
        <w:t xml:space="preserve">in CEPT and is </w:t>
      </w:r>
      <w:r w:rsidRPr="0092220A">
        <w:t xml:space="preserve">on </w:t>
      </w:r>
      <w:r w:rsidR="00C04058" w:rsidRPr="0092220A">
        <w:t>a national</w:t>
      </w:r>
      <w:r w:rsidR="00FC59EA" w:rsidRPr="0092220A">
        <w:t xml:space="preserve"> </w:t>
      </w:r>
      <w:r w:rsidRPr="0092220A">
        <w:t xml:space="preserve">basis </w:t>
      </w:r>
      <w:r w:rsidR="00BC4C97" w:rsidRPr="0092220A">
        <w:t xml:space="preserve">only, </w:t>
      </w:r>
      <w:r w:rsidRPr="0092220A">
        <w:t xml:space="preserve">using frequencies not </w:t>
      </w:r>
      <w:r w:rsidR="00C04058" w:rsidRPr="0092220A">
        <w:t>related to</w:t>
      </w:r>
      <w:r w:rsidRPr="0092220A">
        <w:t xml:space="preserve"> footnote </w:t>
      </w:r>
      <w:proofErr w:type="spellStart"/>
      <w:proofErr w:type="gramStart"/>
      <w:r w:rsidRPr="0092220A">
        <w:rPr>
          <w:i/>
        </w:rPr>
        <w:t>wa</w:t>
      </w:r>
      <w:proofErr w:type="spellEnd"/>
      <w:proofErr w:type="gramEnd"/>
      <w:r w:rsidRPr="0092220A">
        <w:rPr>
          <w:i/>
        </w:rPr>
        <w:t>)</w:t>
      </w:r>
      <w:r w:rsidRPr="0092220A">
        <w:t xml:space="preserve">. </w:t>
      </w:r>
      <w:r w:rsidR="00C347CA" w:rsidRPr="0092220A">
        <w:t>Furthermore t</w:t>
      </w:r>
      <w:r w:rsidRPr="0092220A">
        <w:t xml:space="preserve">his Recommendation </w:t>
      </w:r>
      <w:r w:rsidR="00C04058" w:rsidRPr="0092220A">
        <w:t>describes systems</w:t>
      </w:r>
      <w:r w:rsidRPr="0092220A">
        <w:t xml:space="preserve"> to merge two and four 25 kHz channels to achieve 50 or 100 kHz bandwidth</w:t>
      </w:r>
      <w:r w:rsidR="00C347CA" w:rsidRPr="0092220A">
        <w:t xml:space="preserve"> using multiple 25 kHz contiguous channels</w:t>
      </w:r>
      <w:r w:rsidRPr="0092220A">
        <w:t xml:space="preserve">. </w:t>
      </w:r>
      <w:r w:rsidR="00C22640" w:rsidRPr="0092220A">
        <w:t xml:space="preserve">The aim </w:t>
      </w:r>
      <w:r w:rsidR="00BC4C97" w:rsidRPr="0092220A">
        <w:t xml:space="preserve">is </w:t>
      </w:r>
      <w:r w:rsidR="00C22640" w:rsidRPr="0092220A">
        <w:t xml:space="preserve">to identify the relevant </w:t>
      </w:r>
      <w:r w:rsidR="00C04058" w:rsidRPr="0092220A">
        <w:t>channels to</w:t>
      </w:r>
      <w:r w:rsidR="00C22640" w:rsidRPr="0092220A">
        <w:t xml:space="preserve"> permit the utilisation of a regional VDES. </w:t>
      </w:r>
      <w:r w:rsidR="00BC4C97" w:rsidRPr="0092220A">
        <w:t xml:space="preserve"> </w:t>
      </w:r>
    </w:p>
    <w:p w14:paraId="29E4DDDF" w14:textId="77777777" w:rsidR="002F46C4" w:rsidRPr="009A071C" w:rsidRDefault="002F46C4" w:rsidP="002F46C4">
      <w:pPr>
        <w:pStyle w:val="ECCParBulleted"/>
        <w:numPr>
          <w:ilvl w:val="0"/>
          <w:numId w:val="0"/>
        </w:numPr>
        <w:ind w:left="360"/>
        <w:rPr>
          <w:b/>
          <w:u w:val="single"/>
        </w:rPr>
      </w:pPr>
      <w:r w:rsidRPr="009A071C">
        <w:rPr>
          <w:b/>
          <w:u w:val="single"/>
        </w:rPr>
        <w:t xml:space="preserve">Decision </w:t>
      </w:r>
      <w:r w:rsidR="005E646C" w:rsidRPr="009A071C">
        <w:rPr>
          <w:b/>
          <w:u w:val="single"/>
        </w:rPr>
        <w:t>on implementation</w:t>
      </w:r>
      <w:r w:rsidRPr="009A071C">
        <w:rPr>
          <w:b/>
          <w:u w:val="single"/>
        </w:rPr>
        <w:t xml:space="preserve"> </w:t>
      </w:r>
      <w:r w:rsidR="005E646C" w:rsidRPr="009A071C">
        <w:rPr>
          <w:b/>
          <w:u w:val="single"/>
        </w:rPr>
        <w:t xml:space="preserve">of </w:t>
      </w:r>
      <w:r w:rsidR="007F6757" w:rsidRPr="009A071C">
        <w:rPr>
          <w:b/>
          <w:u w:val="single"/>
        </w:rPr>
        <w:t>F</w:t>
      </w:r>
      <w:r w:rsidRPr="009A071C">
        <w:rPr>
          <w:b/>
          <w:u w:val="single"/>
        </w:rPr>
        <w:t xml:space="preserve">ootnote </w:t>
      </w:r>
      <w:proofErr w:type="spellStart"/>
      <w:proofErr w:type="gramStart"/>
      <w:r w:rsidRPr="009A071C">
        <w:rPr>
          <w:b/>
          <w:i/>
          <w:u w:val="single"/>
        </w:rPr>
        <w:t>wa</w:t>
      </w:r>
      <w:proofErr w:type="spellEnd"/>
      <w:proofErr w:type="gramEnd"/>
      <w:r w:rsidRPr="009A071C">
        <w:rPr>
          <w:b/>
          <w:i/>
          <w:u w:val="single"/>
        </w:rPr>
        <w:t>)</w:t>
      </w:r>
      <w:r w:rsidRPr="009A071C">
        <w:rPr>
          <w:b/>
          <w:u w:val="single"/>
        </w:rPr>
        <w:t>:</w:t>
      </w:r>
    </w:p>
    <w:p w14:paraId="29E4DDE0" w14:textId="77777777" w:rsidR="002F46C4" w:rsidRPr="009A071C" w:rsidRDefault="008E3E91" w:rsidP="002F46C4">
      <w:pPr>
        <w:pStyle w:val="ECCParBulleted"/>
        <w:numPr>
          <w:ilvl w:val="0"/>
          <w:numId w:val="0"/>
        </w:numPr>
        <w:ind w:left="360"/>
      </w:pPr>
      <w:r w:rsidRPr="009A071C">
        <w:t xml:space="preserve">Channels marked with footnote </w:t>
      </w:r>
      <w:proofErr w:type="spellStart"/>
      <w:proofErr w:type="gramStart"/>
      <w:r w:rsidRPr="009A071C">
        <w:rPr>
          <w:i/>
        </w:rPr>
        <w:t>wa</w:t>
      </w:r>
      <w:proofErr w:type="spellEnd"/>
      <w:proofErr w:type="gramEnd"/>
      <w:r w:rsidRPr="009A071C">
        <w:rPr>
          <w:i/>
        </w:rPr>
        <w:t>)</w:t>
      </w:r>
      <w:r w:rsidRPr="009A071C">
        <w:t xml:space="preserve"> </w:t>
      </w:r>
      <w:r w:rsidR="00DF3B29" w:rsidRPr="009A071C">
        <w:t xml:space="preserve">will not </w:t>
      </w:r>
      <w:r w:rsidRPr="009A071C">
        <w:t xml:space="preserve">be used for VDES in </w:t>
      </w:r>
      <w:r w:rsidR="002F46C4" w:rsidRPr="0092220A">
        <w:rPr>
          <w:szCs w:val="20"/>
        </w:rPr>
        <w:t xml:space="preserve">CEPT </w:t>
      </w:r>
      <w:r w:rsidRPr="0092220A">
        <w:rPr>
          <w:szCs w:val="20"/>
        </w:rPr>
        <w:t xml:space="preserve">countries. CEPT </w:t>
      </w:r>
      <w:r w:rsidR="007F6757" w:rsidRPr="0092220A">
        <w:rPr>
          <w:szCs w:val="20"/>
        </w:rPr>
        <w:t>administrations shall</w:t>
      </w:r>
      <w:r w:rsidR="002F46C4" w:rsidRPr="0092220A">
        <w:rPr>
          <w:szCs w:val="20"/>
        </w:rPr>
        <w:t xml:space="preserve"> not implement a regional VDES on the </w:t>
      </w:r>
      <w:r w:rsidR="002F46C4" w:rsidRPr="0092220A">
        <w:rPr>
          <w:rFonts w:cs="Arial"/>
          <w:szCs w:val="20"/>
        </w:rPr>
        <w:t>frequency bands corresponding to channels: 80, 21, 81, 22, 82, 23 and 83 of RR Appendix 18</w:t>
      </w:r>
      <w:r w:rsidRPr="009A071C">
        <w:t xml:space="preserve">. The channels 80, 21, 81, 22, 82, 23 and 83 will </w:t>
      </w:r>
      <w:r w:rsidR="005311A2" w:rsidRPr="009A071C">
        <w:t xml:space="preserve">continue to </w:t>
      </w:r>
      <w:r w:rsidRPr="009A071C">
        <w:t xml:space="preserve">be used for analogue voice telephony in duplex mode </w:t>
      </w:r>
      <w:r w:rsidR="00C8428E" w:rsidRPr="009A071C">
        <w:t>in CEPT countries</w:t>
      </w:r>
      <w:r w:rsidRPr="009A071C">
        <w:t>.</w:t>
      </w:r>
    </w:p>
    <w:p w14:paraId="29E4DDE1" w14:textId="77777777" w:rsidR="002F46C4" w:rsidRPr="0092220A" w:rsidRDefault="002F46C4" w:rsidP="002F46C4">
      <w:pPr>
        <w:pStyle w:val="ECCParBulleted"/>
        <w:numPr>
          <w:ilvl w:val="0"/>
          <w:numId w:val="0"/>
        </w:numPr>
        <w:ind w:left="360"/>
      </w:pPr>
    </w:p>
    <w:p w14:paraId="29E4DDE2" w14:textId="77777777" w:rsidR="002F46C4" w:rsidRPr="0092220A" w:rsidRDefault="00CE3731" w:rsidP="00CE3731">
      <w:pPr>
        <w:pStyle w:val="ECCParBulleted"/>
        <w:rPr>
          <w:b/>
          <w:u w:val="single"/>
        </w:rPr>
      </w:pPr>
      <w:r w:rsidRPr="0092220A">
        <w:rPr>
          <w:b/>
          <w:u w:val="single"/>
        </w:rPr>
        <w:t xml:space="preserve">RR Appendix 18 </w:t>
      </w:r>
      <w:r w:rsidR="002F46C4" w:rsidRPr="0092220A">
        <w:rPr>
          <w:b/>
          <w:u w:val="single"/>
        </w:rPr>
        <w:t xml:space="preserve">Footnote </w:t>
      </w:r>
      <w:r w:rsidR="002F46C4" w:rsidRPr="0092220A">
        <w:rPr>
          <w:b/>
          <w:i/>
          <w:u w:val="single"/>
        </w:rPr>
        <w:t>xx)</w:t>
      </w:r>
    </w:p>
    <w:p w14:paraId="29E4DDE3" w14:textId="77777777" w:rsidR="002F46C4" w:rsidRPr="0092220A" w:rsidRDefault="00684192" w:rsidP="002F46C4">
      <w:pPr>
        <w:pStyle w:val="ECCParBulleted"/>
        <w:numPr>
          <w:ilvl w:val="0"/>
          <w:numId w:val="0"/>
        </w:numPr>
        <w:ind w:left="360"/>
      </w:pPr>
      <w:r w:rsidRPr="0092220A">
        <w:t>“</w:t>
      </w:r>
      <w:r w:rsidR="002F46C4" w:rsidRPr="0092220A">
        <w:rPr>
          <w:i/>
        </w:rPr>
        <w:t>From 1 January 2019, the channels 24, 84, 25 and 85 may be merged in order to form a unique duplex channel with a bandwidth of 100 </w:t>
      </w:r>
      <w:proofErr w:type="gramStart"/>
      <w:r w:rsidR="002F46C4" w:rsidRPr="0092220A">
        <w:rPr>
          <w:i/>
        </w:rPr>
        <w:t>kHz</w:t>
      </w:r>
      <w:proofErr w:type="gramEnd"/>
      <w:r w:rsidR="002F46C4" w:rsidRPr="0092220A">
        <w:rPr>
          <w:i/>
        </w:rPr>
        <w:t xml:space="preserve"> in order to operate the VDES </w:t>
      </w:r>
      <w:r w:rsidR="002F46C4" w:rsidRPr="0092220A">
        <w:rPr>
          <w:rFonts w:eastAsia="TimesNewRoman,Bold" w:cs="Arial"/>
          <w:i/>
          <w:lang w:eastAsia="zh-CN"/>
        </w:rPr>
        <w:t>terrestrial component</w:t>
      </w:r>
      <w:r w:rsidR="002F46C4" w:rsidRPr="0092220A">
        <w:rPr>
          <w:rFonts w:cs="Arial"/>
          <w:i/>
        </w:rPr>
        <w:t xml:space="preserve"> described</w:t>
      </w:r>
      <w:r w:rsidR="002F46C4" w:rsidRPr="0092220A">
        <w:rPr>
          <w:i/>
        </w:rPr>
        <w:t xml:space="preserve"> in the most recent version of Recommendation ITU</w:t>
      </w:r>
      <w:r w:rsidR="009028F7" w:rsidRPr="0092220A">
        <w:rPr>
          <w:i/>
        </w:rPr>
        <w:t>-</w:t>
      </w:r>
      <w:r w:rsidR="002F46C4" w:rsidRPr="0092220A">
        <w:rPr>
          <w:i/>
        </w:rPr>
        <w:t>R M.2092.</w:t>
      </w:r>
      <w:r w:rsidR="002F46C4" w:rsidRPr="0092220A">
        <w:rPr>
          <w:sz w:val="16"/>
          <w:szCs w:val="16"/>
        </w:rPr>
        <w:t>     (WRC</w:t>
      </w:r>
      <w:r w:rsidR="002F46C4" w:rsidRPr="0092220A">
        <w:noBreakHyphen/>
      </w:r>
      <w:r w:rsidR="002F46C4" w:rsidRPr="0092220A">
        <w:rPr>
          <w:sz w:val="16"/>
          <w:szCs w:val="16"/>
        </w:rPr>
        <w:t>15)</w:t>
      </w:r>
      <w:r w:rsidRPr="0092220A">
        <w:rPr>
          <w:sz w:val="16"/>
          <w:szCs w:val="16"/>
        </w:rPr>
        <w:t>”</w:t>
      </w:r>
    </w:p>
    <w:p w14:paraId="29E4DDE4" w14:textId="77777777" w:rsidR="002F46C4" w:rsidRPr="009A071C" w:rsidRDefault="002F46C4" w:rsidP="002F46C4">
      <w:pPr>
        <w:pStyle w:val="ECCParBulleted"/>
        <w:numPr>
          <w:ilvl w:val="0"/>
          <w:numId w:val="0"/>
        </w:numPr>
        <w:ind w:left="360"/>
      </w:pPr>
      <w:r w:rsidRPr="009A071C">
        <w:t xml:space="preserve">Comment to footnote </w:t>
      </w:r>
      <w:r w:rsidRPr="009A071C">
        <w:rPr>
          <w:i/>
        </w:rPr>
        <w:t>xx)</w:t>
      </w:r>
      <w:r w:rsidRPr="009A071C">
        <w:t>:</w:t>
      </w:r>
    </w:p>
    <w:p w14:paraId="29E4DDE5" w14:textId="77777777" w:rsidR="002F46C4" w:rsidRPr="0092220A" w:rsidRDefault="002F46C4" w:rsidP="002F46C4">
      <w:pPr>
        <w:pStyle w:val="ECCParBulleted"/>
        <w:numPr>
          <w:ilvl w:val="0"/>
          <w:numId w:val="0"/>
        </w:numPr>
        <w:ind w:left="360"/>
      </w:pPr>
      <w:r w:rsidRPr="0092220A">
        <w:t xml:space="preserve">This footnote concerns </w:t>
      </w:r>
      <w:r w:rsidR="009028F7" w:rsidRPr="0092220A">
        <w:t>VDES as described in</w:t>
      </w:r>
      <w:r w:rsidRPr="0092220A">
        <w:t xml:space="preserve"> </w:t>
      </w:r>
      <w:r w:rsidR="009028F7" w:rsidRPr="0092220A">
        <w:t xml:space="preserve">Recommendation </w:t>
      </w:r>
      <w:r w:rsidRPr="0092220A">
        <w:t xml:space="preserve">ITU R M.2092 </w:t>
      </w:r>
      <w:r w:rsidR="007F6757" w:rsidRPr="004A639E">
        <w:fldChar w:fldCharType="begin"/>
      </w:r>
      <w:r w:rsidR="007F6757" w:rsidRPr="0092220A">
        <w:instrText xml:space="preserve"> REF _Ref516491054 \r \h </w:instrText>
      </w:r>
      <w:r w:rsidR="007F6757" w:rsidRPr="004A639E">
        <w:fldChar w:fldCharType="separate"/>
      </w:r>
      <w:r w:rsidR="007F6757" w:rsidRPr="0092220A">
        <w:t>[3]</w:t>
      </w:r>
      <w:r w:rsidR="007F6757" w:rsidRPr="004A639E">
        <w:fldChar w:fldCharType="end"/>
      </w:r>
      <w:r w:rsidR="007F6757" w:rsidRPr="0092220A">
        <w:t xml:space="preserve"> </w:t>
      </w:r>
      <w:r w:rsidRPr="0092220A">
        <w:t xml:space="preserve">(see comment to footnote </w:t>
      </w:r>
      <w:r w:rsidRPr="0092220A">
        <w:rPr>
          <w:i/>
        </w:rPr>
        <w:t>w)</w:t>
      </w:r>
      <w:r w:rsidRPr="0092220A">
        <w:t>).</w:t>
      </w:r>
    </w:p>
    <w:p w14:paraId="29E4DDE6" w14:textId="77777777" w:rsidR="002F46C4" w:rsidRPr="0092220A" w:rsidRDefault="002F46C4" w:rsidP="009028F7">
      <w:pPr>
        <w:pStyle w:val="ECCParBulleted"/>
        <w:rPr>
          <w:b/>
          <w:u w:val="single"/>
        </w:rPr>
      </w:pPr>
      <w:r w:rsidRPr="0092220A">
        <w:rPr>
          <w:b/>
          <w:u w:val="single"/>
        </w:rPr>
        <w:t xml:space="preserve">Decision </w:t>
      </w:r>
      <w:r w:rsidR="009028F7" w:rsidRPr="0092220A">
        <w:rPr>
          <w:b/>
          <w:u w:val="single"/>
        </w:rPr>
        <w:t xml:space="preserve">on implementation of </w:t>
      </w:r>
      <w:r w:rsidRPr="0092220A">
        <w:rPr>
          <w:b/>
          <w:u w:val="single"/>
        </w:rPr>
        <w:t xml:space="preserve">footnote </w:t>
      </w:r>
      <w:r w:rsidRPr="0092220A">
        <w:rPr>
          <w:b/>
          <w:i/>
          <w:u w:val="single"/>
        </w:rPr>
        <w:t>xx)</w:t>
      </w:r>
      <w:r w:rsidRPr="0092220A">
        <w:rPr>
          <w:b/>
          <w:u w:val="single"/>
        </w:rPr>
        <w:t>:</w:t>
      </w:r>
    </w:p>
    <w:p w14:paraId="29E4DDE7" w14:textId="77777777" w:rsidR="009028F7" w:rsidRPr="0092220A" w:rsidRDefault="009028F7" w:rsidP="002F46C4">
      <w:pPr>
        <w:pStyle w:val="ECCParBulleted"/>
        <w:numPr>
          <w:ilvl w:val="0"/>
          <w:numId w:val="0"/>
        </w:numPr>
        <w:ind w:left="360"/>
      </w:pPr>
      <w:r w:rsidRPr="009A071C">
        <w:t xml:space="preserve">Channels marked with footnote </w:t>
      </w:r>
      <w:r w:rsidRPr="009A071C">
        <w:rPr>
          <w:i/>
        </w:rPr>
        <w:t>xx)</w:t>
      </w:r>
      <w:r w:rsidRPr="009A071C">
        <w:t xml:space="preserve"> are designated to be used for VDES as described in Recommendation ITU-R M.2092. CEPT countries intend to </w:t>
      </w:r>
      <w:r w:rsidR="00C04058" w:rsidRPr="009A071C">
        <w:t>enable the</w:t>
      </w:r>
      <w:r w:rsidRPr="009A071C">
        <w:t xml:space="preserve"> terrestrial component of VDES as described in Recommendation ITU-R M.2092. CEPT administrations </w:t>
      </w:r>
      <w:r w:rsidR="007F6757" w:rsidRPr="009A071C">
        <w:t>shall</w:t>
      </w:r>
      <w:r w:rsidRPr="009A071C">
        <w:t xml:space="preserve"> ensure that the designated channels 24, 84, 25 and 85 of RR Appendix 18 will be available for the use of the terrestrial component of the VDES. After the impl</w:t>
      </w:r>
      <w:r w:rsidR="00684192" w:rsidRPr="009A071C">
        <w:t xml:space="preserve">ementation </w:t>
      </w:r>
      <w:r w:rsidRPr="009A071C">
        <w:t xml:space="preserve">period, as shown in Annex 2 of this </w:t>
      </w:r>
      <w:r w:rsidR="00FB1F90" w:rsidRPr="009A071C">
        <w:t>D</w:t>
      </w:r>
      <w:r w:rsidRPr="009A071C">
        <w:t xml:space="preserve">ecision, on these channels analogue voice telephony </w:t>
      </w:r>
      <w:r w:rsidR="00071FFD" w:rsidRPr="009A071C">
        <w:t xml:space="preserve">shall no longer </w:t>
      </w:r>
      <w:r w:rsidRPr="009A071C">
        <w:t>be permitted in CEPT countries</w:t>
      </w:r>
      <w:r w:rsidR="00071FFD" w:rsidRPr="0092220A">
        <w:t xml:space="preserve"> for the maritime mobile service.</w:t>
      </w:r>
    </w:p>
    <w:p w14:paraId="29E4DDE8" w14:textId="77777777" w:rsidR="009028F7" w:rsidRPr="0092220A" w:rsidRDefault="009028F7" w:rsidP="002F46C4">
      <w:pPr>
        <w:pStyle w:val="ECCParBulleted"/>
        <w:numPr>
          <w:ilvl w:val="0"/>
          <w:numId w:val="0"/>
        </w:numPr>
        <w:ind w:left="360"/>
      </w:pPr>
    </w:p>
    <w:p w14:paraId="29E4DDE9" w14:textId="77777777" w:rsidR="002F46C4" w:rsidRPr="0092220A" w:rsidRDefault="00CE3731" w:rsidP="00CE3731">
      <w:pPr>
        <w:pStyle w:val="ECCParBulleted"/>
        <w:rPr>
          <w:b/>
          <w:u w:val="single"/>
        </w:rPr>
      </w:pPr>
      <w:r w:rsidRPr="0092220A">
        <w:rPr>
          <w:b/>
          <w:u w:val="single"/>
        </w:rPr>
        <w:t xml:space="preserve">RR Appendix 18 </w:t>
      </w:r>
      <w:r w:rsidR="002F46C4" w:rsidRPr="0092220A">
        <w:rPr>
          <w:b/>
          <w:u w:val="single"/>
        </w:rPr>
        <w:t xml:space="preserve">Footnote </w:t>
      </w:r>
      <w:r w:rsidR="002F46C4" w:rsidRPr="0092220A">
        <w:rPr>
          <w:b/>
          <w:i/>
          <w:u w:val="single"/>
        </w:rPr>
        <w:t>y)</w:t>
      </w:r>
    </w:p>
    <w:p w14:paraId="29E4DDEA" w14:textId="77777777" w:rsidR="002F46C4" w:rsidRPr="009A071C" w:rsidRDefault="00666E4E" w:rsidP="002F46C4">
      <w:pPr>
        <w:pStyle w:val="ECCParBulleted"/>
        <w:numPr>
          <w:ilvl w:val="0"/>
          <w:numId w:val="0"/>
        </w:numPr>
        <w:ind w:left="360"/>
        <w:rPr>
          <w:sz w:val="16"/>
          <w:szCs w:val="16"/>
        </w:rPr>
      </w:pPr>
      <w:r w:rsidRPr="009A071C">
        <w:t>“</w:t>
      </w:r>
      <w:r w:rsidR="002F46C4" w:rsidRPr="009A071C">
        <w:rPr>
          <w:i/>
        </w:rPr>
        <w:t>These channels may be operated as single or duplex frequency channels, subject to coordination with affected administrations.</w:t>
      </w:r>
      <w:r w:rsidR="002F46C4" w:rsidRPr="009A071C">
        <w:rPr>
          <w:sz w:val="16"/>
          <w:szCs w:val="16"/>
        </w:rPr>
        <w:t>     (WRC</w:t>
      </w:r>
      <w:r w:rsidR="002F46C4" w:rsidRPr="009A071C">
        <w:rPr>
          <w:sz w:val="16"/>
          <w:szCs w:val="16"/>
        </w:rPr>
        <w:noBreakHyphen/>
        <w:t>12)</w:t>
      </w:r>
      <w:r w:rsidRPr="009A071C">
        <w:rPr>
          <w:sz w:val="16"/>
          <w:szCs w:val="16"/>
        </w:rPr>
        <w:t>”</w:t>
      </w:r>
    </w:p>
    <w:p w14:paraId="29E4DDEB" w14:textId="77777777" w:rsidR="002F46C4" w:rsidRPr="009A071C" w:rsidRDefault="002F46C4" w:rsidP="002F46C4">
      <w:pPr>
        <w:pStyle w:val="ECCParBulleted"/>
        <w:numPr>
          <w:ilvl w:val="0"/>
          <w:numId w:val="0"/>
        </w:numPr>
        <w:ind w:left="360"/>
      </w:pPr>
      <w:r w:rsidRPr="009A071C">
        <w:t xml:space="preserve">Comment to footnote </w:t>
      </w:r>
      <w:r w:rsidRPr="009A071C">
        <w:rPr>
          <w:i/>
        </w:rPr>
        <w:t>y)</w:t>
      </w:r>
      <w:r w:rsidRPr="009A071C">
        <w:t>:</w:t>
      </w:r>
    </w:p>
    <w:p w14:paraId="29E4DDEC" w14:textId="77777777" w:rsidR="002F46C4" w:rsidRPr="009A071C" w:rsidRDefault="002B3ECE" w:rsidP="002F46C4">
      <w:pPr>
        <w:pStyle w:val="ECCParBulleted"/>
        <w:numPr>
          <w:ilvl w:val="0"/>
          <w:numId w:val="0"/>
        </w:numPr>
        <w:ind w:left="360"/>
      </w:pPr>
      <w:r w:rsidRPr="009A071C">
        <w:t xml:space="preserve">Footnote </w:t>
      </w:r>
      <w:r w:rsidRPr="009A071C">
        <w:rPr>
          <w:i/>
        </w:rPr>
        <w:t>y)</w:t>
      </w:r>
      <w:r w:rsidRPr="009A071C">
        <w:t xml:space="preserve"> marks the same channels as footnote </w:t>
      </w:r>
      <w:proofErr w:type="spellStart"/>
      <w:proofErr w:type="gramStart"/>
      <w:r w:rsidRPr="009A071C">
        <w:rPr>
          <w:i/>
        </w:rPr>
        <w:t>wa</w:t>
      </w:r>
      <w:proofErr w:type="spellEnd"/>
      <w:proofErr w:type="gramEnd"/>
      <w:r w:rsidRPr="009A071C">
        <w:rPr>
          <w:i/>
        </w:rPr>
        <w:t>)</w:t>
      </w:r>
      <w:r w:rsidRPr="009A071C">
        <w:t xml:space="preserve">. </w:t>
      </w:r>
      <w:r w:rsidR="002F46C4" w:rsidRPr="009A071C">
        <w:t>Currently these channels are operated in many cases for port operations services or ship movement services in duplex mode in CEPT.</w:t>
      </w:r>
    </w:p>
    <w:p w14:paraId="29E4DDED" w14:textId="77777777" w:rsidR="002F46C4" w:rsidRPr="009A071C" w:rsidRDefault="002F46C4" w:rsidP="002F46C4">
      <w:pPr>
        <w:pStyle w:val="ECCParBulleted"/>
        <w:numPr>
          <w:ilvl w:val="0"/>
          <w:numId w:val="0"/>
        </w:numPr>
        <w:ind w:left="360"/>
        <w:rPr>
          <w:b/>
          <w:u w:val="single"/>
        </w:rPr>
      </w:pPr>
      <w:r w:rsidRPr="009A071C">
        <w:rPr>
          <w:b/>
          <w:u w:val="single"/>
        </w:rPr>
        <w:t xml:space="preserve">Decision </w:t>
      </w:r>
      <w:r w:rsidR="0048592C" w:rsidRPr="009A071C">
        <w:rPr>
          <w:b/>
          <w:u w:val="single"/>
        </w:rPr>
        <w:t xml:space="preserve">on implementation of </w:t>
      </w:r>
      <w:r w:rsidRPr="009A071C">
        <w:rPr>
          <w:b/>
          <w:u w:val="single"/>
        </w:rPr>
        <w:t xml:space="preserve">footnote </w:t>
      </w:r>
      <w:r w:rsidRPr="009A071C">
        <w:rPr>
          <w:b/>
          <w:i/>
          <w:u w:val="single"/>
        </w:rPr>
        <w:t>y)</w:t>
      </w:r>
      <w:r w:rsidRPr="009A071C">
        <w:rPr>
          <w:b/>
          <w:u w:val="single"/>
        </w:rPr>
        <w:t>:</w:t>
      </w:r>
    </w:p>
    <w:p w14:paraId="29E4DDEE" w14:textId="77777777" w:rsidR="002F46C4" w:rsidRPr="009A071C" w:rsidRDefault="002B3ECE" w:rsidP="002F46C4">
      <w:pPr>
        <w:pStyle w:val="ECCParBulleted"/>
        <w:numPr>
          <w:ilvl w:val="0"/>
          <w:numId w:val="0"/>
        </w:numPr>
        <w:ind w:left="360"/>
      </w:pPr>
      <w:r w:rsidRPr="009A071C">
        <w:t xml:space="preserve">Channels marked with footnote </w:t>
      </w:r>
      <w:r w:rsidRPr="009A071C">
        <w:rPr>
          <w:i/>
        </w:rPr>
        <w:t>y)</w:t>
      </w:r>
      <w:r w:rsidRPr="009A071C">
        <w:t xml:space="preserve"> </w:t>
      </w:r>
      <w:r w:rsidR="00071FFD" w:rsidRPr="009A071C">
        <w:t xml:space="preserve">shall </w:t>
      </w:r>
      <w:r w:rsidRPr="009A071C">
        <w:t xml:space="preserve">not be operated as single </w:t>
      </w:r>
      <w:r w:rsidR="00BA6BA8" w:rsidRPr="009A071C">
        <w:t xml:space="preserve">frequency channels </w:t>
      </w:r>
      <w:r w:rsidRPr="009A071C">
        <w:t xml:space="preserve">in </w:t>
      </w:r>
      <w:r w:rsidRPr="0092220A">
        <w:rPr>
          <w:szCs w:val="20"/>
        </w:rPr>
        <w:t xml:space="preserve">CEPT countries. </w:t>
      </w:r>
      <w:r w:rsidRPr="009A071C">
        <w:t xml:space="preserve">The channels 80, 21, 81, 22, 82, 23 and 83 </w:t>
      </w:r>
      <w:r w:rsidR="00BA6BA8" w:rsidRPr="009A071C">
        <w:t xml:space="preserve">of RR Appendix 18 </w:t>
      </w:r>
      <w:r w:rsidR="00071FFD" w:rsidRPr="009A071C">
        <w:t xml:space="preserve">shall </w:t>
      </w:r>
      <w:r w:rsidR="00666E4E" w:rsidRPr="009A071C">
        <w:t xml:space="preserve">continue to </w:t>
      </w:r>
      <w:r w:rsidRPr="009A071C">
        <w:t>be used for analogue voice telephony in duplex mode in CEPT countries.</w:t>
      </w:r>
      <w:r w:rsidR="002F46C4" w:rsidRPr="0092220A">
        <w:rPr>
          <w:szCs w:val="20"/>
        </w:rPr>
        <w:t xml:space="preserve"> </w:t>
      </w:r>
    </w:p>
    <w:p w14:paraId="29E4DDEF" w14:textId="77777777" w:rsidR="0048592C" w:rsidRPr="009A071C" w:rsidRDefault="0048592C" w:rsidP="002F46C4">
      <w:pPr>
        <w:pStyle w:val="ECCParBulleted"/>
        <w:numPr>
          <w:ilvl w:val="0"/>
          <w:numId w:val="0"/>
        </w:numPr>
        <w:ind w:left="360"/>
      </w:pPr>
    </w:p>
    <w:p w14:paraId="29E4DDF0" w14:textId="77777777" w:rsidR="002F46C4" w:rsidRPr="0092220A" w:rsidRDefault="00CE3731" w:rsidP="00CE3731">
      <w:pPr>
        <w:pStyle w:val="ECCParBulleted"/>
        <w:rPr>
          <w:b/>
          <w:u w:val="single"/>
        </w:rPr>
      </w:pPr>
      <w:r w:rsidRPr="0092220A">
        <w:rPr>
          <w:b/>
          <w:u w:val="single"/>
        </w:rPr>
        <w:t xml:space="preserve">RR Appendix 18 </w:t>
      </w:r>
      <w:r w:rsidR="002F46C4" w:rsidRPr="0092220A">
        <w:rPr>
          <w:b/>
          <w:u w:val="single"/>
        </w:rPr>
        <w:t xml:space="preserve">Footnote </w:t>
      </w:r>
      <w:r w:rsidR="002F46C4" w:rsidRPr="0092220A">
        <w:rPr>
          <w:b/>
          <w:i/>
          <w:u w:val="single"/>
        </w:rPr>
        <w:t>z)</w:t>
      </w:r>
    </w:p>
    <w:p w14:paraId="29E4DDF1" w14:textId="77777777" w:rsidR="002F46C4" w:rsidRPr="009A071C" w:rsidRDefault="00EB2636" w:rsidP="002F46C4">
      <w:pPr>
        <w:pStyle w:val="ECCParBulleted"/>
        <w:numPr>
          <w:ilvl w:val="0"/>
          <w:numId w:val="0"/>
        </w:numPr>
        <w:ind w:left="360"/>
        <w:rPr>
          <w:i/>
        </w:rPr>
      </w:pPr>
      <w:r w:rsidRPr="009A071C">
        <w:t>“</w:t>
      </w:r>
      <w:r w:rsidR="002F46C4" w:rsidRPr="009A071C">
        <w:rPr>
          <w:i/>
        </w:rPr>
        <w:t>Until 1 January 2019, these channels may be used for possible testing of future AIS applications without causing harmful interference to, or claiming protection from, existing applications and stations operating in the fixed and mobile services.</w:t>
      </w:r>
    </w:p>
    <w:p w14:paraId="29E4DDF2" w14:textId="77777777" w:rsidR="002F46C4" w:rsidRPr="009A071C" w:rsidRDefault="002F46C4" w:rsidP="002F46C4">
      <w:pPr>
        <w:pStyle w:val="ECCParBulleted"/>
        <w:numPr>
          <w:ilvl w:val="0"/>
          <w:numId w:val="0"/>
        </w:numPr>
        <w:ind w:left="360"/>
      </w:pPr>
      <w:r w:rsidRPr="009A071C">
        <w:rPr>
          <w:i/>
        </w:rPr>
        <w:t>From 1 January 2019, these channels are each split into two simplex channels. The channels 2027 and 2028 designated as ASM 1 and ASM 2 are used for application specific messages (ASM) as described in the most recent version of Recommendation ITU-R M.</w:t>
      </w:r>
      <w:r w:rsidRPr="009A071C">
        <w:rPr>
          <w:i/>
          <w:color w:val="000000"/>
        </w:rPr>
        <w:t>2092</w:t>
      </w:r>
      <w:r w:rsidRPr="009A071C">
        <w:rPr>
          <w:i/>
        </w:rPr>
        <w:t>.</w:t>
      </w:r>
      <w:r w:rsidRPr="009A071C">
        <w:rPr>
          <w:sz w:val="16"/>
          <w:szCs w:val="16"/>
        </w:rPr>
        <w:t>     (WRC</w:t>
      </w:r>
      <w:r w:rsidRPr="009A071C">
        <w:rPr>
          <w:sz w:val="16"/>
          <w:szCs w:val="16"/>
        </w:rPr>
        <w:noBreakHyphen/>
        <w:t>15)</w:t>
      </w:r>
      <w:r w:rsidR="00EB2636" w:rsidRPr="009A071C">
        <w:rPr>
          <w:sz w:val="16"/>
          <w:szCs w:val="16"/>
        </w:rPr>
        <w:t>”</w:t>
      </w:r>
    </w:p>
    <w:p w14:paraId="29E4DDF3" w14:textId="77777777" w:rsidR="001F3864" w:rsidRPr="009A071C" w:rsidRDefault="001F3864" w:rsidP="002F46C4">
      <w:pPr>
        <w:pStyle w:val="ECCParBulleted"/>
        <w:numPr>
          <w:ilvl w:val="0"/>
          <w:numId w:val="0"/>
        </w:numPr>
        <w:ind w:left="360"/>
      </w:pPr>
    </w:p>
    <w:p w14:paraId="29E4DDF4" w14:textId="77777777" w:rsidR="002F46C4" w:rsidRPr="009A071C" w:rsidRDefault="002F46C4" w:rsidP="002C62B3">
      <w:pPr>
        <w:pStyle w:val="ECCParBulleted"/>
        <w:keepNext/>
        <w:numPr>
          <w:ilvl w:val="0"/>
          <w:numId w:val="0"/>
        </w:numPr>
        <w:ind w:left="357"/>
      </w:pPr>
      <w:r w:rsidRPr="009A071C">
        <w:lastRenderedPageBreak/>
        <w:t xml:space="preserve">Comment to footnote </w:t>
      </w:r>
      <w:r w:rsidRPr="009A071C">
        <w:rPr>
          <w:i/>
        </w:rPr>
        <w:t>z)</w:t>
      </w:r>
      <w:r w:rsidRPr="009A071C">
        <w:t>:</w:t>
      </w:r>
    </w:p>
    <w:p w14:paraId="29E4DDF5" w14:textId="77777777" w:rsidR="002F46C4" w:rsidRPr="0092220A" w:rsidRDefault="002F46C4" w:rsidP="002C62B3">
      <w:pPr>
        <w:pStyle w:val="ECCParBulleted"/>
        <w:keepNext/>
        <w:numPr>
          <w:ilvl w:val="0"/>
          <w:numId w:val="0"/>
        </w:numPr>
        <w:ind w:left="357"/>
      </w:pPr>
      <w:r w:rsidRPr="0092220A">
        <w:t>This footnote concerns AIS. To avoid an overload of AIS in areas with high traffic</w:t>
      </w:r>
      <w:r w:rsidR="00EB2636" w:rsidRPr="0092220A">
        <w:t>,</w:t>
      </w:r>
      <w:r w:rsidRPr="0092220A">
        <w:t xml:space="preserve"> </w:t>
      </w:r>
      <w:r w:rsidR="008B60EB" w:rsidRPr="0092220A">
        <w:t xml:space="preserve">it is intended to transmit </w:t>
      </w:r>
      <w:r w:rsidR="009A5FA2" w:rsidRPr="0092220A">
        <w:t xml:space="preserve">some </w:t>
      </w:r>
      <w:r w:rsidRPr="0092220A">
        <w:t>application specific messages (ASM) on the frequencies 161.950 MHz (</w:t>
      </w:r>
      <w:r w:rsidR="008B60EB" w:rsidRPr="0092220A">
        <w:t>ASM1</w:t>
      </w:r>
      <w:r w:rsidRPr="0092220A">
        <w:t>) and 162.000 MHz (</w:t>
      </w:r>
      <w:r w:rsidR="008B60EB" w:rsidRPr="0092220A">
        <w:t>ASM2</w:t>
      </w:r>
      <w:r w:rsidRPr="0092220A">
        <w:t>)</w:t>
      </w:r>
      <w:r w:rsidR="009A5FA2" w:rsidRPr="0092220A">
        <w:t xml:space="preserve"> instead</w:t>
      </w:r>
      <w:r w:rsidRPr="0092220A">
        <w:t xml:space="preserve">. </w:t>
      </w:r>
      <w:r w:rsidR="008676A1" w:rsidRPr="009A071C">
        <w:t xml:space="preserve">Footnote </w:t>
      </w:r>
      <w:r w:rsidR="008676A1" w:rsidRPr="009A071C">
        <w:rPr>
          <w:i/>
        </w:rPr>
        <w:t>z)</w:t>
      </w:r>
      <w:r w:rsidR="008676A1" w:rsidRPr="009A071C">
        <w:t xml:space="preserve"> has to be noted in close relationship to </w:t>
      </w:r>
      <w:r w:rsidR="007F6757" w:rsidRPr="009A071C">
        <w:t>f</w:t>
      </w:r>
      <w:r w:rsidR="008676A1" w:rsidRPr="009A071C">
        <w:t xml:space="preserve">ootnote </w:t>
      </w:r>
      <w:proofErr w:type="spellStart"/>
      <w:r w:rsidR="008676A1" w:rsidRPr="009A071C">
        <w:rPr>
          <w:i/>
        </w:rPr>
        <w:t>zz</w:t>
      </w:r>
      <w:proofErr w:type="spellEnd"/>
      <w:r w:rsidR="008676A1" w:rsidRPr="009A071C">
        <w:rPr>
          <w:i/>
        </w:rPr>
        <w:t>).</w:t>
      </w:r>
    </w:p>
    <w:p w14:paraId="29E4DDF6" w14:textId="77777777" w:rsidR="002F46C4" w:rsidRPr="009A071C" w:rsidRDefault="002F46C4" w:rsidP="002C62B3">
      <w:pPr>
        <w:pStyle w:val="ECCParBulleted"/>
        <w:numPr>
          <w:ilvl w:val="0"/>
          <w:numId w:val="41"/>
        </w:numPr>
        <w:ind w:left="357" w:hanging="357"/>
        <w:rPr>
          <w:b/>
          <w:u w:val="single"/>
        </w:rPr>
      </w:pPr>
      <w:r w:rsidRPr="009A071C">
        <w:rPr>
          <w:b/>
          <w:u w:val="single"/>
        </w:rPr>
        <w:t xml:space="preserve">Decision </w:t>
      </w:r>
      <w:r w:rsidR="00457163" w:rsidRPr="009A071C">
        <w:rPr>
          <w:b/>
          <w:u w:val="single"/>
        </w:rPr>
        <w:t xml:space="preserve">on implementation of </w:t>
      </w:r>
      <w:r w:rsidR="007F6757" w:rsidRPr="009A071C">
        <w:rPr>
          <w:b/>
          <w:u w:val="single"/>
        </w:rPr>
        <w:t>F</w:t>
      </w:r>
      <w:r w:rsidRPr="009A071C">
        <w:rPr>
          <w:b/>
          <w:u w:val="single"/>
        </w:rPr>
        <w:t xml:space="preserve">ootnote </w:t>
      </w:r>
      <w:r w:rsidRPr="009A071C">
        <w:rPr>
          <w:b/>
          <w:i/>
          <w:u w:val="single"/>
        </w:rPr>
        <w:t>z)</w:t>
      </w:r>
      <w:r w:rsidRPr="009A071C">
        <w:rPr>
          <w:b/>
          <w:u w:val="single"/>
        </w:rPr>
        <w:t>:</w:t>
      </w:r>
    </w:p>
    <w:p w14:paraId="29E4DDF7" w14:textId="77777777" w:rsidR="003708E0" w:rsidRPr="0092220A" w:rsidRDefault="007F60F3" w:rsidP="002F46C4">
      <w:pPr>
        <w:pStyle w:val="ECCParBulleted"/>
        <w:numPr>
          <w:ilvl w:val="0"/>
          <w:numId w:val="0"/>
        </w:numPr>
        <w:ind w:left="360"/>
      </w:pPr>
      <w:r w:rsidRPr="009A071C">
        <w:t xml:space="preserve">Channels </w:t>
      </w:r>
      <w:r w:rsidR="008B60EB" w:rsidRPr="0092220A">
        <w:t xml:space="preserve">2027 and 2028 of RR Appendix 18 </w:t>
      </w:r>
      <w:r w:rsidRPr="009A071C">
        <w:t xml:space="preserve">marked with footnote </w:t>
      </w:r>
      <w:r w:rsidRPr="009A071C">
        <w:rPr>
          <w:i/>
        </w:rPr>
        <w:t>z)</w:t>
      </w:r>
      <w:r w:rsidRPr="009A071C">
        <w:t xml:space="preserve"> will be </w:t>
      </w:r>
      <w:r w:rsidR="002C44BC" w:rsidRPr="009A071C">
        <w:t>used</w:t>
      </w:r>
      <w:r w:rsidRPr="009A071C">
        <w:t xml:space="preserve"> </w:t>
      </w:r>
      <w:r w:rsidR="008B60EB" w:rsidRPr="009A071C">
        <w:t xml:space="preserve">in </w:t>
      </w:r>
      <w:r w:rsidR="002F46C4" w:rsidRPr="0092220A">
        <w:t xml:space="preserve">CEPT </w:t>
      </w:r>
      <w:r w:rsidR="002C44BC" w:rsidRPr="0092220A">
        <w:t>countries to transmit the application specific messages (ASM) on the</w:t>
      </w:r>
      <w:r w:rsidR="002F46C4" w:rsidRPr="0092220A">
        <w:t xml:space="preserve"> frequencies 161.950 MHz (ASM1) and 162.000 MHz (ASM2)</w:t>
      </w:r>
      <w:r w:rsidR="002C44BC" w:rsidRPr="0092220A">
        <w:t>.</w:t>
      </w:r>
      <w:r w:rsidR="002F46C4" w:rsidRPr="0092220A">
        <w:t xml:space="preserve"> </w:t>
      </w:r>
      <w:r w:rsidR="002C44BC" w:rsidRPr="0092220A">
        <w:t>After the impl</w:t>
      </w:r>
      <w:r w:rsidR="009A5FA2" w:rsidRPr="0092220A">
        <w:t xml:space="preserve">ementation </w:t>
      </w:r>
      <w:r w:rsidR="002C44BC" w:rsidRPr="0092220A">
        <w:t xml:space="preserve">period, as shown in Annex 2 of this </w:t>
      </w:r>
      <w:r w:rsidR="00FB1F90" w:rsidRPr="0092220A">
        <w:t>D</w:t>
      </w:r>
      <w:r w:rsidR="002C44BC" w:rsidRPr="0092220A">
        <w:t xml:space="preserve">ecision, in CEPT countries </w:t>
      </w:r>
      <w:r w:rsidR="008676A1" w:rsidRPr="0092220A">
        <w:t xml:space="preserve">it </w:t>
      </w:r>
      <w:r w:rsidR="00071FFD" w:rsidRPr="0092220A">
        <w:t xml:space="preserve">shall no longer be </w:t>
      </w:r>
      <w:r w:rsidR="008676A1" w:rsidRPr="0092220A">
        <w:t xml:space="preserve">permitted to use </w:t>
      </w:r>
      <w:r w:rsidR="002C44BC" w:rsidRPr="0092220A">
        <w:t xml:space="preserve">the </w:t>
      </w:r>
      <w:r w:rsidR="008676A1" w:rsidRPr="0092220A">
        <w:t xml:space="preserve">channels </w:t>
      </w:r>
      <w:r w:rsidR="002C44BC" w:rsidRPr="0092220A">
        <w:t xml:space="preserve">27 and 28 </w:t>
      </w:r>
      <w:r w:rsidR="00CE3731" w:rsidRPr="0092220A">
        <w:t xml:space="preserve">for </w:t>
      </w:r>
      <w:r w:rsidR="002C44BC" w:rsidRPr="0092220A">
        <w:t xml:space="preserve">analogue voice telephony </w:t>
      </w:r>
      <w:r w:rsidR="008676A1" w:rsidRPr="0092220A">
        <w:t>in duplex mode</w:t>
      </w:r>
      <w:r w:rsidR="00185E44" w:rsidRPr="0092220A">
        <w:t xml:space="preserve">. </w:t>
      </w:r>
      <w:r w:rsidR="00D957C5" w:rsidRPr="0092220A">
        <w:t xml:space="preserve"> </w:t>
      </w:r>
    </w:p>
    <w:p w14:paraId="29E4DDF8" w14:textId="77777777" w:rsidR="002F46C4" w:rsidRPr="0092220A" w:rsidRDefault="00CE3731" w:rsidP="00CE3731">
      <w:pPr>
        <w:pStyle w:val="ECCParBulleted"/>
        <w:rPr>
          <w:b/>
          <w:u w:val="single"/>
        </w:rPr>
      </w:pPr>
      <w:r w:rsidRPr="0092220A">
        <w:rPr>
          <w:b/>
          <w:u w:val="single"/>
        </w:rPr>
        <w:t xml:space="preserve">RR Appendix 18 </w:t>
      </w:r>
      <w:r w:rsidR="002F46C4" w:rsidRPr="0092220A">
        <w:rPr>
          <w:b/>
          <w:u w:val="single"/>
        </w:rPr>
        <w:t xml:space="preserve">Footnote </w:t>
      </w:r>
      <w:proofErr w:type="spellStart"/>
      <w:r w:rsidR="002F46C4" w:rsidRPr="0092220A">
        <w:rPr>
          <w:b/>
          <w:u w:val="single"/>
        </w:rPr>
        <w:t>z</w:t>
      </w:r>
      <w:r w:rsidR="002F46C4" w:rsidRPr="0092220A">
        <w:rPr>
          <w:b/>
          <w:i/>
          <w:u w:val="single"/>
        </w:rPr>
        <w:t>z</w:t>
      </w:r>
      <w:proofErr w:type="spellEnd"/>
      <w:r w:rsidR="002F46C4" w:rsidRPr="0092220A">
        <w:rPr>
          <w:b/>
          <w:i/>
          <w:u w:val="single"/>
        </w:rPr>
        <w:t>)</w:t>
      </w:r>
    </w:p>
    <w:p w14:paraId="29E4DDF9" w14:textId="77777777" w:rsidR="002F46C4" w:rsidRPr="0092220A" w:rsidRDefault="00166C62" w:rsidP="002F46C4">
      <w:pPr>
        <w:pStyle w:val="ECCParBulleted"/>
        <w:numPr>
          <w:ilvl w:val="0"/>
          <w:numId w:val="0"/>
        </w:numPr>
        <w:ind w:left="360"/>
      </w:pPr>
      <w:r w:rsidRPr="009A071C">
        <w:rPr>
          <w:iCs/>
        </w:rPr>
        <w:t>“</w:t>
      </w:r>
      <w:r w:rsidR="002F46C4" w:rsidRPr="009A071C">
        <w:rPr>
          <w:i/>
          <w:iCs/>
        </w:rPr>
        <w:t>From 1 January 2019, channels 1027,</w:t>
      </w:r>
      <w:r w:rsidR="002F46C4" w:rsidRPr="009A071C">
        <w:rPr>
          <w:i/>
        </w:rPr>
        <w:t> </w:t>
      </w:r>
      <w:r w:rsidR="002F46C4" w:rsidRPr="009A071C">
        <w:rPr>
          <w:i/>
          <w:iCs/>
        </w:rPr>
        <w:t>1028, 87 and 88 are used as single-frequency analogue channels for port operation and ship movement.</w:t>
      </w:r>
      <w:r w:rsidR="002F46C4" w:rsidRPr="009A071C">
        <w:rPr>
          <w:iCs/>
          <w:sz w:val="16"/>
          <w:szCs w:val="16"/>
        </w:rPr>
        <w:t> </w:t>
      </w:r>
      <w:r w:rsidR="002F46C4" w:rsidRPr="009A071C">
        <w:rPr>
          <w:sz w:val="16"/>
          <w:szCs w:val="16"/>
        </w:rPr>
        <w:t>(WRC</w:t>
      </w:r>
      <w:r w:rsidR="002F46C4" w:rsidRPr="009A071C">
        <w:noBreakHyphen/>
      </w:r>
      <w:r w:rsidR="002F46C4" w:rsidRPr="009A071C">
        <w:rPr>
          <w:sz w:val="16"/>
          <w:szCs w:val="16"/>
        </w:rPr>
        <w:t>15)</w:t>
      </w:r>
      <w:r w:rsidRPr="009A071C">
        <w:rPr>
          <w:sz w:val="16"/>
          <w:szCs w:val="16"/>
        </w:rPr>
        <w:t>”</w:t>
      </w:r>
    </w:p>
    <w:p w14:paraId="29E4DDFA" w14:textId="77777777" w:rsidR="002F46C4" w:rsidRPr="009A071C" w:rsidRDefault="002F46C4" w:rsidP="002F46C4">
      <w:pPr>
        <w:pStyle w:val="ECCParBulleted"/>
        <w:numPr>
          <w:ilvl w:val="0"/>
          <w:numId w:val="0"/>
        </w:numPr>
        <w:ind w:left="360"/>
      </w:pPr>
      <w:r w:rsidRPr="009A071C">
        <w:t xml:space="preserve">Comment to footnote </w:t>
      </w:r>
      <w:proofErr w:type="spellStart"/>
      <w:r w:rsidRPr="009A071C">
        <w:rPr>
          <w:i/>
        </w:rPr>
        <w:t>zz</w:t>
      </w:r>
      <w:proofErr w:type="spellEnd"/>
      <w:r w:rsidRPr="009A071C">
        <w:rPr>
          <w:i/>
        </w:rPr>
        <w:t>)</w:t>
      </w:r>
      <w:r w:rsidRPr="009A071C">
        <w:t>:</w:t>
      </w:r>
    </w:p>
    <w:p w14:paraId="29E4DDFB" w14:textId="77777777" w:rsidR="002F46C4" w:rsidRPr="009A071C" w:rsidRDefault="002F46C4" w:rsidP="002F46C4">
      <w:pPr>
        <w:pStyle w:val="ECCParBulleted"/>
        <w:numPr>
          <w:ilvl w:val="0"/>
          <w:numId w:val="0"/>
        </w:numPr>
        <w:ind w:left="360"/>
        <w:rPr>
          <w:iCs/>
        </w:rPr>
      </w:pPr>
      <w:r w:rsidRPr="0092220A">
        <w:t xml:space="preserve">This footnote concerns analogue voice telephony. </w:t>
      </w:r>
      <w:r w:rsidR="003708E0" w:rsidRPr="0092220A">
        <w:t>It is close</w:t>
      </w:r>
      <w:r w:rsidR="00166C62" w:rsidRPr="0092220A">
        <w:t xml:space="preserve">ly </w:t>
      </w:r>
      <w:r w:rsidR="003708E0" w:rsidRPr="0092220A">
        <w:t>related to</w:t>
      </w:r>
      <w:r w:rsidRPr="0092220A">
        <w:t xml:space="preserve"> footnote </w:t>
      </w:r>
      <w:r w:rsidRPr="0092220A">
        <w:rPr>
          <w:i/>
        </w:rPr>
        <w:t>z)</w:t>
      </w:r>
      <w:r w:rsidR="003708E0" w:rsidRPr="0092220A">
        <w:t>. T</w:t>
      </w:r>
      <w:r w:rsidRPr="0092220A">
        <w:t xml:space="preserve">he duplex channels 27 and 28 cannot be used for </w:t>
      </w:r>
      <w:r w:rsidRPr="009A071C">
        <w:rPr>
          <w:iCs/>
        </w:rPr>
        <w:t>analogue voice telephony</w:t>
      </w:r>
      <w:r w:rsidR="003708E0" w:rsidRPr="0092220A">
        <w:t xml:space="preserve"> any longer</w:t>
      </w:r>
      <w:r w:rsidRPr="009A071C">
        <w:rPr>
          <w:iCs/>
        </w:rPr>
        <w:t>.</w:t>
      </w:r>
      <w:r w:rsidR="003708E0" w:rsidRPr="009A071C">
        <w:rPr>
          <w:iCs/>
        </w:rPr>
        <w:t xml:space="preserve"> The frequencies 157.350 MHz, 157.375 MHz, 157.400 MHz and 157.425 MHz (</w:t>
      </w:r>
      <w:r w:rsidR="00DF28C4" w:rsidRPr="009A071C">
        <w:rPr>
          <w:iCs/>
        </w:rPr>
        <w:t xml:space="preserve">corresponding to </w:t>
      </w:r>
      <w:r w:rsidR="003708E0" w:rsidRPr="009A071C">
        <w:rPr>
          <w:iCs/>
        </w:rPr>
        <w:t>channels 1027, 1028, 87 and 88) may be used for analogue voice telephony in simplex mode only.</w:t>
      </w:r>
    </w:p>
    <w:p w14:paraId="29E4DDFC" w14:textId="77777777" w:rsidR="002F46C4" w:rsidRPr="009A071C" w:rsidRDefault="002F46C4" w:rsidP="002F46C4">
      <w:pPr>
        <w:pStyle w:val="ECCParBulleted"/>
        <w:numPr>
          <w:ilvl w:val="0"/>
          <w:numId w:val="0"/>
        </w:numPr>
        <w:ind w:left="360"/>
        <w:rPr>
          <w:b/>
          <w:u w:val="single"/>
        </w:rPr>
      </w:pPr>
      <w:r w:rsidRPr="009A071C">
        <w:rPr>
          <w:b/>
          <w:u w:val="single"/>
        </w:rPr>
        <w:t xml:space="preserve">Decision </w:t>
      </w:r>
      <w:r w:rsidR="00FB1F90" w:rsidRPr="009A071C">
        <w:rPr>
          <w:b/>
          <w:u w:val="single"/>
        </w:rPr>
        <w:t>on</w:t>
      </w:r>
      <w:r w:rsidRPr="009A071C">
        <w:rPr>
          <w:b/>
          <w:u w:val="single"/>
        </w:rPr>
        <w:t xml:space="preserve"> </w:t>
      </w:r>
      <w:r w:rsidR="007F6757" w:rsidRPr="009A071C">
        <w:rPr>
          <w:b/>
          <w:u w:val="single"/>
        </w:rPr>
        <w:t>F</w:t>
      </w:r>
      <w:r w:rsidRPr="009A071C">
        <w:rPr>
          <w:b/>
          <w:u w:val="single"/>
        </w:rPr>
        <w:t xml:space="preserve">ootnote </w:t>
      </w:r>
      <w:proofErr w:type="spellStart"/>
      <w:r w:rsidRPr="009A071C">
        <w:rPr>
          <w:b/>
          <w:i/>
          <w:u w:val="single"/>
        </w:rPr>
        <w:t>zz</w:t>
      </w:r>
      <w:proofErr w:type="spellEnd"/>
      <w:r w:rsidRPr="009A071C">
        <w:rPr>
          <w:b/>
          <w:i/>
          <w:u w:val="single"/>
        </w:rPr>
        <w:t>)</w:t>
      </w:r>
      <w:r w:rsidRPr="009A071C">
        <w:rPr>
          <w:b/>
          <w:u w:val="single"/>
        </w:rPr>
        <w:t>:</w:t>
      </w:r>
    </w:p>
    <w:p w14:paraId="29E4DDFD" w14:textId="77777777" w:rsidR="002F46C4" w:rsidRPr="009A071C" w:rsidRDefault="006A6735" w:rsidP="002F46C4">
      <w:pPr>
        <w:pStyle w:val="ECCParBulleted"/>
        <w:numPr>
          <w:ilvl w:val="0"/>
          <w:numId w:val="0"/>
        </w:numPr>
        <w:ind w:left="360"/>
        <w:rPr>
          <w:iCs/>
        </w:rPr>
      </w:pPr>
      <w:r w:rsidRPr="009A071C">
        <w:t xml:space="preserve">Channels marked with footnote </w:t>
      </w:r>
      <w:proofErr w:type="spellStart"/>
      <w:r w:rsidRPr="009A071C">
        <w:rPr>
          <w:i/>
        </w:rPr>
        <w:t>zz</w:t>
      </w:r>
      <w:proofErr w:type="spellEnd"/>
      <w:r w:rsidRPr="009A071C">
        <w:rPr>
          <w:i/>
        </w:rPr>
        <w:t>)</w:t>
      </w:r>
      <w:r w:rsidRPr="009A071C">
        <w:t xml:space="preserve"> </w:t>
      </w:r>
      <w:r w:rsidRPr="009A071C">
        <w:rPr>
          <w:iCs/>
        </w:rPr>
        <w:t>will</w:t>
      </w:r>
      <w:r w:rsidR="002F46C4" w:rsidRPr="009A071C">
        <w:rPr>
          <w:iCs/>
        </w:rPr>
        <w:t xml:space="preserve"> be used as single-frequency analogue channels for port operation and ship movement</w:t>
      </w:r>
      <w:r w:rsidRPr="009A071C">
        <w:rPr>
          <w:iCs/>
        </w:rPr>
        <w:t xml:space="preserve"> in CEPT countries</w:t>
      </w:r>
      <w:r w:rsidR="002F46C4" w:rsidRPr="009A071C">
        <w:rPr>
          <w:iCs/>
        </w:rPr>
        <w:t>. However the channels 87 and 88 are already designated as single-frequency analogue channels for port operation and ship movement since RR E</w:t>
      </w:r>
      <w:r w:rsidR="00CE3731" w:rsidRPr="009A071C">
        <w:rPr>
          <w:iCs/>
        </w:rPr>
        <w:t>dition</w:t>
      </w:r>
      <w:r w:rsidR="002F46C4" w:rsidRPr="009A071C">
        <w:rPr>
          <w:iCs/>
        </w:rPr>
        <w:t xml:space="preserve"> 1998.</w:t>
      </w:r>
      <w:r w:rsidRPr="009A071C">
        <w:rPr>
          <w:iCs/>
        </w:rPr>
        <w:t xml:space="preserve"> In CEPT countries it </w:t>
      </w:r>
      <w:r w:rsidR="00185E44" w:rsidRPr="009A071C">
        <w:rPr>
          <w:iCs/>
        </w:rPr>
        <w:t xml:space="preserve">shall no longer be </w:t>
      </w:r>
      <w:r w:rsidRPr="009A071C">
        <w:rPr>
          <w:iCs/>
        </w:rPr>
        <w:t xml:space="preserve">permitted to use the channels 27 and 28 </w:t>
      </w:r>
      <w:r w:rsidR="00CE3731" w:rsidRPr="009A071C">
        <w:rPr>
          <w:iCs/>
        </w:rPr>
        <w:t xml:space="preserve">for </w:t>
      </w:r>
      <w:r w:rsidRPr="009A071C">
        <w:rPr>
          <w:iCs/>
        </w:rPr>
        <w:t>analogue voice telephony in duplex mode</w:t>
      </w:r>
      <w:r w:rsidR="00185E44" w:rsidRPr="009A071C">
        <w:rPr>
          <w:iCs/>
        </w:rPr>
        <w:t xml:space="preserve">. </w:t>
      </w:r>
    </w:p>
    <w:p w14:paraId="29E4DDFE" w14:textId="77777777" w:rsidR="002F46C4" w:rsidRPr="009A071C" w:rsidRDefault="002F46C4" w:rsidP="002F46C4">
      <w:pPr>
        <w:pStyle w:val="ECCParBulleted"/>
        <w:numPr>
          <w:ilvl w:val="0"/>
          <w:numId w:val="0"/>
        </w:numPr>
        <w:ind w:left="360"/>
        <w:rPr>
          <w:iCs/>
        </w:rPr>
      </w:pPr>
    </w:p>
    <w:p w14:paraId="29E4DDFF" w14:textId="77777777" w:rsidR="002F46C4" w:rsidRPr="009A071C" w:rsidRDefault="002F46C4" w:rsidP="007D7331">
      <w:pPr>
        <w:rPr>
          <w:lang w:val="en-GB"/>
        </w:rPr>
      </w:pPr>
    </w:p>
    <w:p w14:paraId="29E4DE00" w14:textId="77777777" w:rsidR="002F46C4" w:rsidRPr="009A071C" w:rsidRDefault="002F46C4" w:rsidP="007D7331">
      <w:pPr>
        <w:rPr>
          <w:lang w:val="en-GB"/>
        </w:rPr>
      </w:pPr>
    </w:p>
    <w:p w14:paraId="29E4DE01" w14:textId="77777777" w:rsidR="002F46C4" w:rsidRPr="009A071C" w:rsidRDefault="002F46C4" w:rsidP="007D7331">
      <w:pPr>
        <w:rPr>
          <w:lang w:val="en-GB"/>
        </w:rPr>
      </w:pPr>
    </w:p>
    <w:p w14:paraId="29E4DE02" w14:textId="77777777" w:rsidR="002F46C4" w:rsidRPr="009A071C" w:rsidRDefault="002F46C4" w:rsidP="007D7331">
      <w:pPr>
        <w:rPr>
          <w:lang w:val="en-GB"/>
        </w:rPr>
      </w:pPr>
    </w:p>
    <w:p w14:paraId="29E4DE03" w14:textId="77777777" w:rsidR="006C03D0" w:rsidRPr="0092220A" w:rsidRDefault="006E55C5" w:rsidP="006C03D0">
      <w:pPr>
        <w:pStyle w:val="ECCAnnex-heading1"/>
        <w:rPr>
          <w:sz w:val="22"/>
        </w:rPr>
      </w:pPr>
      <w:r w:rsidRPr="0092220A">
        <w:rPr>
          <w:sz w:val="22"/>
        </w:rPr>
        <w:lastRenderedPageBreak/>
        <w:t xml:space="preserve"> time schedule of </w:t>
      </w:r>
      <w:r w:rsidR="00C803E9" w:rsidRPr="0092220A">
        <w:rPr>
          <w:sz w:val="22"/>
        </w:rPr>
        <w:t xml:space="preserve">the </w:t>
      </w:r>
      <w:r w:rsidRPr="0092220A">
        <w:rPr>
          <w:sz w:val="22"/>
        </w:rPr>
        <w:t>implementation period</w:t>
      </w:r>
    </w:p>
    <w:p w14:paraId="29E4DE04" w14:textId="77777777" w:rsidR="00EE4940" w:rsidRPr="0092220A" w:rsidRDefault="00175FEE" w:rsidP="00C56C66">
      <w:pPr>
        <w:pStyle w:val="ECCParagraph"/>
      </w:pPr>
      <w:r w:rsidRPr="0092220A">
        <w:t>The following time schedule for the implementation period is based on the footnotes of RR E</w:t>
      </w:r>
      <w:r w:rsidR="00CE3731" w:rsidRPr="0092220A">
        <w:t>dition</w:t>
      </w:r>
      <w:r w:rsidRPr="0092220A">
        <w:t xml:space="preserve"> 2016 Appendix 18 </w:t>
      </w:r>
      <w:r w:rsidR="00CE3731" w:rsidRPr="004A639E">
        <w:fldChar w:fldCharType="begin"/>
      </w:r>
      <w:r w:rsidR="00CE3731" w:rsidRPr="0092220A">
        <w:instrText xml:space="preserve"> REF _Ref516490889 \r \h </w:instrText>
      </w:r>
      <w:r w:rsidR="00CE3731" w:rsidRPr="004A639E">
        <w:fldChar w:fldCharType="separate"/>
      </w:r>
      <w:r w:rsidR="00292AC5" w:rsidRPr="0092220A">
        <w:t>[1]</w:t>
      </w:r>
      <w:r w:rsidR="00CE3731" w:rsidRPr="004A639E">
        <w:fldChar w:fldCharType="end"/>
      </w:r>
      <w:r w:rsidR="00FB1F90" w:rsidRPr="0092220A">
        <w:t>.</w:t>
      </w:r>
      <w:r w:rsidR="00CE3731" w:rsidRPr="0092220A">
        <w:t xml:space="preserve"> </w:t>
      </w:r>
      <w:r w:rsidR="002821E9" w:rsidRPr="0092220A">
        <w:t>The Maritime Safety Committee (MSC) of IMO decided that “</w:t>
      </w:r>
      <w:r w:rsidR="002821E9" w:rsidRPr="0092220A">
        <w:rPr>
          <w:i/>
        </w:rPr>
        <w:t xml:space="preserve">VHF equipment, without prejudice to the arrangements contained in appendix 18 of the RR, should be updated so that following the first radio survey after 1 January 2024, at the </w:t>
      </w:r>
      <w:proofErr w:type="gramStart"/>
      <w:r w:rsidR="002821E9" w:rsidRPr="0092220A">
        <w:rPr>
          <w:i/>
        </w:rPr>
        <w:t>earliest,</w:t>
      </w:r>
      <w:proofErr w:type="gramEnd"/>
      <w:r w:rsidR="002821E9" w:rsidRPr="0092220A">
        <w:rPr>
          <w:i/>
        </w:rPr>
        <w:t xml:space="preserve"> it meets the arrangements which will be in force by then</w:t>
      </w:r>
      <w:r w:rsidR="002821E9" w:rsidRPr="0092220A">
        <w:t>”</w:t>
      </w:r>
      <w:r w:rsidR="00FB1F90" w:rsidRPr="0092220A">
        <w:t xml:space="preserve">. </w:t>
      </w:r>
      <w:r w:rsidRPr="0092220A">
        <w:t xml:space="preserve">RR Appendix 18 requests amendments to 1 January 2017 and 1 January 2019. </w:t>
      </w:r>
      <w:r w:rsidR="00E97083" w:rsidRPr="0092220A">
        <w:t xml:space="preserve">CEPT countries </w:t>
      </w:r>
      <w:r w:rsidR="002821E9" w:rsidRPr="0092220A">
        <w:t xml:space="preserve">consequently </w:t>
      </w:r>
      <w:r w:rsidR="00E97083" w:rsidRPr="0092220A">
        <w:t xml:space="preserve">agreed </w:t>
      </w:r>
      <w:r w:rsidR="002821E9" w:rsidRPr="0092220A">
        <w:t xml:space="preserve">that </w:t>
      </w:r>
      <w:r w:rsidR="00EE4940" w:rsidRPr="0092220A">
        <w:t xml:space="preserve">the implementation </w:t>
      </w:r>
      <w:r w:rsidR="00CE3731" w:rsidRPr="0092220A">
        <w:t xml:space="preserve">for </w:t>
      </w:r>
      <w:r w:rsidR="00EE4940" w:rsidRPr="0092220A">
        <w:t xml:space="preserve">CEPT administrations needs to be </w:t>
      </w:r>
      <w:r w:rsidR="002821E9" w:rsidRPr="0092220A">
        <w:t xml:space="preserve">completed </w:t>
      </w:r>
      <w:r w:rsidR="00CE3731" w:rsidRPr="0092220A">
        <w:t>by</w:t>
      </w:r>
      <w:r w:rsidR="00EE4940" w:rsidRPr="0092220A">
        <w:t xml:space="preserve"> 31 December 2023</w:t>
      </w:r>
      <w:r w:rsidR="00D54D50" w:rsidRPr="0092220A">
        <w:t xml:space="preserve"> </w:t>
      </w:r>
      <w:r w:rsidR="00EE4940" w:rsidRPr="0092220A">
        <w:t>at latest.</w:t>
      </w:r>
    </w:p>
    <w:p w14:paraId="29E4DE05" w14:textId="77777777" w:rsidR="00D54D50" w:rsidRPr="0092220A" w:rsidRDefault="00B80AE6" w:rsidP="00D54D50">
      <w:pPr>
        <w:pStyle w:val="ECCParagraph"/>
      </w:pPr>
      <w:r w:rsidRPr="0092220A">
        <w:t>However, this does</w:t>
      </w:r>
      <w:r w:rsidR="00D46041" w:rsidRPr="0092220A">
        <w:t xml:space="preserve"> not</w:t>
      </w:r>
      <w:r w:rsidRPr="0092220A">
        <w:t xml:space="preserve"> impl</w:t>
      </w:r>
      <w:r w:rsidR="002821E9" w:rsidRPr="0092220A">
        <w:t>y</w:t>
      </w:r>
      <w:r w:rsidR="00FB1F90" w:rsidRPr="0092220A">
        <w:t xml:space="preserve"> </w:t>
      </w:r>
      <w:r w:rsidRPr="0092220A">
        <w:t>that vessels can</w:t>
      </w:r>
      <w:r w:rsidR="00120EBD" w:rsidRPr="0092220A">
        <w:t>not</w:t>
      </w:r>
      <w:r w:rsidRPr="0092220A">
        <w:t xml:space="preserve"> be equipped with </w:t>
      </w:r>
      <w:r w:rsidR="002821E9" w:rsidRPr="0092220A">
        <w:t>VDES devices making use of</w:t>
      </w:r>
      <w:r w:rsidR="00FB1F90" w:rsidRPr="0092220A">
        <w:t xml:space="preserve"> </w:t>
      </w:r>
      <w:r w:rsidR="002821E9" w:rsidRPr="0092220A">
        <w:t xml:space="preserve">the relevant </w:t>
      </w:r>
      <w:proofErr w:type="gramStart"/>
      <w:r w:rsidRPr="0092220A">
        <w:t>channels,</w:t>
      </w:r>
      <w:proofErr w:type="gramEnd"/>
      <w:r w:rsidRPr="0092220A">
        <w:t xml:space="preserve"> well befo</w:t>
      </w:r>
      <w:r w:rsidR="00E97083" w:rsidRPr="0092220A">
        <w:t xml:space="preserve">re </w:t>
      </w:r>
      <w:r w:rsidR="00D46041" w:rsidRPr="0092220A">
        <w:t xml:space="preserve">1 January </w:t>
      </w:r>
      <w:r w:rsidR="00E97083" w:rsidRPr="0092220A">
        <w:t>20</w:t>
      </w:r>
      <w:r w:rsidRPr="0092220A">
        <w:t>24</w:t>
      </w:r>
      <w:r w:rsidR="00D46041" w:rsidRPr="0092220A">
        <w:t>.</w:t>
      </w:r>
      <w:r w:rsidR="001941FF" w:rsidRPr="0092220A">
        <w:t>T</w:t>
      </w:r>
      <w:r w:rsidR="008F2B86" w:rsidRPr="0092220A">
        <w:t xml:space="preserve">he following </w:t>
      </w:r>
      <w:r w:rsidR="001941FF" w:rsidRPr="0092220A">
        <w:t>approach shall be</w:t>
      </w:r>
      <w:r w:rsidR="008F2B86" w:rsidRPr="0092220A">
        <w:t xml:space="preserve"> </w:t>
      </w:r>
      <w:r w:rsidR="00587E9E" w:rsidRPr="0092220A">
        <w:t>adopted</w:t>
      </w:r>
      <w:r w:rsidR="00D54D50" w:rsidRPr="0092220A">
        <w:t>:</w:t>
      </w:r>
    </w:p>
    <w:p w14:paraId="29E4DE06" w14:textId="23F7E309" w:rsidR="00587E9E" w:rsidRPr="0092220A" w:rsidRDefault="00D54D50" w:rsidP="00F82E4F">
      <w:pPr>
        <w:pStyle w:val="ECCNumbered-LetteredList"/>
      </w:pPr>
      <w:proofErr w:type="gramStart"/>
      <w:r w:rsidRPr="0092220A">
        <w:t>a</w:t>
      </w:r>
      <w:proofErr w:type="gramEnd"/>
      <w:r w:rsidRPr="0092220A">
        <w:t xml:space="preserve"> “cleaning” period, ensures that after a certain date analogue voice telephony ceases on the channels 24, 84, 25, 85, 26 and 86 and the channels 27 and 28. </w:t>
      </w:r>
      <w:r w:rsidR="004940E7" w:rsidRPr="0092220A">
        <w:t xml:space="preserve">This means the implementation of the decisions in Annex 1 on footnotes w); xx); z) and </w:t>
      </w:r>
      <w:proofErr w:type="spellStart"/>
      <w:r w:rsidR="004940E7" w:rsidRPr="0092220A">
        <w:t>zz</w:t>
      </w:r>
      <w:proofErr w:type="spellEnd"/>
      <w:r w:rsidR="004940E7" w:rsidRPr="0092220A">
        <w:t>)</w:t>
      </w:r>
      <w:r w:rsidR="00FB1F90" w:rsidRPr="0092220A">
        <w:t>.</w:t>
      </w:r>
      <w:r w:rsidR="004940E7" w:rsidRPr="0092220A">
        <w:t xml:space="preserve"> </w:t>
      </w:r>
      <w:r w:rsidRPr="0092220A">
        <w:t xml:space="preserve">This period starts at the adoption of this Decision and continues until </w:t>
      </w:r>
      <w:r w:rsidR="00D46041" w:rsidRPr="0092220A">
        <w:t>1 January 2023</w:t>
      </w:r>
      <w:r w:rsidR="00D177A0" w:rsidRPr="0092220A">
        <w:t>;</w:t>
      </w:r>
      <w:r w:rsidRPr="0092220A">
        <w:t xml:space="preserve"> </w:t>
      </w:r>
      <w:r w:rsidR="00587E9E" w:rsidRPr="0092220A">
        <w:t>during the cleaning period use of the channels for digital data exchange can be accepted subject to agreement with affected administrations</w:t>
      </w:r>
      <w:r w:rsidR="00BF505B">
        <w:t>;</w:t>
      </w:r>
      <w:r w:rsidR="00587E9E" w:rsidRPr="0092220A">
        <w:t xml:space="preserve"> </w:t>
      </w:r>
    </w:p>
    <w:p w14:paraId="29E4DE07" w14:textId="77777777" w:rsidR="00D54D50" w:rsidRPr="0092220A" w:rsidRDefault="00587E9E" w:rsidP="00F82E4F">
      <w:pPr>
        <w:pStyle w:val="ECCNumbered-LetteredList"/>
      </w:pPr>
      <w:proofErr w:type="gramStart"/>
      <w:r w:rsidRPr="0092220A">
        <w:t>after</w:t>
      </w:r>
      <w:proofErr w:type="gramEnd"/>
      <w:r w:rsidRPr="0092220A">
        <w:t xml:space="preserve"> the cleaning period the usage of the relevant channels for the VDES could be used </w:t>
      </w:r>
      <w:r w:rsidR="00D464AD" w:rsidRPr="0092220A">
        <w:t xml:space="preserve">solely </w:t>
      </w:r>
      <w:r w:rsidRPr="0092220A">
        <w:t>for this purpose</w:t>
      </w:r>
      <w:r w:rsidR="00D464AD" w:rsidRPr="0092220A">
        <w:t xml:space="preserve"> in the maritime mobile service.</w:t>
      </w:r>
    </w:p>
    <w:p w14:paraId="29E4DE08" w14:textId="77777777" w:rsidR="00BF505B" w:rsidRDefault="00BF505B" w:rsidP="00C56C66">
      <w:pPr>
        <w:pStyle w:val="ECCParagraph"/>
      </w:pPr>
    </w:p>
    <w:p w14:paraId="29E4DE09" w14:textId="77777777" w:rsidR="00EE4940" w:rsidRPr="0092220A" w:rsidRDefault="00F07C86" w:rsidP="00C56C66">
      <w:pPr>
        <w:pStyle w:val="ECCParagraph"/>
      </w:pPr>
      <w:r w:rsidRPr="0092220A">
        <w:t xml:space="preserve">Different frequencies (VHF channels) for different purpose are concerned. The necessary changes for coast stations require coordination between </w:t>
      </w:r>
      <w:r w:rsidR="00D4079D" w:rsidRPr="0092220A">
        <w:t>administrations. For different purpose of frequency usage</w:t>
      </w:r>
      <w:r w:rsidR="00BF505B">
        <w:t>,</w:t>
      </w:r>
      <w:r w:rsidR="00D4079D" w:rsidRPr="0092220A">
        <w:t xml:space="preserve"> different matters of urgency could be identified.</w:t>
      </w:r>
    </w:p>
    <w:p w14:paraId="29E4DE0A" w14:textId="77777777" w:rsidR="00F80FF0" w:rsidRPr="0092220A" w:rsidRDefault="00F80FF0" w:rsidP="00C56C66">
      <w:pPr>
        <w:pStyle w:val="ECCParagraph"/>
      </w:pPr>
    </w:p>
    <w:p w14:paraId="29E4DE0B" w14:textId="77777777" w:rsidR="00DE022D" w:rsidRPr="0092220A" w:rsidRDefault="00DE022D" w:rsidP="00DE022D">
      <w:pPr>
        <w:pStyle w:val="ECCAnnex-heading1"/>
      </w:pPr>
      <w:bookmarkStart w:id="2" w:name="_Toc280099660"/>
      <w:r w:rsidRPr="0092220A">
        <w:lastRenderedPageBreak/>
        <w:t>Criteria for a successful outcome of the decision</w:t>
      </w:r>
    </w:p>
    <w:p w14:paraId="29E4DE0C" w14:textId="77777777" w:rsidR="00DE022D" w:rsidRPr="0092220A" w:rsidRDefault="00DE022D" w:rsidP="00DE022D">
      <w:pPr>
        <w:pStyle w:val="ECCParagraph"/>
      </w:pPr>
      <w:r w:rsidRPr="0092220A">
        <w:t>Users should continue to be able to access the operational analogue voice communication services for ship movement and port operations during and after the transition.</w:t>
      </w:r>
    </w:p>
    <w:p w14:paraId="29E4DE0D" w14:textId="77777777" w:rsidR="00DE022D" w:rsidRPr="0092220A" w:rsidRDefault="00DE022D" w:rsidP="00DE022D">
      <w:pPr>
        <w:pStyle w:val="ECCParagraph"/>
      </w:pPr>
      <w:r w:rsidRPr="0092220A">
        <w:t xml:space="preserve">The impact of disruption of operational communications, due to the implementation of this Decision, is minimised during and after transition. </w:t>
      </w:r>
    </w:p>
    <w:p w14:paraId="29E4DE0E" w14:textId="77777777" w:rsidR="00DE022D" w:rsidRPr="0092220A" w:rsidRDefault="00DE022D" w:rsidP="00DE022D">
      <w:pPr>
        <w:pStyle w:val="ECCParagraph"/>
      </w:pPr>
      <w:r w:rsidRPr="0092220A">
        <w:t>Any possible increased congestion, due to the implementation of this Decision, should not negatively impact current ship services and port operations</w:t>
      </w:r>
      <w:r w:rsidR="00120EBD" w:rsidRPr="0092220A">
        <w:t>.</w:t>
      </w:r>
    </w:p>
    <w:p w14:paraId="29E4DE0F" w14:textId="77777777" w:rsidR="00DE022D" w:rsidRPr="0092220A" w:rsidRDefault="00DE022D" w:rsidP="00DE022D">
      <w:pPr>
        <w:pStyle w:val="ECCParagraph"/>
      </w:pPr>
      <w:r w:rsidRPr="0092220A">
        <w:t>A means for assessing congestion and impact on a national level may be needed.</w:t>
      </w:r>
    </w:p>
    <w:p w14:paraId="29E4DE10" w14:textId="77777777" w:rsidR="00DE022D" w:rsidRPr="0092220A" w:rsidRDefault="00DE022D" w:rsidP="00DE022D">
      <w:pPr>
        <w:pStyle w:val="ECCParagraph"/>
      </w:pPr>
      <w:r w:rsidRPr="0092220A">
        <w:t xml:space="preserve">Seafarers are informed in sufficient time of the changes to the radio service provisions so that they can continue to use it. </w:t>
      </w:r>
    </w:p>
    <w:p w14:paraId="29E4DE11" w14:textId="77777777" w:rsidR="00DE022D" w:rsidRPr="0092220A" w:rsidRDefault="00DE022D" w:rsidP="00DE022D">
      <w:pPr>
        <w:pStyle w:val="ECCParagraph"/>
      </w:pPr>
      <w:r w:rsidRPr="0092220A">
        <w:t>Matters to be taken into consideration:</w:t>
      </w:r>
    </w:p>
    <w:p w14:paraId="29E4DE12" w14:textId="77777777" w:rsidR="00DE022D" w:rsidRPr="00FB302F" w:rsidRDefault="00DE022D" w:rsidP="004A67B7">
      <w:pPr>
        <w:pStyle w:val="ECCParBulleted"/>
      </w:pPr>
      <w:r w:rsidRPr="00FB302F">
        <w:t>Cost to industry associated with changes to channel assignment;</w:t>
      </w:r>
    </w:p>
    <w:p w14:paraId="29E4DE13" w14:textId="77777777" w:rsidR="00DE022D" w:rsidRPr="00FB302F" w:rsidRDefault="00DE022D" w:rsidP="004A67B7">
      <w:pPr>
        <w:pStyle w:val="ECCParBulleted"/>
      </w:pPr>
      <w:r w:rsidRPr="00FB302F">
        <w:t>Cost to administrations associated with re-planning channel assignments;</w:t>
      </w:r>
    </w:p>
    <w:p w14:paraId="29E4DE14" w14:textId="77777777" w:rsidR="00DE022D" w:rsidRPr="00FB302F" w:rsidRDefault="00DE022D" w:rsidP="004A67B7">
      <w:pPr>
        <w:pStyle w:val="ECCParBulleted"/>
      </w:pPr>
      <w:r w:rsidRPr="00FB302F">
        <w:t>Risks associated with changes;</w:t>
      </w:r>
    </w:p>
    <w:p w14:paraId="29E4DE15" w14:textId="77777777" w:rsidR="00DE022D" w:rsidRPr="00FB302F" w:rsidRDefault="00DE022D" w:rsidP="004A67B7">
      <w:pPr>
        <w:pStyle w:val="ECCParBulleted"/>
      </w:pPr>
      <w:r w:rsidRPr="00FB302F">
        <w:t>Availability of resources to implement and test changes;</w:t>
      </w:r>
    </w:p>
    <w:p w14:paraId="29E4DE16" w14:textId="77777777" w:rsidR="00DE022D" w:rsidRPr="00FB302F" w:rsidRDefault="00DE022D" w:rsidP="004A67B7">
      <w:pPr>
        <w:pStyle w:val="ECCParBulleted"/>
      </w:pPr>
      <w:r w:rsidRPr="00FB302F">
        <w:t xml:space="preserve">Potential for the burdens of change to fall on a small number of </w:t>
      </w:r>
      <w:r w:rsidR="001F3864" w:rsidRPr="00FB302F">
        <w:t>a</w:t>
      </w:r>
      <w:r w:rsidRPr="00FB302F">
        <w:t>dministrations or commercial organisations.</w:t>
      </w:r>
    </w:p>
    <w:p w14:paraId="29E4DE17" w14:textId="77777777" w:rsidR="00DE022D" w:rsidRPr="0092220A" w:rsidRDefault="00DE022D" w:rsidP="00DE022D">
      <w:pPr>
        <w:pStyle w:val="ECCParagraph"/>
        <w:ind w:left="360"/>
      </w:pPr>
    </w:p>
    <w:p w14:paraId="29E4DE18" w14:textId="77777777" w:rsidR="006C03D0" w:rsidRPr="0092220A" w:rsidRDefault="005F7AD5" w:rsidP="006C03D0">
      <w:pPr>
        <w:pStyle w:val="ECCAnnex-heading1"/>
      </w:pPr>
      <w:r w:rsidRPr="0092220A">
        <w:lastRenderedPageBreak/>
        <w:t>List of reference</w:t>
      </w:r>
      <w:bookmarkEnd w:id="2"/>
      <w:r w:rsidR="000321F0">
        <w:t>s</w:t>
      </w:r>
    </w:p>
    <w:p w14:paraId="29E4DE19" w14:textId="77777777" w:rsidR="006C03D0" w:rsidRPr="0092220A" w:rsidRDefault="005F7AD5" w:rsidP="006C03D0">
      <w:pPr>
        <w:pStyle w:val="ECCParagraph"/>
      </w:pPr>
      <w:r w:rsidRPr="0092220A">
        <w:t>This annex contains the list of relevant reference documents.</w:t>
      </w:r>
    </w:p>
    <w:p w14:paraId="29E4DE1A" w14:textId="77777777" w:rsidR="006C03D0" w:rsidRPr="009A071C" w:rsidRDefault="00455354" w:rsidP="006C03D0">
      <w:pPr>
        <w:pStyle w:val="reference"/>
        <w:numPr>
          <w:ilvl w:val="0"/>
          <w:numId w:val="11"/>
        </w:numPr>
        <w:rPr>
          <w:lang w:val="en-GB"/>
        </w:rPr>
      </w:pPr>
      <w:bookmarkStart w:id="3" w:name="_Ref516490889"/>
      <w:r w:rsidRPr="009A071C">
        <w:rPr>
          <w:lang w:val="en-GB"/>
        </w:rPr>
        <w:t xml:space="preserve">ITU Radio Regulations </w:t>
      </w:r>
      <w:r w:rsidR="007474B2" w:rsidRPr="009A071C">
        <w:rPr>
          <w:lang w:val="en-GB"/>
        </w:rPr>
        <w:t xml:space="preserve">Edition </w:t>
      </w:r>
      <w:r w:rsidRPr="009A071C">
        <w:rPr>
          <w:lang w:val="en-GB"/>
        </w:rPr>
        <w:t>2016 Appendix 18</w:t>
      </w:r>
      <w:r w:rsidR="007474B2" w:rsidRPr="009A071C">
        <w:rPr>
          <w:lang w:val="en-GB"/>
        </w:rPr>
        <w:t xml:space="preserve">: </w:t>
      </w:r>
      <w:r w:rsidR="0092220A" w:rsidRPr="009A071C">
        <w:rPr>
          <w:lang w:val="en-GB"/>
        </w:rPr>
        <w:t>“</w:t>
      </w:r>
      <w:r w:rsidR="007474B2" w:rsidRPr="009A071C">
        <w:rPr>
          <w:lang w:val="en-GB"/>
        </w:rPr>
        <w:t>Table of transmitting frequencies in the VHF maritime mobile band</w:t>
      </w:r>
      <w:bookmarkEnd w:id="3"/>
      <w:r w:rsidR="0092220A" w:rsidRPr="009A071C">
        <w:rPr>
          <w:lang w:val="en-GB"/>
        </w:rPr>
        <w:t>”</w:t>
      </w:r>
    </w:p>
    <w:p w14:paraId="29E4DE1B" w14:textId="77CD9520" w:rsidR="00FF3051" w:rsidRPr="009A071C" w:rsidRDefault="009A0CAF" w:rsidP="007474B2">
      <w:pPr>
        <w:pStyle w:val="reference"/>
        <w:numPr>
          <w:ilvl w:val="0"/>
          <w:numId w:val="11"/>
        </w:numPr>
        <w:rPr>
          <w:lang w:val="en-GB"/>
        </w:rPr>
      </w:pPr>
      <w:bookmarkStart w:id="4" w:name="_Ref516491093"/>
      <w:r w:rsidRPr="009A071C">
        <w:rPr>
          <w:lang w:val="en-GB"/>
        </w:rPr>
        <w:t xml:space="preserve">IMO circular </w:t>
      </w:r>
      <w:r w:rsidR="00FF3051" w:rsidRPr="009A071C">
        <w:rPr>
          <w:lang w:val="en-GB"/>
        </w:rPr>
        <w:t>MSC.1-Circ.1460-Rev.2</w:t>
      </w:r>
      <w:r w:rsidR="007474B2" w:rsidRPr="009A071C">
        <w:rPr>
          <w:lang w:val="en-GB"/>
        </w:rPr>
        <w:t>:</w:t>
      </w:r>
      <w:r w:rsidR="0092220A" w:rsidRPr="009A071C">
        <w:rPr>
          <w:lang w:val="en-GB"/>
        </w:rPr>
        <w:t xml:space="preserve"> “</w:t>
      </w:r>
      <w:r w:rsidR="007474B2" w:rsidRPr="009A071C">
        <w:rPr>
          <w:lang w:val="en-GB"/>
        </w:rPr>
        <w:t>Guidance on the validity of radiocommunication equipment installed and used on ships</w:t>
      </w:r>
      <w:bookmarkEnd w:id="4"/>
      <w:r w:rsidR="0092220A" w:rsidRPr="009A071C">
        <w:rPr>
          <w:lang w:val="en-GB"/>
        </w:rPr>
        <w:t>”</w:t>
      </w:r>
    </w:p>
    <w:p w14:paraId="29E4DE1C" w14:textId="77777777" w:rsidR="00455354" w:rsidRPr="009A071C" w:rsidRDefault="00455354" w:rsidP="007474B2">
      <w:pPr>
        <w:pStyle w:val="reference"/>
        <w:numPr>
          <w:ilvl w:val="0"/>
          <w:numId w:val="11"/>
        </w:numPr>
        <w:rPr>
          <w:lang w:val="en-GB"/>
        </w:rPr>
      </w:pPr>
      <w:bookmarkStart w:id="5" w:name="_Ref516491054"/>
      <w:r w:rsidRPr="009A071C">
        <w:rPr>
          <w:lang w:val="en-GB"/>
        </w:rPr>
        <w:t>Recommendation ITU-R M.2092</w:t>
      </w:r>
      <w:r w:rsidR="007474B2" w:rsidRPr="009A071C">
        <w:rPr>
          <w:lang w:val="en-GB"/>
        </w:rPr>
        <w:t xml:space="preserve">: </w:t>
      </w:r>
      <w:r w:rsidR="0092220A" w:rsidRPr="009A071C">
        <w:rPr>
          <w:lang w:val="en-GB"/>
        </w:rPr>
        <w:t>“</w:t>
      </w:r>
      <w:r w:rsidR="007474B2" w:rsidRPr="009A071C">
        <w:rPr>
          <w:lang w:val="en-GB"/>
        </w:rPr>
        <w:t>Technical characteristics for a VHF data exchange system in the VHF maritime mobile band</w:t>
      </w:r>
      <w:bookmarkEnd w:id="5"/>
      <w:r w:rsidR="0092220A" w:rsidRPr="009A071C">
        <w:rPr>
          <w:lang w:val="en-GB"/>
        </w:rPr>
        <w:t>”</w:t>
      </w:r>
    </w:p>
    <w:p w14:paraId="29E4DE1D" w14:textId="77777777" w:rsidR="00455354" w:rsidRPr="009A071C" w:rsidRDefault="00455354" w:rsidP="007474B2">
      <w:pPr>
        <w:pStyle w:val="reference"/>
        <w:rPr>
          <w:lang w:val="en-GB"/>
        </w:rPr>
      </w:pPr>
      <w:bookmarkStart w:id="6" w:name="_Ref516491062"/>
      <w:r w:rsidRPr="009A071C">
        <w:rPr>
          <w:lang w:val="en-GB"/>
        </w:rPr>
        <w:t>Recommendation ITU-R M.1842</w:t>
      </w:r>
      <w:r w:rsidR="007474B2" w:rsidRPr="009A071C">
        <w:rPr>
          <w:lang w:val="en-GB"/>
        </w:rPr>
        <w:t xml:space="preserve">: </w:t>
      </w:r>
      <w:r w:rsidR="0092220A" w:rsidRPr="009A071C">
        <w:rPr>
          <w:lang w:val="en-GB"/>
        </w:rPr>
        <w:t>“</w:t>
      </w:r>
      <w:r w:rsidR="007474B2" w:rsidRPr="009A071C">
        <w:rPr>
          <w:lang w:val="en-GB"/>
        </w:rPr>
        <w:t>Characteristics of VHF radio systems and equipment for the exchange of data and electronic mail in the maritime mobile service RR Appendix 18 channels</w:t>
      </w:r>
      <w:bookmarkEnd w:id="6"/>
      <w:r w:rsidR="0092220A" w:rsidRPr="009A071C">
        <w:rPr>
          <w:lang w:val="en-GB"/>
        </w:rPr>
        <w:t>”</w:t>
      </w:r>
    </w:p>
    <w:p w14:paraId="29E4DE1E" w14:textId="77777777" w:rsidR="00455354" w:rsidRPr="009A071C" w:rsidRDefault="00455354" w:rsidP="007474B2">
      <w:pPr>
        <w:pStyle w:val="reference"/>
        <w:rPr>
          <w:lang w:val="en-GB"/>
        </w:rPr>
      </w:pPr>
      <w:bookmarkStart w:id="7" w:name="_Ref516554341"/>
      <w:bookmarkStart w:id="8" w:name="_Ref531174452"/>
      <w:r w:rsidRPr="009A071C">
        <w:rPr>
          <w:lang w:val="en-GB"/>
        </w:rPr>
        <w:t>Recommendation ITU-R M.1371</w:t>
      </w:r>
      <w:r w:rsidR="007474B2" w:rsidRPr="009A071C">
        <w:rPr>
          <w:lang w:val="en-GB"/>
        </w:rPr>
        <w:t xml:space="preserve">: </w:t>
      </w:r>
      <w:r w:rsidR="0092220A" w:rsidRPr="009A071C">
        <w:rPr>
          <w:lang w:val="en-GB"/>
        </w:rPr>
        <w:t>“</w:t>
      </w:r>
      <w:r w:rsidR="007474B2" w:rsidRPr="009A071C">
        <w:rPr>
          <w:lang w:val="en-GB"/>
        </w:rPr>
        <w:t>Technical characteristics for an automatic identification system using time-division multiple access in the VHF maritime mobile band</w:t>
      </w:r>
      <w:bookmarkEnd w:id="7"/>
      <w:r w:rsidR="0092220A" w:rsidRPr="009A071C">
        <w:rPr>
          <w:lang w:val="en-GB"/>
        </w:rPr>
        <w:t>”</w:t>
      </w:r>
      <w:bookmarkEnd w:id="8"/>
    </w:p>
    <w:p w14:paraId="29E4DE1F" w14:textId="77777777" w:rsidR="006C03D0" w:rsidRPr="009A071C" w:rsidRDefault="00FF3051" w:rsidP="007474B2">
      <w:pPr>
        <w:pStyle w:val="reference"/>
        <w:rPr>
          <w:lang w:val="en-GB"/>
        </w:rPr>
      </w:pPr>
      <w:bookmarkStart w:id="9" w:name="_Ref516491038"/>
      <w:r w:rsidRPr="009A071C">
        <w:rPr>
          <w:lang w:val="en-GB"/>
        </w:rPr>
        <w:t>Recommendation ITU-R M.1084</w:t>
      </w:r>
      <w:r w:rsidR="007474B2" w:rsidRPr="009A071C">
        <w:rPr>
          <w:lang w:val="en-GB"/>
        </w:rPr>
        <w:t xml:space="preserve">: </w:t>
      </w:r>
      <w:r w:rsidR="0092220A" w:rsidRPr="009A071C">
        <w:rPr>
          <w:lang w:val="en-GB"/>
        </w:rPr>
        <w:t>“</w:t>
      </w:r>
      <w:r w:rsidR="007474B2" w:rsidRPr="009A071C">
        <w:rPr>
          <w:lang w:val="en-GB"/>
        </w:rPr>
        <w:t>Interim solutions for improved efficiency in the use of the band 156-174 MHz by stations in the maritime mobile service</w:t>
      </w:r>
      <w:bookmarkEnd w:id="9"/>
      <w:r w:rsidR="0092220A" w:rsidRPr="009A071C">
        <w:rPr>
          <w:lang w:val="en-GB"/>
        </w:rPr>
        <w:t>”</w:t>
      </w:r>
    </w:p>
    <w:p w14:paraId="29E4DE20" w14:textId="77777777" w:rsidR="007474B2" w:rsidRPr="009A071C" w:rsidRDefault="007474B2" w:rsidP="007474B2">
      <w:pPr>
        <w:pStyle w:val="reference"/>
        <w:rPr>
          <w:lang w:val="en-GB"/>
        </w:rPr>
      </w:pPr>
      <w:bookmarkStart w:id="10" w:name="_Ref516491667"/>
      <w:r w:rsidRPr="009A071C">
        <w:rPr>
          <w:lang w:val="en-GB"/>
        </w:rPr>
        <w:t>Directive 2014/53/EU of the European Parliament and of the Council of 16 April 2014 on the harmonisation of the laws of the Member States relating to the making available on the market of radio equipment and repealing Directive 1999/5/EC</w:t>
      </w:r>
      <w:bookmarkEnd w:id="10"/>
    </w:p>
    <w:p w14:paraId="29E4DE21" w14:textId="77777777" w:rsidR="006C03D0" w:rsidRPr="009A071C" w:rsidRDefault="00FB1F90" w:rsidP="00FB1F90">
      <w:pPr>
        <w:pStyle w:val="reference"/>
        <w:rPr>
          <w:lang w:val="en-GB"/>
        </w:rPr>
      </w:pPr>
      <w:r w:rsidRPr="009A071C">
        <w:rPr>
          <w:bCs/>
          <w:lang w:val="en-GB"/>
        </w:rPr>
        <w:t xml:space="preserve">Directive 2014/90/EU of the European Parliament and of the Council of 23 July 2014 on marine </w:t>
      </w:r>
      <w:bookmarkStart w:id="11" w:name="_GoBack"/>
      <w:bookmarkEnd w:id="11"/>
      <w:r w:rsidRPr="009A071C">
        <w:rPr>
          <w:bCs/>
          <w:lang w:val="en-GB"/>
        </w:rPr>
        <w:t>equipment and repealing Council Directive 96/98/EC</w:t>
      </w:r>
    </w:p>
    <w:sectPr w:rsidR="006C03D0" w:rsidRPr="009A071C" w:rsidSect="007D7331">
      <w:headerReference w:type="even" r:id="rId10"/>
      <w:headerReference w:type="default" r:id="rId11"/>
      <w:headerReference w:type="first" r:id="rId12"/>
      <w:pgSz w:w="11907" w:h="16840" w:code="9"/>
      <w:pgMar w:top="1440" w:right="1134" w:bottom="130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E4DE28" w14:textId="77777777" w:rsidR="007C4F8B" w:rsidRDefault="007C4F8B" w:rsidP="006C03D0">
      <w:r>
        <w:separator/>
      </w:r>
    </w:p>
  </w:endnote>
  <w:endnote w:type="continuationSeparator" w:id="0">
    <w:p w14:paraId="29E4DE29" w14:textId="77777777" w:rsidR="007C4F8B" w:rsidRDefault="007C4F8B" w:rsidP="006C03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Arial"/>
    <w:charset w:val="59"/>
    <w:family w:val="auto"/>
    <w:pitch w:val="variable"/>
    <w:sig w:usb0="00000201" w:usb1="00000000" w:usb2="00000000" w:usb3="00000000" w:csb0="00000004" w:csb1="00000000"/>
  </w:font>
  <w:font w:name="Lucida Grande">
    <w:altName w:val="Times New Roman"/>
    <w:charset w:val="00"/>
    <w:family w:val="auto"/>
    <w:pitch w:val="variable"/>
    <w:sig w:usb0="00000000" w:usb1="5000A1FF" w:usb2="00000000"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E4DE26" w14:textId="77777777" w:rsidR="007C4F8B" w:rsidRDefault="007C4F8B" w:rsidP="006C03D0">
      <w:r>
        <w:separator/>
      </w:r>
    </w:p>
  </w:footnote>
  <w:footnote w:type="continuationSeparator" w:id="0">
    <w:p w14:paraId="29E4DE27" w14:textId="77777777" w:rsidR="007C4F8B" w:rsidRDefault="007C4F8B" w:rsidP="006C03D0">
      <w:r>
        <w:continuationSeparator/>
      </w:r>
    </w:p>
  </w:footnote>
  <w:footnote w:id="1">
    <w:p w14:paraId="29E4DE34" w14:textId="77777777" w:rsidR="008A6942" w:rsidRPr="00DE022D" w:rsidRDefault="008A6942">
      <w:pPr>
        <w:pStyle w:val="FootnoteText"/>
        <w:rPr>
          <w:lang w:val="nl-NL"/>
        </w:rPr>
      </w:pPr>
      <w:r>
        <w:rPr>
          <w:rStyle w:val="FootnoteReference"/>
        </w:rPr>
        <w:footnoteRef/>
      </w:r>
      <w:r>
        <w:t xml:space="preserve"> </w:t>
      </w:r>
      <w:r>
        <w:rPr>
          <w:lang w:val="nl-NL"/>
        </w:rPr>
        <w:t xml:space="preserve">as defined in the United </w:t>
      </w:r>
      <w:r w:rsidR="0004444A">
        <w:rPr>
          <w:lang w:val="nl-NL"/>
        </w:rPr>
        <w:t>N</w:t>
      </w:r>
      <w:r>
        <w:rPr>
          <w:lang w:val="nl-NL"/>
        </w:rPr>
        <w:t>ations Convention on the Law of the Sea (UNCLOS</w:t>
      </w:r>
      <w:r w:rsidR="0004444A">
        <w:rPr>
          <w:lang w:val="nl-NL"/>
        </w:rPr>
        <w:t xml:space="preserve"> 1982</w:t>
      </w:r>
      <w:r>
        <w:rPr>
          <w:lang w:val="nl-NL"/>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E4DE2A" w14:textId="2D22504D" w:rsidR="00FC2F33" w:rsidRPr="007C5F95" w:rsidRDefault="00FC2F33">
    <w:pPr>
      <w:pStyle w:val="Header"/>
      <w:rPr>
        <w:szCs w:val="16"/>
        <w:lang w:val="da-DK"/>
      </w:rPr>
    </w:pPr>
    <w:r>
      <w:rPr>
        <w:lang w:val="da-DK"/>
      </w:rPr>
      <w:t>ECC/DEC/</w:t>
    </w:r>
    <w:r w:rsidRPr="007C5F95">
      <w:rPr>
        <w:lang w:val="da-DK"/>
      </w:rPr>
      <w:t>(</w:t>
    </w:r>
    <w:r w:rsidR="007F7EBF">
      <w:rPr>
        <w:lang w:val="da-DK"/>
      </w:rPr>
      <w:t>19</w:t>
    </w:r>
    <w:r w:rsidRPr="007C5F95">
      <w:rPr>
        <w:lang w:val="da-DK"/>
      </w:rPr>
      <w:t>)</w:t>
    </w:r>
    <w:r w:rsidR="00C353C1">
      <w:rPr>
        <w:lang w:val="da-DK"/>
      </w:rPr>
      <w:t>03</w:t>
    </w:r>
    <w:r w:rsidRPr="007C5F95">
      <w:rPr>
        <w:lang w:val="da-DK"/>
      </w:rPr>
      <w:t xml:space="preserve"> </w:t>
    </w:r>
    <w:r>
      <w:rPr>
        <w:szCs w:val="16"/>
        <w:lang w:val="da-DK"/>
      </w:rPr>
      <w:t xml:space="preserve">Page </w:t>
    </w:r>
    <w:r>
      <w:fldChar w:fldCharType="begin"/>
    </w:r>
    <w:r>
      <w:instrText xml:space="preserve"> PAGE  \* Arabic  \* MERGEFORMAT </w:instrText>
    </w:r>
    <w:r>
      <w:fldChar w:fldCharType="separate"/>
    </w:r>
    <w:r w:rsidR="00C37BCD" w:rsidRPr="00C37BCD">
      <w:rPr>
        <w:noProof/>
        <w:szCs w:val="16"/>
        <w:lang w:val="da-DK"/>
      </w:rPr>
      <w:t>12</w:t>
    </w:r>
    <w:r>
      <w:rPr>
        <w:noProof/>
        <w:szCs w:val="16"/>
        <w:lang w:val="da-DK"/>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E4DE2B" w14:textId="186F7816" w:rsidR="00FC2F33" w:rsidRPr="007C5F95" w:rsidRDefault="00FC2F33" w:rsidP="006C03D0">
    <w:pPr>
      <w:pStyle w:val="Header"/>
      <w:jc w:val="right"/>
      <w:rPr>
        <w:szCs w:val="16"/>
        <w:lang w:val="da-DK"/>
      </w:rPr>
    </w:pPr>
    <w:r>
      <w:rPr>
        <w:lang w:val="da-DK"/>
      </w:rPr>
      <w:t>ECC/DEC/</w:t>
    </w:r>
    <w:r w:rsidRPr="007C5F95">
      <w:rPr>
        <w:lang w:val="da-DK"/>
      </w:rPr>
      <w:t>(</w:t>
    </w:r>
    <w:r w:rsidR="007F7EBF">
      <w:rPr>
        <w:lang w:val="da-DK"/>
      </w:rPr>
      <w:t>19</w:t>
    </w:r>
    <w:r w:rsidRPr="007C5F95">
      <w:rPr>
        <w:lang w:val="da-DK"/>
      </w:rPr>
      <w:t>)</w:t>
    </w:r>
    <w:r w:rsidR="00C353C1">
      <w:rPr>
        <w:lang w:val="da-DK"/>
      </w:rPr>
      <w:t>03</w:t>
    </w:r>
    <w:r w:rsidRPr="007C5F95">
      <w:rPr>
        <w:lang w:val="da-DK"/>
      </w:rPr>
      <w:t xml:space="preserve"> </w:t>
    </w:r>
    <w:r>
      <w:rPr>
        <w:szCs w:val="16"/>
        <w:lang w:val="da-DK"/>
      </w:rPr>
      <w:t xml:space="preserve">Page </w:t>
    </w:r>
    <w:r>
      <w:fldChar w:fldCharType="begin"/>
    </w:r>
    <w:r>
      <w:instrText xml:space="preserve"> PAGE  \* Arabic  \* MERGEFORMAT </w:instrText>
    </w:r>
    <w:r>
      <w:fldChar w:fldCharType="separate"/>
    </w:r>
    <w:r w:rsidR="00C37BCD" w:rsidRPr="00C37BCD">
      <w:rPr>
        <w:noProof/>
        <w:szCs w:val="16"/>
        <w:lang w:val="da-DK"/>
      </w:rPr>
      <w:t>11</w:t>
    </w:r>
    <w:r>
      <w:rPr>
        <w:noProof/>
        <w:szCs w:val="16"/>
        <w:lang w:val="da-DK"/>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E4DE2C" w14:textId="23471096" w:rsidR="00FC2F33" w:rsidRDefault="00FC2F33">
    <w:pPr>
      <w:pStyle w:val="Header"/>
    </w:pPr>
    <w:r>
      <w:rPr>
        <w:noProof/>
        <w:szCs w:val="20"/>
        <w:lang w:val="da-DK" w:eastAsia="da-DK"/>
      </w:rPr>
      <w:drawing>
        <wp:anchor distT="0" distB="0" distL="114300" distR="114300" simplePos="0" relativeHeight="251658240" behindDoc="0" locked="0" layoutInCell="1" allowOverlap="1" wp14:anchorId="29E4DE30" wp14:editId="29E4DE31">
          <wp:simplePos x="0" y="0"/>
          <wp:positionH relativeFrom="page">
            <wp:posOffset>5717540</wp:posOffset>
          </wp:positionH>
          <wp:positionV relativeFrom="page">
            <wp:posOffset>648335</wp:posOffset>
          </wp:positionV>
          <wp:extent cx="1461770" cy="546100"/>
          <wp:effectExtent l="25400" t="0" r="11430" b="0"/>
          <wp:wrapNone/>
          <wp:docPr id="4" name="Picture 4" descr="ec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cc_logo"/>
                  <pic:cNvPicPr>
                    <a:picLocks noChangeAspect="1" noChangeArrowheads="1"/>
                  </pic:cNvPicPr>
                </pic:nvPicPr>
                <pic:blipFill>
                  <a:blip r:embed="rId1"/>
                  <a:srcRect/>
                  <a:stretch>
                    <a:fillRect/>
                  </a:stretch>
                </pic:blipFill>
                <pic:spPr bwMode="auto">
                  <a:xfrm>
                    <a:off x="0" y="0"/>
                    <a:ext cx="1461770" cy="546100"/>
                  </a:xfrm>
                  <a:prstGeom prst="rect">
                    <a:avLst/>
                  </a:prstGeom>
                  <a:noFill/>
                </pic:spPr>
              </pic:pic>
            </a:graphicData>
          </a:graphic>
        </wp:anchor>
      </w:drawing>
    </w:r>
    <w:r>
      <w:rPr>
        <w:noProof/>
        <w:szCs w:val="20"/>
        <w:lang w:val="da-DK" w:eastAsia="da-DK"/>
      </w:rPr>
      <w:drawing>
        <wp:anchor distT="0" distB="0" distL="114300" distR="114300" simplePos="0" relativeHeight="251657216" behindDoc="0" locked="0" layoutInCell="1" allowOverlap="1" wp14:anchorId="29E4DE32" wp14:editId="29E4DE33">
          <wp:simplePos x="0" y="0"/>
          <wp:positionH relativeFrom="page">
            <wp:posOffset>572770</wp:posOffset>
          </wp:positionH>
          <wp:positionV relativeFrom="page">
            <wp:posOffset>457200</wp:posOffset>
          </wp:positionV>
          <wp:extent cx="889000" cy="889000"/>
          <wp:effectExtent l="25400" t="0" r="0" b="0"/>
          <wp:wrapNone/>
          <wp:docPr id="3" name="Picture 3" descr="cep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ept logo"/>
                  <pic:cNvPicPr>
                    <a:picLocks noChangeAspect="1" noChangeArrowheads="1"/>
                  </pic:cNvPicPr>
                </pic:nvPicPr>
                <pic:blipFill>
                  <a:blip r:embed="rId2"/>
                  <a:srcRect/>
                  <a:stretch>
                    <a:fillRect/>
                  </a:stretch>
                </pic:blipFill>
                <pic:spPr bwMode="auto">
                  <a:xfrm>
                    <a:off x="0" y="0"/>
                    <a:ext cx="889000" cy="889000"/>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35667"/>
    <w:multiLevelType w:val="hybridMultilevel"/>
    <w:tmpl w:val="0390FC68"/>
    <w:lvl w:ilvl="0" w:tplc="61B83010">
      <w:start w:val="1"/>
      <w:numFmt w:val="bullet"/>
      <w:lvlText w:val=""/>
      <w:lvlJc w:val="left"/>
      <w:pPr>
        <w:ind w:left="1080" w:hanging="360"/>
      </w:pPr>
      <w:rPr>
        <w:rFonts w:ascii="Wingdings" w:hAnsi="Wingdings" w:hint="default"/>
        <w:color w:val="D2232A"/>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1">
    <w:nsid w:val="04BA10BE"/>
    <w:multiLevelType w:val="hybridMultilevel"/>
    <w:tmpl w:val="834A21A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nsid w:val="0E0870B8"/>
    <w:multiLevelType w:val="hybridMultilevel"/>
    <w:tmpl w:val="0D5CBE5C"/>
    <w:lvl w:ilvl="0" w:tplc="6B4A692A">
      <w:start w:val="1"/>
      <w:numFmt w:val="decimal"/>
      <w:lvlText w:val="%1)"/>
      <w:lvlJc w:val="left"/>
      <w:pPr>
        <w:tabs>
          <w:tab w:val="num" w:pos="720"/>
        </w:tabs>
        <w:ind w:left="720" w:hanging="360"/>
      </w:pPr>
      <w:rPr>
        <w:rFonts w:hint="default"/>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3">
    <w:nsid w:val="1543661A"/>
    <w:multiLevelType w:val="multilevel"/>
    <w:tmpl w:val="FF0640BA"/>
    <w:lvl w:ilvl="0">
      <w:start w:val="1"/>
      <w:numFmt w:val="decimal"/>
      <w:suff w:val="space"/>
      <w:lvlText w:val="ANNEX %1:"/>
      <w:lvlJc w:val="left"/>
      <w:pPr>
        <w:ind w:left="0" w:firstLine="0"/>
      </w:pPr>
      <w:rPr>
        <w:rFonts w:ascii="Arial" w:hAnsi="Arial" w:hint="default"/>
        <w:b/>
        <w:bCs w:val="0"/>
        <w:i w:val="0"/>
        <w:iCs w:val="0"/>
        <w:smallCaps w:val="0"/>
        <w:strike w:val="0"/>
        <w:dstrike w:val="0"/>
        <w:vanish w:val="0"/>
        <w:color w:val="D2232A"/>
        <w:spacing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A.%1.%2"/>
      <w:lvlJc w:val="left"/>
      <w:pPr>
        <w:ind w:left="576" w:hanging="576"/>
      </w:pPr>
      <w:rPr>
        <w:rFonts w:hint="default"/>
      </w:rPr>
    </w:lvl>
    <w:lvl w:ilvl="2">
      <w:start w:val="1"/>
      <w:numFmt w:val="decimal"/>
      <w:lvlText w:val="A.%1.%2.%3"/>
      <w:lvlJc w:val="left"/>
      <w:pPr>
        <w:tabs>
          <w:tab w:val="num" w:pos="720"/>
        </w:tabs>
        <w:ind w:left="720" w:hanging="720"/>
      </w:pPr>
      <w:rPr>
        <w:rFonts w:hint="default"/>
      </w:rPr>
    </w:lvl>
    <w:lvl w:ilvl="3">
      <w:start w:val="1"/>
      <w:numFmt w:val="decimal"/>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nsid w:val="1BB101DD"/>
    <w:multiLevelType w:val="multilevel"/>
    <w:tmpl w:val="4252BC28"/>
    <w:lvl w:ilvl="0">
      <w:numFmt w:val="bullet"/>
      <w:lvlText w:val="–"/>
      <w:lvlJc w:val="left"/>
      <w:pPr>
        <w:tabs>
          <w:tab w:val="num" w:pos="397"/>
        </w:tabs>
        <w:ind w:left="397" w:hanging="397"/>
      </w:pPr>
      <w:rPr>
        <w:rFonts w:ascii="Times New Roman" w:eastAsia="Times New Roman" w:hAnsi="Times New Roman" w:cs="Times New Roman" w:hint="default"/>
        <w:b w:val="0"/>
        <w:i w:val="0"/>
        <w:color w:val="FF0000"/>
        <w:sz w:val="20"/>
      </w:rPr>
    </w:lvl>
    <w:lvl w:ilvl="1">
      <w:start w:val="1"/>
      <w:numFmt w:val="lowerLetter"/>
      <w:lvlText w:val="%2)"/>
      <w:lvlJc w:val="left"/>
      <w:pPr>
        <w:tabs>
          <w:tab w:val="num" w:pos="397"/>
        </w:tabs>
        <w:ind w:left="737" w:hanging="340"/>
      </w:pPr>
      <w:rPr>
        <w:rFonts w:ascii="Arial" w:hAnsi="Arial" w:hint="default"/>
        <w:b w:val="0"/>
        <w:i w:val="0"/>
        <w:color w:val="D2232A"/>
        <w:sz w:val="20"/>
      </w:rPr>
    </w:lvl>
    <w:lvl w:ilvl="2">
      <w:start w:val="1"/>
      <w:numFmt w:val="none"/>
      <w:lvlText w:val=""/>
      <w:lvlJc w:val="left"/>
      <w:pPr>
        <w:tabs>
          <w:tab w:val="num" w:pos="720"/>
        </w:tabs>
        <w:ind w:left="720" w:hanging="720"/>
      </w:pPr>
      <w:rPr>
        <w:rFonts w:ascii="Arial Bold" w:hAnsi="Arial Bold" w:hint="default"/>
        <w:b/>
        <w:i w:val="0"/>
        <w:sz w:val="20"/>
      </w:rPr>
    </w:lvl>
    <w:lvl w:ilvl="3">
      <w:start w:val="1"/>
      <w:numFmt w:val="none"/>
      <w:lvlText w:val=""/>
      <w:lvlJc w:val="left"/>
      <w:pPr>
        <w:tabs>
          <w:tab w:val="num" w:pos="864"/>
        </w:tabs>
        <w:ind w:left="864" w:hanging="864"/>
      </w:pPr>
      <w:rPr>
        <w:rFonts w:ascii="Arial" w:hAnsi="Arial" w:hint="default"/>
        <w:b w:val="0"/>
        <w:i/>
        <w:color w:val="2F2E79"/>
        <w:sz w:val="20"/>
      </w:rPr>
    </w:lvl>
    <w:lvl w:ilvl="4">
      <w:start w:val="1"/>
      <w:numFmt w:val="none"/>
      <w:lvlText w:val=""/>
      <w:lvlJc w:val="left"/>
      <w:pPr>
        <w:tabs>
          <w:tab w:val="num" w:pos="1008"/>
        </w:tabs>
        <w:ind w:left="1008" w:hanging="1008"/>
      </w:pPr>
      <w:rPr>
        <w:rFonts w:hint="default"/>
        <w:sz w:val="24"/>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5">
    <w:nsid w:val="1E060383"/>
    <w:multiLevelType w:val="multilevel"/>
    <w:tmpl w:val="EBB62B36"/>
    <w:lvl w:ilvl="0">
      <w:start w:val="1"/>
      <w:numFmt w:val="lowerLetter"/>
      <w:pStyle w:val="LetteredList"/>
      <w:lvlText w:val="%1)"/>
      <w:lvlJc w:val="left"/>
      <w:pPr>
        <w:tabs>
          <w:tab w:val="num" w:pos="397"/>
        </w:tabs>
        <w:ind w:left="397" w:hanging="397"/>
      </w:pPr>
      <w:rPr>
        <w:rFonts w:ascii="Arial" w:hAnsi="Arial" w:hint="default"/>
        <w:color w:val="D2232A"/>
        <w:sz w:val="20"/>
      </w:rPr>
    </w:lvl>
    <w:lvl w:ilvl="1">
      <w:start w:val="1"/>
      <w:numFmt w:val="none"/>
      <w:lvlText w:val=""/>
      <w:lvlJc w:val="left"/>
      <w:pPr>
        <w:tabs>
          <w:tab w:val="num" w:pos="1080"/>
        </w:tabs>
        <w:ind w:left="1080" w:hanging="360"/>
      </w:pPr>
      <w:rPr>
        <w:rFonts w:hint="default"/>
      </w:rPr>
    </w:lvl>
    <w:lvl w:ilvl="2">
      <w:start w:val="1"/>
      <w:numFmt w:val="none"/>
      <w:lvlText w:val=""/>
      <w:lvlJc w:val="right"/>
      <w:pPr>
        <w:tabs>
          <w:tab w:val="num" w:pos="1800"/>
        </w:tabs>
        <w:ind w:left="1800" w:hanging="180"/>
      </w:pPr>
      <w:rPr>
        <w:rFonts w:hint="default"/>
      </w:rPr>
    </w:lvl>
    <w:lvl w:ilvl="3">
      <w:start w:val="1"/>
      <w:numFmt w:val="none"/>
      <w:lvlText w:val=""/>
      <w:lvlJc w:val="left"/>
      <w:pPr>
        <w:tabs>
          <w:tab w:val="num" w:pos="2520"/>
        </w:tabs>
        <w:ind w:left="2520" w:hanging="360"/>
      </w:pPr>
      <w:rPr>
        <w:rFonts w:hint="default"/>
      </w:rPr>
    </w:lvl>
    <w:lvl w:ilvl="4">
      <w:start w:val="1"/>
      <w:numFmt w:val="none"/>
      <w:lvlText w:val=""/>
      <w:lvlJc w:val="left"/>
      <w:pPr>
        <w:tabs>
          <w:tab w:val="num" w:pos="3240"/>
        </w:tabs>
        <w:ind w:left="3240" w:hanging="360"/>
      </w:pPr>
      <w:rPr>
        <w:rFonts w:hint="default"/>
      </w:rPr>
    </w:lvl>
    <w:lvl w:ilvl="5">
      <w:start w:val="1"/>
      <w:numFmt w:val="none"/>
      <w:lvlText w:val=""/>
      <w:lvlJc w:val="right"/>
      <w:pPr>
        <w:tabs>
          <w:tab w:val="num" w:pos="3960"/>
        </w:tabs>
        <w:ind w:left="3960" w:hanging="180"/>
      </w:pPr>
      <w:rPr>
        <w:rFonts w:hint="default"/>
      </w:rPr>
    </w:lvl>
    <w:lvl w:ilvl="6">
      <w:start w:val="1"/>
      <w:numFmt w:val="none"/>
      <w:lvlText w:val=""/>
      <w:lvlJc w:val="left"/>
      <w:pPr>
        <w:tabs>
          <w:tab w:val="num" w:pos="4680"/>
        </w:tabs>
        <w:ind w:left="4680" w:hanging="360"/>
      </w:pPr>
      <w:rPr>
        <w:rFonts w:hint="default"/>
      </w:rPr>
    </w:lvl>
    <w:lvl w:ilvl="7">
      <w:start w:val="1"/>
      <w:numFmt w:val="none"/>
      <w:lvlText w:val=""/>
      <w:lvlJc w:val="left"/>
      <w:pPr>
        <w:tabs>
          <w:tab w:val="num" w:pos="5400"/>
        </w:tabs>
        <w:ind w:left="5400" w:hanging="360"/>
      </w:pPr>
      <w:rPr>
        <w:rFonts w:hint="default"/>
      </w:rPr>
    </w:lvl>
    <w:lvl w:ilvl="8">
      <w:start w:val="1"/>
      <w:numFmt w:val="none"/>
      <w:lvlText w:val=""/>
      <w:lvlJc w:val="right"/>
      <w:pPr>
        <w:tabs>
          <w:tab w:val="num" w:pos="6120"/>
        </w:tabs>
        <w:ind w:left="6120" w:hanging="180"/>
      </w:pPr>
      <w:rPr>
        <w:rFonts w:hint="default"/>
      </w:rPr>
    </w:lvl>
  </w:abstractNum>
  <w:abstractNum w:abstractNumId="6">
    <w:nsid w:val="212F4188"/>
    <w:multiLevelType w:val="multilevel"/>
    <w:tmpl w:val="BF1AD4A4"/>
    <w:lvl w:ilvl="0">
      <w:start w:val="1"/>
      <w:numFmt w:val="decimal"/>
      <w:pStyle w:val="ECCAnnex-heading1"/>
      <w:suff w:val="space"/>
      <w:lvlText w:val="ANNEX %1:"/>
      <w:lvlJc w:val="left"/>
      <w:pPr>
        <w:ind w:left="0" w:firstLine="0"/>
      </w:pPr>
      <w:rPr>
        <w:rFonts w:ascii="Arial" w:hAnsi="Arial" w:hint="default"/>
        <w:b/>
        <w:bCs w:val="0"/>
        <w:i w:val="0"/>
        <w:iCs w:val="0"/>
        <w:smallCaps w:val="0"/>
        <w:strike w:val="0"/>
        <w:dstrike w:val="0"/>
        <w:vanish w:val="0"/>
        <w:color w:val="D2232A"/>
        <w:spacing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ECCAnnexheading2"/>
      <w:suff w:val="space"/>
      <w:lvlText w:val="A%1.%2"/>
      <w:lvlJc w:val="left"/>
      <w:pPr>
        <w:ind w:left="576" w:hanging="576"/>
      </w:pPr>
      <w:rPr>
        <w:rFonts w:hint="default"/>
      </w:rPr>
    </w:lvl>
    <w:lvl w:ilvl="2">
      <w:start w:val="1"/>
      <w:numFmt w:val="decimal"/>
      <w:pStyle w:val="ECCAnnexheading3"/>
      <w:lvlText w:val="A%1.%2.%3"/>
      <w:lvlJc w:val="left"/>
      <w:pPr>
        <w:tabs>
          <w:tab w:val="num" w:pos="720"/>
        </w:tabs>
        <w:ind w:left="720" w:hanging="720"/>
      </w:pPr>
      <w:rPr>
        <w:rFonts w:hint="default"/>
      </w:rPr>
    </w:lvl>
    <w:lvl w:ilvl="3">
      <w:start w:val="1"/>
      <w:numFmt w:val="decimal"/>
      <w:pStyle w:val="ECCAnnexheading4"/>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nsid w:val="21EB6FB6"/>
    <w:multiLevelType w:val="hybridMultilevel"/>
    <w:tmpl w:val="E8ACA648"/>
    <w:lvl w:ilvl="0" w:tplc="970E6A54">
      <w:numFmt w:val="bullet"/>
      <w:lvlText w:val="-"/>
      <w:lvlJc w:val="left"/>
      <w:pPr>
        <w:ind w:left="1080" w:hanging="360"/>
      </w:pPr>
      <w:rPr>
        <w:rFonts w:ascii="Arial" w:eastAsia="Times New Roman" w:hAnsi="Arial" w:cs="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8">
    <w:nsid w:val="2B5B7CB9"/>
    <w:multiLevelType w:val="hybridMultilevel"/>
    <w:tmpl w:val="2CAAE18C"/>
    <w:lvl w:ilvl="0" w:tplc="B0F41AFC">
      <w:start w:val="1"/>
      <w:numFmt w:val="bullet"/>
      <w:lvlText w:val=""/>
      <w:lvlJc w:val="left"/>
      <w:pPr>
        <w:ind w:left="1211" w:hanging="360"/>
      </w:pPr>
      <w:rPr>
        <w:rFonts w:ascii="Symbol" w:hAnsi="Symbol" w:hint="default"/>
      </w:rPr>
    </w:lvl>
    <w:lvl w:ilvl="1" w:tplc="04070003" w:tentative="1">
      <w:start w:val="1"/>
      <w:numFmt w:val="bullet"/>
      <w:lvlText w:val="o"/>
      <w:lvlJc w:val="left"/>
      <w:pPr>
        <w:ind w:left="1931" w:hanging="360"/>
      </w:pPr>
      <w:rPr>
        <w:rFonts w:ascii="Courier New" w:hAnsi="Courier New" w:cs="Courier New" w:hint="default"/>
      </w:rPr>
    </w:lvl>
    <w:lvl w:ilvl="2" w:tplc="04070005" w:tentative="1">
      <w:start w:val="1"/>
      <w:numFmt w:val="bullet"/>
      <w:lvlText w:val=""/>
      <w:lvlJc w:val="left"/>
      <w:pPr>
        <w:ind w:left="2651" w:hanging="360"/>
      </w:pPr>
      <w:rPr>
        <w:rFonts w:ascii="Wingdings" w:hAnsi="Wingdings" w:hint="default"/>
      </w:rPr>
    </w:lvl>
    <w:lvl w:ilvl="3" w:tplc="04070001" w:tentative="1">
      <w:start w:val="1"/>
      <w:numFmt w:val="bullet"/>
      <w:lvlText w:val=""/>
      <w:lvlJc w:val="left"/>
      <w:pPr>
        <w:ind w:left="3371" w:hanging="360"/>
      </w:pPr>
      <w:rPr>
        <w:rFonts w:ascii="Symbol" w:hAnsi="Symbol" w:hint="default"/>
      </w:rPr>
    </w:lvl>
    <w:lvl w:ilvl="4" w:tplc="04070003" w:tentative="1">
      <w:start w:val="1"/>
      <w:numFmt w:val="bullet"/>
      <w:lvlText w:val="o"/>
      <w:lvlJc w:val="left"/>
      <w:pPr>
        <w:ind w:left="4091" w:hanging="360"/>
      </w:pPr>
      <w:rPr>
        <w:rFonts w:ascii="Courier New" w:hAnsi="Courier New" w:cs="Courier New" w:hint="default"/>
      </w:rPr>
    </w:lvl>
    <w:lvl w:ilvl="5" w:tplc="04070005" w:tentative="1">
      <w:start w:val="1"/>
      <w:numFmt w:val="bullet"/>
      <w:lvlText w:val=""/>
      <w:lvlJc w:val="left"/>
      <w:pPr>
        <w:ind w:left="4811" w:hanging="360"/>
      </w:pPr>
      <w:rPr>
        <w:rFonts w:ascii="Wingdings" w:hAnsi="Wingdings" w:hint="default"/>
      </w:rPr>
    </w:lvl>
    <w:lvl w:ilvl="6" w:tplc="04070001" w:tentative="1">
      <w:start w:val="1"/>
      <w:numFmt w:val="bullet"/>
      <w:lvlText w:val=""/>
      <w:lvlJc w:val="left"/>
      <w:pPr>
        <w:ind w:left="5531" w:hanging="360"/>
      </w:pPr>
      <w:rPr>
        <w:rFonts w:ascii="Symbol" w:hAnsi="Symbol" w:hint="default"/>
      </w:rPr>
    </w:lvl>
    <w:lvl w:ilvl="7" w:tplc="04070003" w:tentative="1">
      <w:start w:val="1"/>
      <w:numFmt w:val="bullet"/>
      <w:lvlText w:val="o"/>
      <w:lvlJc w:val="left"/>
      <w:pPr>
        <w:ind w:left="6251" w:hanging="360"/>
      </w:pPr>
      <w:rPr>
        <w:rFonts w:ascii="Courier New" w:hAnsi="Courier New" w:cs="Courier New" w:hint="default"/>
      </w:rPr>
    </w:lvl>
    <w:lvl w:ilvl="8" w:tplc="04070005" w:tentative="1">
      <w:start w:val="1"/>
      <w:numFmt w:val="bullet"/>
      <w:lvlText w:val=""/>
      <w:lvlJc w:val="left"/>
      <w:pPr>
        <w:ind w:left="6971" w:hanging="360"/>
      </w:pPr>
      <w:rPr>
        <w:rFonts w:ascii="Wingdings" w:hAnsi="Wingdings" w:hint="default"/>
      </w:rPr>
    </w:lvl>
  </w:abstractNum>
  <w:abstractNum w:abstractNumId="9">
    <w:nsid w:val="2F9A72C9"/>
    <w:multiLevelType w:val="hybridMultilevel"/>
    <w:tmpl w:val="CF882B38"/>
    <w:lvl w:ilvl="0" w:tplc="78E8E71C">
      <w:start w:val="1"/>
      <w:numFmt w:val="lowerLetter"/>
      <w:lvlText w:val="%1)"/>
      <w:lvlJc w:val="left"/>
      <w:pPr>
        <w:ind w:left="786" w:hanging="360"/>
      </w:pPr>
      <w:rPr>
        <w:rFonts w:ascii="Arial" w:hAnsi="Arial" w:hint="default"/>
        <w:b w:val="0"/>
        <w:bCs w:val="0"/>
        <w:i w:val="0"/>
        <w:iCs w:val="0"/>
        <w:color w:val="D2232A"/>
        <w:sz w:val="20"/>
        <w:szCs w:val="2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0">
    <w:nsid w:val="30032BC6"/>
    <w:multiLevelType w:val="hybridMultilevel"/>
    <w:tmpl w:val="24C87F2A"/>
    <w:lvl w:ilvl="0" w:tplc="61B83010">
      <w:start w:val="1"/>
      <w:numFmt w:val="bullet"/>
      <w:lvlText w:val=""/>
      <w:lvlJc w:val="left"/>
      <w:pPr>
        <w:ind w:left="720" w:hanging="360"/>
      </w:pPr>
      <w:rPr>
        <w:rFonts w:ascii="Wingdings" w:hAnsi="Wingdings" w:hint="default"/>
        <w:color w:val="D2232A"/>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nsid w:val="3269348F"/>
    <w:multiLevelType w:val="hybridMultilevel"/>
    <w:tmpl w:val="9EB40B58"/>
    <w:lvl w:ilvl="0" w:tplc="4C0CFF66">
      <w:start w:val="1"/>
      <w:numFmt w:val="lowerLetter"/>
      <w:lvlText w:val="%1)"/>
      <w:lvlJc w:val="left"/>
      <w:pPr>
        <w:ind w:left="1080" w:hanging="72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2">
    <w:nsid w:val="32A77A34"/>
    <w:multiLevelType w:val="hybridMultilevel"/>
    <w:tmpl w:val="31DAC7DE"/>
    <w:lvl w:ilvl="0" w:tplc="3A02A90A">
      <w:start w:val="1"/>
      <w:numFmt w:val="bullet"/>
      <w:pStyle w:val="WGNNA-bulleted"/>
      <w:lvlText w:val=""/>
      <w:lvlJc w:val="left"/>
      <w:pPr>
        <w:tabs>
          <w:tab w:val="num" w:pos="372"/>
        </w:tabs>
        <w:ind w:left="372" w:hanging="372"/>
      </w:pPr>
      <w:rPr>
        <w:rFonts w:ascii="Wingdings" w:hAnsi="Wingdings" w:hint="default"/>
        <w:color w:val="auto"/>
      </w:rPr>
    </w:lvl>
    <w:lvl w:ilvl="1" w:tplc="8D403736">
      <w:start w:val="1"/>
      <w:numFmt w:val="bullet"/>
      <w:lvlText w:val="o"/>
      <w:lvlJc w:val="left"/>
      <w:pPr>
        <w:tabs>
          <w:tab w:val="num" w:pos="306"/>
        </w:tabs>
        <w:ind w:left="306" w:hanging="360"/>
      </w:pPr>
      <w:rPr>
        <w:rFonts w:ascii="Courier New" w:hAnsi="Courier New" w:hint="default"/>
      </w:rPr>
    </w:lvl>
    <w:lvl w:ilvl="2" w:tplc="5BD807E8">
      <w:start w:val="1"/>
      <w:numFmt w:val="bullet"/>
      <w:lvlText w:val=""/>
      <w:lvlJc w:val="left"/>
      <w:pPr>
        <w:tabs>
          <w:tab w:val="num" w:pos="1026"/>
        </w:tabs>
        <w:ind w:left="1026" w:hanging="360"/>
      </w:pPr>
      <w:rPr>
        <w:rFonts w:ascii="Wingdings" w:hAnsi="Wingdings" w:hint="default"/>
      </w:rPr>
    </w:lvl>
    <w:lvl w:ilvl="3" w:tplc="981C1218">
      <w:start w:val="1"/>
      <w:numFmt w:val="bullet"/>
      <w:lvlText w:val=""/>
      <w:lvlJc w:val="left"/>
      <w:pPr>
        <w:tabs>
          <w:tab w:val="num" w:pos="1746"/>
        </w:tabs>
        <w:ind w:left="1746" w:hanging="360"/>
      </w:pPr>
      <w:rPr>
        <w:rFonts w:ascii="Symbol" w:hAnsi="Symbol" w:hint="default"/>
      </w:rPr>
    </w:lvl>
    <w:lvl w:ilvl="4" w:tplc="8FCAD614">
      <w:start w:val="1"/>
      <w:numFmt w:val="bullet"/>
      <w:lvlText w:val="o"/>
      <w:lvlJc w:val="left"/>
      <w:pPr>
        <w:tabs>
          <w:tab w:val="num" w:pos="2466"/>
        </w:tabs>
        <w:ind w:left="2466" w:hanging="360"/>
      </w:pPr>
      <w:rPr>
        <w:rFonts w:ascii="Courier New" w:hAnsi="Courier New" w:hint="default"/>
      </w:rPr>
    </w:lvl>
    <w:lvl w:ilvl="5" w:tplc="7DCA0EC2">
      <w:start w:val="1"/>
      <w:numFmt w:val="bullet"/>
      <w:lvlText w:val=""/>
      <w:lvlJc w:val="left"/>
      <w:pPr>
        <w:tabs>
          <w:tab w:val="num" w:pos="3186"/>
        </w:tabs>
        <w:ind w:left="3186" w:hanging="360"/>
      </w:pPr>
      <w:rPr>
        <w:rFonts w:ascii="Wingdings" w:hAnsi="Wingdings" w:hint="default"/>
      </w:rPr>
    </w:lvl>
    <w:lvl w:ilvl="6" w:tplc="9FECB932">
      <w:start w:val="1"/>
      <w:numFmt w:val="bullet"/>
      <w:lvlText w:val=""/>
      <w:lvlJc w:val="left"/>
      <w:pPr>
        <w:tabs>
          <w:tab w:val="num" w:pos="3906"/>
        </w:tabs>
        <w:ind w:left="3906" w:hanging="360"/>
      </w:pPr>
      <w:rPr>
        <w:rFonts w:ascii="Symbol" w:hAnsi="Symbol" w:hint="default"/>
      </w:rPr>
    </w:lvl>
    <w:lvl w:ilvl="7" w:tplc="4D062F30">
      <w:start w:val="1"/>
      <w:numFmt w:val="bullet"/>
      <w:lvlText w:val="o"/>
      <w:lvlJc w:val="left"/>
      <w:pPr>
        <w:tabs>
          <w:tab w:val="num" w:pos="4626"/>
        </w:tabs>
        <w:ind w:left="4626" w:hanging="360"/>
      </w:pPr>
      <w:rPr>
        <w:rFonts w:ascii="Courier New" w:hAnsi="Courier New" w:hint="default"/>
      </w:rPr>
    </w:lvl>
    <w:lvl w:ilvl="8" w:tplc="AE00BD02">
      <w:start w:val="1"/>
      <w:numFmt w:val="bullet"/>
      <w:lvlText w:val=""/>
      <w:lvlJc w:val="left"/>
      <w:pPr>
        <w:tabs>
          <w:tab w:val="num" w:pos="5346"/>
        </w:tabs>
        <w:ind w:left="5346" w:hanging="360"/>
      </w:pPr>
      <w:rPr>
        <w:rFonts w:ascii="Wingdings" w:hAnsi="Wingdings" w:hint="default"/>
      </w:rPr>
    </w:lvl>
  </w:abstractNum>
  <w:abstractNum w:abstractNumId="13">
    <w:nsid w:val="361343C0"/>
    <w:multiLevelType w:val="multilevel"/>
    <w:tmpl w:val="294220AC"/>
    <w:styleLink w:val="Letteredlist0"/>
    <w:lvl w:ilvl="0">
      <w:start w:val="1"/>
      <w:numFmt w:val="lowerLetter"/>
      <w:lvlText w:val="%1)"/>
      <w:lvlJc w:val="left"/>
      <w:pPr>
        <w:tabs>
          <w:tab w:val="num" w:pos="397"/>
        </w:tabs>
        <w:ind w:left="397" w:hanging="397"/>
      </w:pPr>
      <w:rPr>
        <w:rFonts w:ascii="Arial" w:hAnsi="Arial" w:hint="default"/>
        <w:color w:val="D2232A"/>
        <w:sz w:val="20"/>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4">
    <w:nsid w:val="39151866"/>
    <w:multiLevelType w:val="multilevel"/>
    <w:tmpl w:val="53846CC4"/>
    <w:lvl w:ilvl="0">
      <w:start w:val="1"/>
      <w:numFmt w:val="decimal"/>
      <w:lvlText w:val="%1."/>
      <w:lvlJc w:val="left"/>
      <w:pPr>
        <w:tabs>
          <w:tab w:val="num" w:pos="397"/>
        </w:tabs>
        <w:ind w:left="397" w:hanging="397"/>
      </w:pPr>
      <w:rPr>
        <w:rFonts w:ascii="Arial" w:hAnsi="Arial" w:hint="default"/>
        <w:b w:val="0"/>
        <w:i w:val="0"/>
        <w:color w:val="D2232A"/>
        <w:sz w:val="20"/>
      </w:rPr>
    </w:lvl>
    <w:lvl w:ilvl="1">
      <w:start w:val="1"/>
      <w:numFmt w:val="lowerLetter"/>
      <w:lvlText w:val="%2)"/>
      <w:lvlJc w:val="left"/>
      <w:pPr>
        <w:tabs>
          <w:tab w:val="num" w:pos="397"/>
        </w:tabs>
        <w:ind w:left="737" w:hanging="340"/>
      </w:pPr>
      <w:rPr>
        <w:rFonts w:ascii="Arial" w:hAnsi="Arial" w:hint="default"/>
        <w:b w:val="0"/>
        <w:i w:val="0"/>
        <w:color w:val="D2232A"/>
        <w:sz w:val="20"/>
      </w:rPr>
    </w:lvl>
    <w:lvl w:ilvl="2">
      <w:start w:val="1"/>
      <w:numFmt w:val="none"/>
      <w:lvlText w:val=""/>
      <w:lvlJc w:val="left"/>
      <w:pPr>
        <w:tabs>
          <w:tab w:val="num" w:pos="720"/>
        </w:tabs>
        <w:ind w:left="720" w:hanging="720"/>
      </w:pPr>
      <w:rPr>
        <w:rFonts w:ascii="Arial Bold" w:hAnsi="Arial Bold" w:hint="default"/>
        <w:b/>
        <w:i w:val="0"/>
        <w:sz w:val="20"/>
      </w:rPr>
    </w:lvl>
    <w:lvl w:ilvl="3">
      <w:start w:val="1"/>
      <w:numFmt w:val="none"/>
      <w:lvlText w:val=""/>
      <w:lvlJc w:val="left"/>
      <w:pPr>
        <w:tabs>
          <w:tab w:val="num" w:pos="864"/>
        </w:tabs>
        <w:ind w:left="864" w:hanging="864"/>
      </w:pPr>
      <w:rPr>
        <w:rFonts w:ascii="Arial" w:hAnsi="Arial" w:hint="default"/>
        <w:b w:val="0"/>
        <w:i/>
        <w:color w:val="2F2E79"/>
        <w:sz w:val="20"/>
      </w:rPr>
    </w:lvl>
    <w:lvl w:ilvl="4">
      <w:start w:val="1"/>
      <w:numFmt w:val="none"/>
      <w:lvlText w:val=""/>
      <w:lvlJc w:val="left"/>
      <w:pPr>
        <w:tabs>
          <w:tab w:val="num" w:pos="1008"/>
        </w:tabs>
        <w:ind w:left="1008" w:hanging="1008"/>
      </w:pPr>
      <w:rPr>
        <w:rFonts w:hint="default"/>
        <w:sz w:val="24"/>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15">
    <w:nsid w:val="3C275A4E"/>
    <w:multiLevelType w:val="hybridMultilevel"/>
    <w:tmpl w:val="5AE2E4D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nsid w:val="3D163F7A"/>
    <w:multiLevelType w:val="multilevel"/>
    <w:tmpl w:val="BDCA875C"/>
    <w:lvl w:ilvl="0">
      <w:start w:val="1"/>
      <w:numFmt w:val="decimal"/>
      <w:pStyle w:val="Heading2"/>
      <w:lvlText w:val="%1"/>
      <w:lvlJc w:val="left"/>
      <w:pPr>
        <w:tabs>
          <w:tab w:val="num" w:pos="432"/>
        </w:tabs>
        <w:ind w:left="432" w:hanging="432"/>
      </w:pPr>
      <w:rPr>
        <w:rFonts w:ascii="Arial" w:hAnsi="Arial" w:hint="default"/>
        <w:b/>
        <w:i w:val="0"/>
        <w:color w:val="D2232A"/>
        <w:sz w:val="20"/>
        <w:szCs w:val="20"/>
      </w:rPr>
    </w:lvl>
    <w:lvl w:ilvl="1">
      <w:start w:val="1"/>
      <w:numFmt w:val="decimal"/>
      <w:pStyle w:val="Heading3"/>
      <w:lvlText w:val="%1.%2"/>
      <w:lvlJc w:val="left"/>
      <w:pPr>
        <w:tabs>
          <w:tab w:val="num" w:pos="576"/>
        </w:tabs>
        <w:ind w:left="576" w:hanging="576"/>
      </w:pPr>
      <w:rPr>
        <w:rFonts w:ascii="Arial" w:hAnsi="Arial" w:hint="default"/>
        <w:b/>
        <w:i w:val="0"/>
        <w:color w:val="D2232A"/>
        <w:sz w:val="20"/>
      </w:rPr>
    </w:lvl>
    <w:lvl w:ilvl="2">
      <w:start w:val="1"/>
      <w:numFmt w:val="decimal"/>
      <w:pStyle w:val="Heading4"/>
      <w:lvlText w:val="%1.%2.%3"/>
      <w:lvlJc w:val="left"/>
      <w:pPr>
        <w:tabs>
          <w:tab w:val="num" w:pos="720"/>
        </w:tabs>
        <w:ind w:left="720" w:hanging="720"/>
      </w:pPr>
      <w:rPr>
        <w:rFonts w:ascii="Arial" w:hAnsi="Arial" w:hint="default"/>
        <w:b/>
        <w:i w:val="0"/>
        <w:caps w:val="0"/>
        <w:sz w:val="20"/>
        <w:szCs w:val="20"/>
      </w:rPr>
    </w:lvl>
    <w:lvl w:ilvl="3">
      <w:start w:val="1"/>
      <w:numFmt w:val="decimal"/>
      <w:pStyle w:val="Heading4"/>
      <w:lvlText w:val="%1.%2.%3.%4"/>
      <w:lvlJc w:val="left"/>
      <w:pPr>
        <w:tabs>
          <w:tab w:val="num" w:pos="864"/>
        </w:tabs>
        <w:ind w:left="864" w:hanging="864"/>
      </w:pPr>
      <w:rPr>
        <w:rFonts w:ascii="Times New Roman" w:hAnsi="Times New Roman" w:hint="default"/>
        <w:b w:val="0"/>
        <w:i/>
        <w:sz w:val="20"/>
      </w:rPr>
    </w:lvl>
    <w:lvl w:ilvl="4">
      <w:start w:val="1"/>
      <w:numFmt w:val="decimal"/>
      <w:pStyle w:val="Heading5"/>
      <w:lvlText w:val="%1.%2.%3.%4.%5"/>
      <w:lvlJc w:val="left"/>
      <w:pPr>
        <w:tabs>
          <w:tab w:val="num" w:pos="1008"/>
        </w:tabs>
        <w:ind w:left="1008" w:hanging="1008"/>
      </w:pPr>
      <w:rPr>
        <w:rFonts w:hint="default"/>
        <w:sz w:val="24"/>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7">
    <w:nsid w:val="427E184A"/>
    <w:multiLevelType w:val="hybridMultilevel"/>
    <w:tmpl w:val="F51A9A3A"/>
    <w:lvl w:ilvl="0" w:tplc="C65085F2">
      <w:start w:val="1"/>
      <w:numFmt w:val="bullet"/>
      <w:pStyle w:val="ECCParBulleted"/>
      <w:lvlText w:val=""/>
      <w:lvlJc w:val="left"/>
      <w:pPr>
        <w:tabs>
          <w:tab w:val="num" w:pos="360"/>
        </w:tabs>
        <w:ind w:left="360" w:hanging="360"/>
      </w:pPr>
      <w:rPr>
        <w:rFonts w:ascii="Wingdings" w:hAnsi="Wingdings" w:hint="default"/>
        <w:color w:val="D2232A"/>
      </w:rPr>
    </w:lvl>
    <w:lvl w:ilvl="1" w:tplc="2722AF3A">
      <w:start w:val="1"/>
      <w:numFmt w:val="bullet"/>
      <w:lvlText w:val="o"/>
      <w:lvlJc w:val="left"/>
      <w:pPr>
        <w:tabs>
          <w:tab w:val="num" w:pos="1440"/>
        </w:tabs>
        <w:ind w:left="1440" w:hanging="360"/>
      </w:pPr>
      <w:rPr>
        <w:rFonts w:ascii="Courier New" w:hAnsi="Courier New" w:cs="Arial" w:hint="default"/>
      </w:rPr>
    </w:lvl>
    <w:lvl w:ilvl="2" w:tplc="DF3A6222" w:tentative="1">
      <w:start w:val="1"/>
      <w:numFmt w:val="bullet"/>
      <w:lvlText w:val=""/>
      <w:lvlJc w:val="left"/>
      <w:pPr>
        <w:tabs>
          <w:tab w:val="num" w:pos="2160"/>
        </w:tabs>
        <w:ind w:left="2160" w:hanging="360"/>
      </w:pPr>
      <w:rPr>
        <w:rFonts w:ascii="Wingdings" w:hAnsi="Wingdings" w:hint="default"/>
      </w:rPr>
    </w:lvl>
    <w:lvl w:ilvl="3" w:tplc="38384B7C" w:tentative="1">
      <w:start w:val="1"/>
      <w:numFmt w:val="bullet"/>
      <w:lvlText w:val=""/>
      <w:lvlJc w:val="left"/>
      <w:pPr>
        <w:tabs>
          <w:tab w:val="num" w:pos="2880"/>
        </w:tabs>
        <w:ind w:left="2880" w:hanging="360"/>
      </w:pPr>
      <w:rPr>
        <w:rFonts w:ascii="Symbol" w:hAnsi="Symbol" w:hint="default"/>
      </w:rPr>
    </w:lvl>
    <w:lvl w:ilvl="4" w:tplc="3FACFB98" w:tentative="1">
      <w:start w:val="1"/>
      <w:numFmt w:val="bullet"/>
      <w:lvlText w:val="o"/>
      <w:lvlJc w:val="left"/>
      <w:pPr>
        <w:tabs>
          <w:tab w:val="num" w:pos="3600"/>
        </w:tabs>
        <w:ind w:left="3600" w:hanging="360"/>
      </w:pPr>
      <w:rPr>
        <w:rFonts w:ascii="Courier New" w:hAnsi="Courier New" w:cs="Arial" w:hint="default"/>
      </w:rPr>
    </w:lvl>
    <w:lvl w:ilvl="5" w:tplc="9AB23964" w:tentative="1">
      <w:start w:val="1"/>
      <w:numFmt w:val="bullet"/>
      <w:lvlText w:val=""/>
      <w:lvlJc w:val="left"/>
      <w:pPr>
        <w:tabs>
          <w:tab w:val="num" w:pos="4320"/>
        </w:tabs>
        <w:ind w:left="4320" w:hanging="360"/>
      </w:pPr>
      <w:rPr>
        <w:rFonts w:ascii="Wingdings" w:hAnsi="Wingdings" w:hint="default"/>
      </w:rPr>
    </w:lvl>
    <w:lvl w:ilvl="6" w:tplc="0CD81336" w:tentative="1">
      <w:start w:val="1"/>
      <w:numFmt w:val="bullet"/>
      <w:lvlText w:val=""/>
      <w:lvlJc w:val="left"/>
      <w:pPr>
        <w:tabs>
          <w:tab w:val="num" w:pos="5040"/>
        </w:tabs>
        <w:ind w:left="5040" w:hanging="360"/>
      </w:pPr>
      <w:rPr>
        <w:rFonts w:ascii="Symbol" w:hAnsi="Symbol" w:hint="default"/>
      </w:rPr>
    </w:lvl>
    <w:lvl w:ilvl="7" w:tplc="41885BBC" w:tentative="1">
      <w:start w:val="1"/>
      <w:numFmt w:val="bullet"/>
      <w:lvlText w:val="o"/>
      <w:lvlJc w:val="left"/>
      <w:pPr>
        <w:tabs>
          <w:tab w:val="num" w:pos="5760"/>
        </w:tabs>
        <w:ind w:left="5760" w:hanging="360"/>
      </w:pPr>
      <w:rPr>
        <w:rFonts w:ascii="Courier New" w:hAnsi="Courier New" w:cs="Arial" w:hint="default"/>
      </w:rPr>
    </w:lvl>
    <w:lvl w:ilvl="8" w:tplc="BC0A8502" w:tentative="1">
      <w:start w:val="1"/>
      <w:numFmt w:val="bullet"/>
      <w:lvlText w:val=""/>
      <w:lvlJc w:val="left"/>
      <w:pPr>
        <w:tabs>
          <w:tab w:val="num" w:pos="6480"/>
        </w:tabs>
        <w:ind w:left="6480" w:hanging="360"/>
      </w:pPr>
      <w:rPr>
        <w:rFonts w:ascii="Wingdings" w:hAnsi="Wingdings" w:hint="default"/>
      </w:rPr>
    </w:lvl>
  </w:abstractNum>
  <w:abstractNum w:abstractNumId="18">
    <w:nsid w:val="46E6242A"/>
    <w:multiLevelType w:val="hybridMultilevel"/>
    <w:tmpl w:val="48DEBF0A"/>
    <w:lvl w:ilvl="0" w:tplc="0B1E7C38">
      <w:start w:val="1"/>
      <w:numFmt w:val="decimal"/>
      <w:pStyle w:val="reference"/>
      <w:lvlText w:val="[%1]"/>
      <w:lvlJc w:val="left"/>
      <w:pPr>
        <w:tabs>
          <w:tab w:val="num" w:pos="397"/>
        </w:tabs>
        <w:ind w:left="397" w:hanging="397"/>
      </w:pPr>
      <w:rPr>
        <w:rFonts w:ascii="Arial" w:hAnsi="Arial" w:hint="default"/>
        <w:b w:val="0"/>
        <w:i w:val="0"/>
        <w:color w:val="D2232A"/>
        <w:sz w:val="20"/>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9">
    <w:nsid w:val="499B11C1"/>
    <w:multiLevelType w:val="multilevel"/>
    <w:tmpl w:val="CF28CB36"/>
    <w:lvl w:ilvl="0">
      <w:start w:val="1"/>
      <w:numFmt w:val="decimal"/>
      <w:pStyle w:val="ECCFiguretitle"/>
      <w:suff w:val="space"/>
      <w:lvlText w:val="Figure %1:"/>
      <w:lvlJc w:val="left"/>
      <w:pPr>
        <w:ind w:left="360" w:hanging="360"/>
      </w:pPr>
      <w:rPr>
        <w:rFonts w:ascii="Arial" w:hAnsi="Arial" w:hint="default"/>
        <w:b/>
        <w:i w:val="0"/>
        <w:color w:val="D2232A"/>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nsid w:val="58BC7458"/>
    <w:multiLevelType w:val="hybridMultilevel"/>
    <w:tmpl w:val="4CC4516A"/>
    <w:lvl w:ilvl="0" w:tplc="04070017">
      <w:start w:val="1"/>
      <w:numFmt w:val="lowerLetter"/>
      <w:lvlText w:val="%1)"/>
      <w:lvlJc w:val="left"/>
      <w:pPr>
        <w:ind w:left="1429" w:hanging="360"/>
      </w:pPr>
    </w:lvl>
    <w:lvl w:ilvl="1" w:tplc="04070019" w:tentative="1">
      <w:start w:val="1"/>
      <w:numFmt w:val="lowerLetter"/>
      <w:lvlText w:val="%2."/>
      <w:lvlJc w:val="left"/>
      <w:pPr>
        <w:ind w:left="2149" w:hanging="360"/>
      </w:pPr>
    </w:lvl>
    <w:lvl w:ilvl="2" w:tplc="0407001B" w:tentative="1">
      <w:start w:val="1"/>
      <w:numFmt w:val="lowerRoman"/>
      <w:lvlText w:val="%3."/>
      <w:lvlJc w:val="right"/>
      <w:pPr>
        <w:ind w:left="2869" w:hanging="180"/>
      </w:pPr>
    </w:lvl>
    <w:lvl w:ilvl="3" w:tplc="0407000F" w:tentative="1">
      <w:start w:val="1"/>
      <w:numFmt w:val="decimal"/>
      <w:lvlText w:val="%4."/>
      <w:lvlJc w:val="left"/>
      <w:pPr>
        <w:ind w:left="3589" w:hanging="360"/>
      </w:pPr>
    </w:lvl>
    <w:lvl w:ilvl="4" w:tplc="04070019" w:tentative="1">
      <w:start w:val="1"/>
      <w:numFmt w:val="lowerLetter"/>
      <w:lvlText w:val="%5."/>
      <w:lvlJc w:val="left"/>
      <w:pPr>
        <w:ind w:left="4309" w:hanging="360"/>
      </w:pPr>
    </w:lvl>
    <w:lvl w:ilvl="5" w:tplc="0407001B" w:tentative="1">
      <w:start w:val="1"/>
      <w:numFmt w:val="lowerRoman"/>
      <w:lvlText w:val="%6."/>
      <w:lvlJc w:val="right"/>
      <w:pPr>
        <w:ind w:left="5029" w:hanging="180"/>
      </w:pPr>
    </w:lvl>
    <w:lvl w:ilvl="6" w:tplc="0407000F" w:tentative="1">
      <w:start w:val="1"/>
      <w:numFmt w:val="decimal"/>
      <w:lvlText w:val="%7."/>
      <w:lvlJc w:val="left"/>
      <w:pPr>
        <w:ind w:left="5749" w:hanging="360"/>
      </w:pPr>
    </w:lvl>
    <w:lvl w:ilvl="7" w:tplc="04070019" w:tentative="1">
      <w:start w:val="1"/>
      <w:numFmt w:val="lowerLetter"/>
      <w:lvlText w:val="%8."/>
      <w:lvlJc w:val="left"/>
      <w:pPr>
        <w:ind w:left="6469" w:hanging="360"/>
      </w:pPr>
    </w:lvl>
    <w:lvl w:ilvl="8" w:tplc="0407001B" w:tentative="1">
      <w:start w:val="1"/>
      <w:numFmt w:val="lowerRoman"/>
      <w:lvlText w:val="%9."/>
      <w:lvlJc w:val="right"/>
      <w:pPr>
        <w:ind w:left="7189" w:hanging="180"/>
      </w:pPr>
    </w:lvl>
  </w:abstractNum>
  <w:abstractNum w:abstractNumId="21">
    <w:nsid w:val="58E62E25"/>
    <w:multiLevelType w:val="hybridMultilevel"/>
    <w:tmpl w:val="51CA4AA2"/>
    <w:lvl w:ilvl="0" w:tplc="CD92EC28">
      <w:numFmt w:val="bullet"/>
      <w:lvlText w:val=""/>
      <w:lvlJc w:val="left"/>
      <w:pPr>
        <w:ind w:left="786" w:hanging="360"/>
      </w:pPr>
      <w:rPr>
        <w:rFonts w:ascii="Symbol" w:eastAsia="Times New Roman" w:hAnsi="Symbol" w:cs="Arial" w:hint="default"/>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abstractNum w:abstractNumId="22">
    <w:nsid w:val="5A3A37F2"/>
    <w:multiLevelType w:val="singleLevel"/>
    <w:tmpl w:val="78E8E71C"/>
    <w:lvl w:ilvl="0">
      <w:start w:val="1"/>
      <w:numFmt w:val="lowerLetter"/>
      <w:lvlText w:val="%1)"/>
      <w:lvlJc w:val="left"/>
      <w:pPr>
        <w:tabs>
          <w:tab w:val="num" w:pos="340"/>
        </w:tabs>
        <w:ind w:left="340" w:hanging="340"/>
      </w:pPr>
      <w:rPr>
        <w:rFonts w:ascii="Arial" w:hAnsi="Arial" w:hint="default"/>
        <w:b w:val="0"/>
        <w:bCs w:val="0"/>
        <w:i w:val="0"/>
        <w:iCs w:val="0"/>
        <w:color w:val="D2232A"/>
        <w:sz w:val="20"/>
        <w:szCs w:val="20"/>
      </w:rPr>
    </w:lvl>
  </w:abstractNum>
  <w:abstractNum w:abstractNumId="23">
    <w:nsid w:val="64403EC6"/>
    <w:multiLevelType w:val="hybridMultilevel"/>
    <w:tmpl w:val="CA3E4DA2"/>
    <w:lvl w:ilvl="0" w:tplc="74AA4246">
      <w:numFmt w:val="bullet"/>
      <w:lvlText w:val="*"/>
      <w:lvlJc w:val="left"/>
      <w:pPr>
        <w:ind w:left="1212" w:hanging="360"/>
      </w:pPr>
      <w:rPr>
        <w:rFonts w:ascii="Arial" w:eastAsia="Times New Roman" w:hAnsi="Arial" w:cs="Arial" w:hint="default"/>
      </w:rPr>
    </w:lvl>
    <w:lvl w:ilvl="1" w:tplc="04070003" w:tentative="1">
      <w:start w:val="1"/>
      <w:numFmt w:val="bullet"/>
      <w:lvlText w:val="o"/>
      <w:lvlJc w:val="left"/>
      <w:pPr>
        <w:ind w:left="1932" w:hanging="360"/>
      </w:pPr>
      <w:rPr>
        <w:rFonts w:ascii="Courier New" w:hAnsi="Courier New" w:cs="Courier New" w:hint="default"/>
      </w:rPr>
    </w:lvl>
    <w:lvl w:ilvl="2" w:tplc="04070005" w:tentative="1">
      <w:start w:val="1"/>
      <w:numFmt w:val="bullet"/>
      <w:lvlText w:val=""/>
      <w:lvlJc w:val="left"/>
      <w:pPr>
        <w:ind w:left="2652" w:hanging="360"/>
      </w:pPr>
      <w:rPr>
        <w:rFonts w:ascii="Wingdings" w:hAnsi="Wingdings" w:hint="default"/>
      </w:rPr>
    </w:lvl>
    <w:lvl w:ilvl="3" w:tplc="04070001" w:tentative="1">
      <w:start w:val="1"/>
      <w:numFmt w:val="bullet"/>
      <w:lvlText w:val=""/>
      <w:lvlJc w:val="left"/>
      <w:pPr>
        <w:ind w:left="3372" w:hanging="360"/>
      </w:pPr>
      <w:rPr>
        <w:rFonts w:ascii="Symbol" w:hAnsi="Symbol" w:hint="default"/>
      </w:rPr>
    </w:lvl>
    <w:lvl w:ilvl="4" w:tplc="04070003" w:tentative="1">
      <w:start w:val="1"/>
      <w:numFmt w:val="bullet"/>
      <w:lvlText w:val="o"/>
      <w:lvlJc w:val="left"/>
      <w:pPr>
        <w:ind w:left="4092" w:hanging="360"/>
      </w:pPr>
      <w:rPr>
        <w:rFonts w:ascii="Courier New" w:hAnsi="Courier New" w:cs="Courier New" w:hint="default"/>
      </w:rPr>
    </w:lvl>
    <w:lvl w:ilvl="5" w:tplc="04070005" w:tentative="1">
      <w:start w:val="1"/>
      <w:numFmt w:val="bullet"/>
      <w:lvlText w:val=""/>
      <w:lvlJc w:val="left"/>
      <w:pPr>
        <w:ind w:left="4812" w:hanging="360"/>
      </w:pPr>
      <w:rPr>
        <w:rFonts w:ascii="Wingdings" w:hAnsi="Wingdings" w:hint="default"/>
      </w:rPr>
    </w:lvl>
    <w:lvl w:ilvl="6" w:tplc="04070001" w:tentative="1">
      <w:start w:val="1"/>
      <w:numFmt w:val="bullet"/>
      <w:lvlText w:val=""/>
      <w:lvlJc w:val="left"/>
      <w:pPr>
        <w:ind w:left="5532" w:hanging="360"/>
      </w:pPr>
      <w:rPr>
        <w:rFonts w:ascii="Symbol" w:hAnsi="Symbol" w:hint="default"/>
      </w:rPr>
    </w:lvl>
    <w:lvl w:ilvl="7" w:tplc="04070003" w:tentative="1">
      <w:start w:val="1"/>
      <w:numFmt w:val="bullet"/>
      <w:lvlText w:val="o"/>
      <w:lvlJc w:val="left"/>
      <w:pPr>
        <w:ind w:left="6252" w:hanging="360"/>
      </w:pPr>
      <w:rPr>
        <w:rFonts w:ascii="Courier New" w:hAnsi="Courier New" w:cs="Courier New" w:hint="default"/>
      </w:rPr>
    </w:lvl>
    <w:lvl w:ilvl="8" w:tplc="04070005" w:tentative="1">
      <w:start w:val="1"/>
      <w:numFmt w:val="bullet"/>
      <w:lvlText w:val=""/>
      <w:lvlJc w:val="left"/>
      <w:pPr>
        <w:ind w:left="6972" w:hanging="360"/>
      </w:pPr>
      <w:rPr>
        <w:rFonts w:ascii="Wingdings" w:hAnsi="Wingdings" w:hint="default"/>
      </w:rPr>
    </w:lvl>
  </w:abstractNum>
  <w:abstractNum w:abstractNumId="24">
    <w:nsid w:val="688A35D6"/>
    <w:multiLevelType w:val="multilevel"/>
    <w:tmpl w:val="BDD8AD68"/>
    <w:styleLink w:val="ECCNumberedList"/>
    <w:lvl w:ilvl="0">
      <w:start w:val="1"/>
      <w:numFmt w:val="decimal"/>
      <w:pStyle w:val="NumberedList"/>
      <w:lvlText w:val="%1."/>
      <w:lvlJc w:val="left"/>
      <w:pPr>
        <w:tabs>
          <w:tab w:val="num" w:pos="397"/>
        </w:tabs>
        <w:ind w:left="397" w:hanging="397"/>
      </w:pPr>
      <w:rPr>
        <w:rFonts w:ascii="Arial" w:hAnsi="Arial" w:hint="default"/>
        <w:b w:val="0"/>
        <w:i w:val="0"/>
        <w:color w:val="D2232A"/>
        <w:sz w:val="20"/>
      </w:rPr>
    </w:lvl>
    <w:lvl w:ilvl="1">
      <w:start w:val="1"/>
      <w:numFmt w:val="lowerLetter"/>
      <w:lvlText w:val="%2)"/>
      <w:lvlJc w:val="left"/>
      <w:pPr>
        <w:tabs>
          <w:tab w:val="num" w:pos="397"/>
        </w:tabs>
        <w:ind w:left="737" w:hanging="340"/>
      </w:pPr>
      <w:rPr>
        <w:rFonts w:ascii="Arial" w:hAnsi="Arial" w:hint="default"/>
        <w:b w:val="0"/>
        <w:i w:val="0"/>
        <w:color w:val="D2232A"/>
        <w:sz w:val="20"/>
      </w:rPr>
    </w:lvl>
    <w:lvl w:ilvl="2">
      <w:start w:val="1"/>
      <w:numFmt w:val="none"/>
      <w:lvlText w:val=""/>
      <w:lvlJc w:val="left"/>
      <w:pPr>
        <w:tabs>
          <w:tab w:val="num" w:pos="720"/>
        </w:tabs>
        <w:ind w:left="720" w:hanging="720"/>
      </w:pPr>
      <w:rPr>
        <w:rFonts w:ascii="Arial Bold" w:hAnsi="Arial Bold" w:hint="default"/>
        <w:b/>
        <w:i w:val="0"/>
        <w:sz w:val="20"/>
      </w:rPr>
    </w:lvl>
    <w:lvl w:ilvl="3">
      <w:start w:val="1"/>
      <w:numFmt w:val="none"/>
      <w:lvlText w:val=""/>
      <w:lvlJc w:val="left"/>
      <w:pPr>
        <w:tabs>
          <w:tab w:val="num" w:pos="864"/>
        </w:tabs>
        <w:ind w:left="864" w:hanging="864"/>
      </w:pPr>
      <w:rPr>
        <w:rFonts w:ascii="Arial" w:hAnsi="Arial" w:hint="default"/>
        <w:b w:val="0"/>
        <w:i/>
        <w:color w:val="2F2E79"/>
        <w:sz w:val="20"/>
      </w:rPr>
    </w:lvl>
    <w:lvl w:ilvl="4">
      <w:start w:val="1"/>
      <w:numFmt w:val="none"/>
      <w:lvlText w:val=""/>
      <w:lvlJc w:val="left"/>
      <w:pPr>
        <w:tabs>
          <w:tab w:val="num" w:pos="1008"/>
        </w:tabs>
        <w:ind w:left="1008" w:hanging="1008"/>
      </w:pPr>
      <w:rPr>
        <w:rFonts w:hint="default"/>
        <w:sz w:val="24"/>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25">
    <w:nsid w:val="6C6B0172"/>
    <w:multiLevelType w:val="multilevel"/>
    <w:tmpl w:val="0122C030"/>
    <w:styleLink w:val="ECCNumbers-Letters"/>
    <w:lvl w:ilvl="0">
      <w:start w:val="1"/>
      <w:numFmt w:val="decimal"/>
      <w:pStyle w:val="ECCNumbered-LetteredList"/>
      <w:lvlText w:val="%1."/>
      <w:lvlJc w:val="left"/>
      <w:pPr>
        <w:tabs>
          <w:tab w:val="num" w:pos="340"/>
        </w:tabs>
        <w:ind w:left="340" w:hanging="340"/>
      </w:pPr>
      <w:rPr>
        <w:rFonts w:ascii="Arial" w:hAnsi="Arial" w:hint="default"/>
        <w:b w:val="0"/>
        <w:i w:val="0"/>
        <w:color w:val="D2232A"/>
        <w:sz w:val="20"/>
      </w:rPr>
    </w:lvl>
    <w:lvl w:ilvl="1">
      <w:start w:val="1"/>
      <w:numFmt w:val="lowerLetter"/>
      <w:lvlText w:val="%2)"/>
      <w:lvlJc w:val="left"/>
      <w:pPr>
        <w:tabs>
          <w:tab w:val="num" w:pos="680"/>
        </w:tabs>
        <w:ind w:left="680" w:hanging="340"/>
      </w:pPr>
      <w:rPr>
        <w:rFonts w:ascii="Arial" w:hAnsi="Arial" w:hint="default"/>
        <w:b w:val="0"/>
        <w:i w:val="0"/>
        <w:color w:val="D2232A"/>
        <w:sz w:val="20"/>
      </w:rPr>
    </w:lvl>
    <w:lvl w:ilvl="2">
      <w:start w:val="1"/>
      <w:numFmt w:val="bullet"/>
      <w:lvlText w:val=""/>
      <w:lvlJc w:val="left"/>
      <w:pPr>
        <w:tabs>
          <w:tab w:val="num" w:pos="1021"/>
        </w:tabs>
        <w:ind w:left="1021" w:hanging="341"/>
      </w:pPr>
      <w:rPr>
        <w:rFonts w:ascii="Wingdings" w:hAnsi="Wingdings" w:hint="default"/>
        <w:b/>
        <w:i w:val="0"/>
        <w:color w:val="D2232A"/>
        <w:sz w:val="20"/>
      </w:rPr>
    </w:lvl>
    <w:lvl w:ilvl="3">
      <w:start w:val="1"/>
      <w:numFmt w:val="none"/>
      <w:lvlText w:val=""/>
      <w:lvlJc w:val="left"/>
      <w:pPr>
        <w:tabs>
          <w:tab w:val="num" w:pos="1077"/>
        </w:tabs>
        <w:ind w:left="1728" w:hanging="648"/>
      </w:pPr>
      <w:rPr>
        <w:rFonts w:hint="default"/>
        <w:b w:val="0"/>
        <w:i/>
        <w:color w:val="2F2E79"/>
        <w:sz w:val="20"/>
      </w:rPr>
    </w:lvl>
    <w:lvl w:ilvl="4">
      <w:start w:val="1"/>
      <w:numFmt w:val="none"/>
      <w:lvlText w:val=""/>
      <w:lvlJc w:val="left"/>
      <w:pPr>
        <w:ind w:left="2232" w:hanging="792"/>
      </w:pPr>
      <w:rPr>
        <w:rFonts w:hint="default"/>
        <w:sz w:val="24"/>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26">
    <w:nsid w:val="6E394BEB"/>
    <w:multiLevelType w:val="hybridMultilevel"/>
    <w:tmpl w:val="4DAAEB3E"/>
    <w:lvl w:ilvl="0" w:tplc="43B872B6">
      <w:numFmt w:val="bullet"/>
      <w:lvlText w:val="–"/>
      <w:lvlJc w:val="left"/>
      <w:pPr>
        <w:ind w:left="720" w:hanging="360"/>
      </w:pPr>
      <w:rPr>
        <w:rFonts w:ascii="Times New Roman" w:eastAsia="Times New Roman" w:hAnsi="Times New Roman" w:cs="Times New Roman" w:hint="default"/>
        <w:color w:val="FF0000"/>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7">
    <w:nsid w:val="6E5E66DF"/>
    <w:multiLevelType w:val="hybridMultilevel"/>
    <w:tmpl w:val="84261126"/>
    <w:lvl w:ilvl="0" w:tplc="970E6A54">
      <w:numFmt w:val="bullet"/>
      <w:lvlText w:val="-"/>
      <w:lvlJc w:val="left"/>
      <w:pPr>
        <w:ind w:left="360" w:hanging="360"/>
      </w:pPr>
      <w:rPr>
        <w:rFonts w:ascii="Arial" w:eastAsia="Times New Roman"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8">
    <w:nsid w:val="7B3212E4"/>
    <w:multiLevelType w:val="multilevel"/>
    <w:tmpl w:val="A724997C"/>
    <w:lvl w:ilvl="0">
      <w:start w:val="1"/>
      <w:numFmt w:val="decimal"/>
      <w:pStyle w:val="ECCTabletitle"/>
      <w:suff w:val="space"/>
      <w:lvlText w:val="Table %1:"/>
      <w:lvlJc w:val="left"/>
      <w:pPr>
        <w:ind w:left="360" w:hanging="360"/>
      </w:pPr>
      <w:rPr>
        <w:rFonts w:ascii="Arial" w:hAnsi="Arial" w:hint="default"/>
        <w:b/>
        <w:i w:val="0"/>
        <w:color w:val="D2232A"/>
        <w:sz w:val="2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nsid w:val="7BC90F0A"/>
    <w:multiLevelType w:val="hybridMultilevel"/>
    <w:tmpl w:val="4A1451DE"/>
    <w:lvl w:ilvl="0" w:tplc="43B872B6">
      <w:numFmt w:val="bullet"/>
      <w:lvlText w:val="–"/>
      <w:lvlJc w:val="left"/>
      <w:pPr>
        <w:ind w:left="720" w:hanging="360"/>
      </w:pPr>
      <w:rPr>
        <w:rFonts w:ascii="Times New Roman" w:eastAsia="Times New Roman" w:hAnsi="Times New Roman" w:cs="Times New Roman" w:hint="default"/>
        <w:color w:val="FF0000"/>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0">
    <w:nsid w:val="7E70721F"/>
    <w:multiLevelType w:val="hybridMultilevel"/>
    <w:tmpl w:val="0994E7F8"/>
    <w:lvl w:ilvl="0" w:tplc="43B872B6">
      <w:numFmt w:val="bullet"/>
      <w:lvlText w:val="–"/>
      <w:lvlJc w:val="left"/>
      <w:pPr>
        <w:ind w:left="720" w:hanging="360"/>
      </w:pPr>
      <w:rPr>
        <w:rFonts w:ascii="Times New Roman" w:eastAsia="Times New Roman" w:hAnsi="Times New Roman" w:cs="Times New Roman" w:hint="default"/>
        <w:color w:val="FF0000"/>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16"/>
  </w:num>
  <w:num w:numId="2">
    <w:abstractNumId w:val="28"/>
  </w:num>
  <w:num w:numId="3">
    <w:abstractNumId w:val="19"/>
  </w:num>
  <w:num w:numId="4">
    <w:abstractNumId w:val="6"/>
  </w:num>
  <w:num w:numId="5">
    <w:abstractNumId w:val="22"/>
  </w:num>
  <w:num w:numId="6">
    <w:abstractNumId w:val="13"/>
  </w:num>
  <w:num w:numId="7">
    <w:abstractNumId w:val="12"/>
  </w:num>
  <w:num w:numId="8">
    <w:abstractNumId w:val="18"/>
  </w:num>
  <w:num w:numId="9">
    <w:abstractNumId w:val="17"/>
  </w:num>
  <w:num w:numId="10">
    <w:abstractNumId w:val="14"/>
  </w:num>
  <w:num w:numId="11">
    <w:abstractNumId w:val="18"/>
    <w:lvlOverride w:ilvl="0">
      <w:startOverride w:val="1"/>
    </w:lvlOverride>
  </w:num>
  <w:num w:numId="12">
    <w:abstractNumId w:val="5"/>
  </w:num>
  <w:num w:numId="13">
    <w:abstractNumId w:val="3"/>
  </w:num>
  <w:num w:numId="14">
    <w:abstractNumId w:val="25"/>
  </w:num>
  <w:num w:numId="15">
    <w:abstractNumId w:val="24"/>
  </w:num>
  <w:num w:numId="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num>
  <w:num w:numId="18">
    <w:abstractNumId w:val="11"/>
  </w:num>
  <w:num w:numId="19">
    <w:abstractNumId w:val="26"/>
  </w:num>
  <w:num w:numId="20">
    <w:abstractNumId w:val="15"/>
  </w:num>
  <w:num w:numId="21">
    <w:abstractNumId w:val="29"/>
  </w:num>
  <w:num w:numId="22">
    <w:abstractNumId w:val="30"/>
  </w:num>
  <w:num w:numId="23">
    <w:abstractNumId w:val="2"/>
  </w:num>
  <w:num w:numId="24">
    <w:abstractNumId w:val="4"/>
  </w:num>
  <w:num w:numId="25">
    <w:abstractNumId w:val="23"/>
  </w:num>
  <w:num w:numId="26">
    <w:abstractNumId w:val="21"/>
  </w:num>
  <w:num w:numId="27">
    <w:abstractNumId w:val="8"/>
  </w:num>
  <w:num w:numId="28">
    <w:abstractNumId w:val="20"/>
  </w:num>
  <w:num w:numId="29">
    <w:abstractNumId w:val="17"/>
  </w:num>
  <w:num w:numId="30">
    <w:abstractNumId w:val="27"/>
  </w:num>
  <w:num w:numId="31">
    <w:abstractNumId w:val="7"/>
  </w:num>
  <w:num w:numId="32">
    <w:abstractNumId w:val="24"/>
  </w:num>
  <w:num w:numId="33">
    <w:abstractNumId w:val="24"/>
  </w:num>
  <w:num w:numId="34">
    <w:abstractNumId w:val="1"/>
  </w:num>
  <w:num w:numId="35">
    <w:abstractNumId w:val="17"/>
  </w:num>
  <w:num w:numId="36">
    <w:abstractNumId w:val="17"/>
  </w:num>
  <w:num w:numId="37">
    <w:abstractNumId w:val="17"/>
  </w:num>
  <w:num w:numId="38">
    <w:abstractNumId w:val="17"/>
  </w:num>
  <w:num w:numId="39">
    <w:abstractNumId w:val="18"/>
  </w:num>
  <w:num w:numId="40">
    <w:abstractNumId w:val="0"/>
  </w:num>
  <w:num w:numId="41">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CC Secretary ">
    <w15:presenceInfo w15:providerId="None" w15:userId="ECC Secretary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62"/>
  <w:proofState w:spelling="clean" w:grammar="clean"/>
  <w:stylePaneFormatFilter w:val="2001" w:allStyles="1" w:customStyles="0" w:latentStyles="0" w:stylesInUse="0" w:headingStyles="0" w:numberingStyles="0" w:tableStyles="0" w:directFormattingOnRuns="0" w:directFormattingOnParagraphs="0" w:directFormattingOnNumbering="0" w:directFormattingOnTables="0" w:clearFormatting="0" w:top3HeadingStyles="1" w:visibleStyles="0" w:alternateStyleNames="0"/>
  <w:defaultTabStop w:val="720"/>
  <w:hyphenationZone w:val="425"/>
  <w:evenAndOddHeaders/>
  <w:characterSpacingControl w:val="doNotCompress"/>
  <w:hdrShapeDefaults>
    <o:shapedefaults v:ext="edit" spidmax="8193">
      <o:colormru v:ext="edit" colors="#7b6c58,#887e6e,#d2232a,#57433e,#b0a696"/>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7C75"/>
    <w:rsid w:val="00005B85"/>
    <w:rsid w:val="0002202D"/>
    <w:rsid w:val="00031379"/>
    <w:rsid w:val="000321F0"/>
    <w:rsid w:val="0003617D"/>
    <w:rsid w:val="0004444A"/>
    <w:rsid w:val="00063D28"/>
    <w:rsid w:val="00071FFD"/>
    <w:rsid w:val="000724BC"/>
    <w:rsid w:val="00072B81"/>
    <w:rsid w:val="00075DE1"/>
    <w:rsid w:val="000803A7"/>
    <w:rsid w:val="000936F9"/>
    <w:rsid w:val="000A35E7"/>
    <w:rsid w:val="000A5162"/>
    <w:rsid w:val="000A7D5B"/>
    <w:rsid w:val="000C183F"/>
    <w:rsid w:val="000D4774"/>
    <w:rsid w:val="000F2D50"/>
    <w:rsid w:val="000F3919"/>
    <w:rsid w:val="000F5812"/>
    <w:rsid w:val="000F639A"/>
    <w:rsid w:val="00101B11"/>
    <w:rsid w:val="001022CA"/>
    <w:rsid w:val="00113C9A"/>
    <w:rsid w:val="00120EBD"/>
    <w:rsid w:val="001225BC"/>
    <w:rsid w:val="0012601D"/>
    <w:rsid w:val="0013619B"/>
    <w:rsid w:val="0013727C"/>
    <w:rsid w:val="00157FDE"/>
    <w:rsid w:val="00157FE2"/>
    <w:rsid w:val="00160803"/>
    <w:rsid w:val="00160D29"/>
    <w:rsid w:val="00166B94"/>
    <w:rsid w:val="00166C62"/>
    <w:rsid w:val="00174AB4"/>
    <w:rsid w:val="00175FEE"/>
    <w:rsid w:val="0017707D"/>
    <w:rsid w:val="00181A2D"/>
    <w:rsid w:val="00185E44"/>
    <w:rsid w:val="001941FF"/>
    <w:rsid w:val="00195593"/>
    <w:rsid w:val="001A0291"/>
    <w:rsid w:val="001B0CC6"/>
    <w:rsid w:val="001B1F5E"/>
    <w:rsid w:val="001B3274"/>
    <w:rsid w:val="001B688B"/>
    <w:rsid w:val="001C2655"/>
    <w:rsid w:val="001C46EA"/>
    <w:rsid w:val="001E0C8D"/>
    <w:rsid w:val="001F3864"/>
    <w:rsid w:val="001F74A5"/>
    <w:rsid w:val="0020077C"/>
    <w:rsid w:val="00200B00"/>
    <w:rsid w:val="002064C9"/>
    <w:rsid w:val="00214DEC"/>
    <w:rsid w:val="00216C32"/>
    <w:rsid w:val="00222F73"/>
    <w:rsid w:val="002374D2"/>
    <w:rsid w:val="0024638F"/>
    <w:rsid w:val="002467FA"/>
    <w:rsid w:val="002652A8"/>
    <w:rsid w:val="002741A5"/>
    <w:rsid w:val="002821E9"/>
    <w:rsid w:val="0028624F"/>
    <w:rsid w:val="00292AC5"/>
    <w:rsid w:val="00292D32"/>
    <w:rsid w:val="0029348E"/>
    <w:rsid w:val="002B3ECE"/>
    <w:rsid w:val="002B49B2"/>
    <w:rsid w:val="002C2EFB"/>
    <w:rsid w:val="002C3312"/>
    <w:rsid w:val="002C35CF"/>
    <w:rsid w:val="002C44BC"/>
    <w:rsid w:val="002C62B3"/>
    <w:rsid w:val="002D18FF"/>
    <w:rsid w:val="002D3591"/>
    <w:rsid w:val="002E6F26"/>
    <w:rsid w:val="002F46C4"/>
    <w:rsid w:val="002F5480"/>
    <w:rsid w:val="0032761B"/>
    <w:rsid w:val="003307A7"/>
    <w:rsid w:val="003325F6"/>
    <w:rsid w:val="0033598C"/>
    <w:rsid w:val="003526BD"/>
    <w:rsid w:val="00356765"/>
    <w:rsid w:val="003708E0"/>
    <w:rsid w:val="00377464"/>
    <w:rsid w:val="00381F49"/>
    <w:rsid w:val="003872C3"/>
    <w:rsid w:val="003A417E"/>
    <w:rsid w:val="003C0994"/>
    <w:rsid w:val="003C5A5D"/>
    <w:rsid w:val="003D5529"/>
    <w:rsid w:val="003F4679"/>
    <w:rsid w:val="003F540C"/>
    <w:rsid w:val="0040319E"/>
    <w:rsid w:val="00412E32"/>
    <w:rsid w:val="00414A24"/>
    <w:rsid w:val="00416E6D"/>
    <w:rsid w:val="00422F7F"/>
    <w:rsid w:val="00455354"/>
    <w:rsid w:val="00455EFE"/>
    <w:rsid w:val="00457163"/>
    <w:rsid w:val="00465E26"/>
    <w:rsid w:val="0048592C"/>
    <w:rsid w:val="004940E7"/>
    <w:rsid w:val="004967C5"/>
    <w:rsid w:val="004A639E"/>
    <w:rsid w:val="004A67B7"/>
    <w:rsid w:val="004C500D"/>
    <w:rsid w:val="004C730D"/>
    <w:rsid w:val="004D3A66"/>
    <w:rsid w:val="004D4301"/>
    <w:rsid w:val="004D4FEC"/>
    <w:rsid w:val="004D670C"/>
    <w:rsid w:val="004E25CB"/>
    <w:rsid w:val="004F76EE"/>
    <w:rsid w:val="00507273"/>
    <w:rsid w:val="00507807"/>
    <w:rsid w:val="00510E68"/>
    <w:rsid w:val="00512798"/>
    <w:rsid w:val="00514F23"/>
    <w:rsid w:val="005311A2"/>
    <w:rsid w:val="005400F6"/>
    <w:rsid w:val="00562F71"/>
    <w:rsid w:val="00567536"/>
    <w:rsid w:val="0057185F"/>
    <w:rsid w:val="005770D3"/>
    <w:rsid w:val="005807F7"/>
    <w:rsid w:val="005823E1"/>
    <w:rsid w:val="0058662D"/>
    <w:rsid w:val="00587E9E"/>
    <w:rsid w:val="00593BAD"/>
    <w:rsid w:val="005A422F"/>
    <w:rsid w:val="005A4988"/>
    <w:rsid w:val="005A4F50"/>
    <w:rsid w:val="005E3F6F"/>
    <w:rsid w:val="005E467D"/>
    <w:rsid w:val="005E646C"/>
    <w:rsid w:val="005F6D3D"/>
    <w:rsid w:val="005F7AD5"/>
    <w:rsid w:val="00600BC6"/>
    <w:rsid w:val="0060697D"/>
    <w:rsid w:val="006128D7"/>
    <w:rsid w:val="00616BD4"/>
    <w:rsid w:val="0062474E"/>
    <w:rsid w:val="00635516"/>
    <w:rsid w:val="0064589F"/>
    <w:rsid w:val="00650E6B"/>
    <w:rsid w:val="0066686C"/>
    <w:rsid w:val="00666E4E"/>
    <w:rsid w:val="00675590"/>
    <w:rsid w:val="00684192"/>
    <w:rsid w:val="006A1B35"/>
    <w:rsid w:val="006A5C53"/>
    <w:rsid w:val="006A6735"/>
    <w:rsid w:val="006B4750"/>
    <w:rsid w:val="006B4843"/>
    <w:rsid w:val="006B55E4"/>
    <w:rsid w:val="006C03D0"/>
    <w:rsid w:val="006D254C"/>
    <w:rsid w:val="006D6329"/>
    <w:rsid w:val="006E41EB"/>
    <w:rsid w:val="006E55C5"/>
    <w:rsid w:val="006F554D"/>
    <w:rsid w:val="006F7A32"/>
    <w:rsid w:val="0070052E"/>
    <w:rsid w:val="00703959"/>
    <w:rsid w:val="00713DBA"/>
    <w:rsid w:val="0073036E"/>
    <w:rsid w:val="0073287B"/>
    <w:rsid w:val="007362B1"/>
    <w:rsid w:val="007474B2"/>
    <w:rsid w:val="0075472B"/>
    <w:rsid w:val="0076748A"/>
    <w:rsid w:val="007866A6"/>
    <w:rsid w:val="007876DE"/>
    <w:rsid w:val="007877E8"/>
    <w:rsid w:val="00787D46"/>
    <w:rsid w:val="00791703"/>
    <w:rsid w:val="00794376"/>
    <w:rsid w:val="007A5B0C"/>
    <w:rsid w:val="007A5DCA"/>
    <w:rsid w:val="007B5001"/>
    <w:rsid w:val="007C4F8B"/>
    <w:rsid w:val="007C6571"/>
    <w:rsid w:val="007C780C"/>
    <w:rsid w:val="007D7331"/>
    <w:rsid w:val="007E23E4"/>
    <w:rsid w:val="007E6EDB"/>
    <w:rsid w:val="007E71D4"/>
    <w:rsid w:val="007F60F3"/>
    <w:rsid w:val="007F6757"/>
    <w:rsid w:val="007F7E29"/>
    <w:rsid w:val="007F7EBF"/>
    <w:rsid w:val="00814A06"/>
    <w:rsid w:val="008266AE"/>
    <w:rsid w:val="00831A70"/>
    <w:rsid w:val="00836945"/>
    <w:rsid w:val="008421AB"/>
    <w:rsid w:val="0084381D"/>
    <w:rsid w:val="00847788"/>
    <w:rsid w:val="008609CD"/>
    <w:rsid w:val="008676A1"/>
    <w:rsid w:val="008709E8"/>
    <w:rsid w:val="0088047E"/>
    <w:rsid w:val="00892E15"/>
    <w:rsid w:val="008A2D7A"/>
    <w:rsid w:val="008A6942"/>
    <w:rsid w:val="008B60EB"/>
    <w:rsid w:val="008D5929"/>
    <w:rsid w:val="008E3E91"/>
    <w:rsid w:val="008F2B86"/>
    <w:rsid w:val="009028F7"/>
    <w:rsid w:val="0091539D"/>
    <w:rsid w:val="0092220A"/>
    <w:rsid w:val="00933DF7"/>
    <w:rsid w:val="0093530E"/>
    <w:rsid w:val="00954A38"/>
    <w:rsid w:val="00992DEA"/>
    <w:rsid w:val="009A071C"/>
    <w:rsid w:val="009A0CAF"/>
    <w:rsid w:val="009A2786"/>
    <w:rsid w:val="009A5FA2"/>
    <w:rsid w:val="009B2363"/>
    <w:rsid w:val="009C32FA"/>
    <w:rsid w:val="009C56B1"/>
    <w:rsid w:val="009D6596"/>
    <w:rsid w:val="009D6838"/>
    <w:rsid w:val="009E5977"/>
    <w:rsid w:val="00A27333"/>
    <w:rsid w:val="00A401E0"/>
    <w:rsid w:val="00A41673"/>
    <w:rsid w:val="00A424EE"/>
    <w:rsid w:val="00A43583"/>
    <w:rsid w:val="00A70906"/>
    <w:rsid w:val="00A712D3"/>
    <w:rsid w:val="00A71735"/>
    <w:rsid w:val="00A8085A"/>
    <w:rsid w:val="00A90796"/>
    <w:rsid w:val="00A930CA"/>
    <w:rsid w:val="00A95DA5"/>
    <w:rsid w:val="00AA128E"/>
    <w:rsid w:val="00AB2C1C"/>
    <w:rsid w:val="00AC0AF5"/>
    <w:rsid w:val="00AC2AEB"/>
    <w:rsid w:val="00AC5077"/>
    <w:rsid w:val="00AC7D84"/>
    <w:rsid w:val="00AD5B1B"/>
    <w:rsid w:val="00AE14D4"/>
    <w:rsid w:val="00AF70A0"/>
    <w:rsid w:val="00B03382"/>
    <w:rsid w:val="00B12B5D"/>
    <w:rsid w:val="00B2295E"/>
    <w:rsid w:val="00B23041"/>
    <w:rsid w:val="00B2639F"/>
    <w:rsid w:val="00B27C52"/>
    <w:rsid w:val="00B60BA6"/>
    <w:rsid w:val="00B618E0"/>
    <w:rsid w:val="00B72D2F"/>
    <w:rsid w:val="00B74918"/>
    <w:rsid w:val="00B7544B"/>
    <w:rsid w:val="00B80AE6"/>
    <w:rsid w:val="00B85021"/>
    <w:rsid w:val="00B956D4"/>
    <w:rsid w:val="00BA6BA8"/>
    <w:rsid w:val="00BC0850"/>
    <w:rsid w:val="00BC1166"/>
    <w:rsid w:val="00BC4C97"/>
    <w:rsid w:val="00BC6275"/>
    <w:rsid w:val="00BE5E75"/>
    <w:rsid w:val="00BF11D3"/>
    <w:rsid w:val="00BF19A8"/>
    <w:rsid w:val="00BF4788"/>
    <w:rsid w:val="00BF505B"/>
    <w:rsid w:val="00C04058"/>
    <w:rsid w:val="00C11814"/>
    <w:rsid w:val="00C1340F"/>
    <w:rsid w:val="00C13D90"/>
    <w:rsid w:val="00C22640"/>
    <w:rsid w:val="00C3221F"/>
    <w:rsid w:val="00C346AA"/>
    <w:rsid w:val="00C347CA"/>
    <w:rsid w:val="00C353C1"/>
    <w:rsid w:val="00C37BCD"/>
    <w:rsid w:val="00C56C66"/>
    <w:rsid w:val="00C64D00"/>
    <w:rsid w:val="00C665E0"/>
    <w:rsid w:val="00C71291"/>
    <w:rsid w:val="00C74823"/>
    <w:rsid w:val="00C803E9"/>
    <w:rsid w:val="00C82DFF"/>
    <w:rsid w:val="00C8428E"/>
    <w:rsid w:val="00C90F4F"/>
    <w:rsid w:val="00C96CB5"/>
    <w:rsid w:val="00CB0185"/>
    <w:rsid w:val="00CB3935"/>
    <w:rsid w:val="00CB78DA"/>
    <w:rsid w:val="00CC2911"/>
    <w:rsid w:val="00CD70A1"/>
    <w:rsid w:val="00CE3731"/>
    <w:rsid w:val="00CE6B91"/>
    <w:rsid w:val="00D024DE"/>
    <w:rsid w:val="00D11652"/>
    <w:rsid w:val="00D1398E"/>
    <w:rsid w:val="00D177A0"/>
    <w:rsid w:val="00D2635E"/>
    <w:rsid w:val="00D26984"/>
    <w:rsid w:val="00D32787"/>
    <w:rsid w:val="00D4079D"/>
    <w:rsid w:val="00D42334"/>
    <w:rsid w:val="00D46041"/>
    <w:rsid w:val="00D464AD"/>
    <w:rsid w:val="00D54D50"/>
    <w:rsid w:val="00D61403"/>
    <w:rsid w:val="00D61A75"/>
    <w:rsid w:val="00D61E94"/>
    <w:rsid w:val="00D6310A"/>
    <w:rsid w:val="00D719FF"/>
    <w:rsid w:val="00D71FBC"/>
    <w:rsid w:val="00D72BDB"/>
    <w:rsid w:val="00D74EE4"/>
    <w:rsid w:val="00D76394"/>
    <w:rsid w:val="00D90B0A"/>
    <w:rsid w:val="00D93425"/>
    <w:rsid w:val="00D94E0B"/>
    <w:rsid w:val="00D957C5"/>
    <w:rsid w:val="00DA090D"/>
    <w:rsid w:val="00DA18AC"/>
    <w:rsid w:val="00DA1E74"/>
    <w:rsid w:val="00DB085C"/>
    <w:rsid w:val="00DB248F"/>
    <w:rsid w:val="00DC0568"/>
    <w:rsid w:val="00DC1E58"/>
    <w:rsid w:val="00DC56D9"/>
    <w:rsid w:val="00DC6F7B"/>
    <w:rsid w:val="00DC7AC8"/>
    <w:rsid w:val="00DD695C"/>
    <w:rsid w:val="00DD6F0C"/>
    <w:rsid w:val="00DE022D"/>
    <w:rsid w:val="00DF28C4"/>
    <w:rsid w:val="00DF33D8"/>
    <w:rsid w:val="00DF3B29"/>
    <w:rsid w:val="00E07B65"/>
    <w:rsid w:val="00E07C33"/>
    <w:rsid w:val="00E16C1F"/>
    <w:rsid w:val="00E20724"/>
    <w:rsid w:val="00E26530"/>
    <w:rsid w:val="00E3257D"/>
    <w:rsid w:val="00E5524A"/>
    <w:rsid w:val="00E60AB9"/>
    <w:rsid w:val="00E65D25"/>
    <w:rsid w:val="00E65E22"/>
    <w:rsid w:val="00E73D39"/>
    <w:rsid w:val="00E84CAB"/>
    <w:rsid w:val="00E97083"/>
    <w:rsid w:val="00EA239D"/>
    <w:rsid w:val="00EA7C75"/>
    <w:rsid w:val="00EB2636"/>
    <w:rsid w:val="00EB4C68"/>
    <w:rsid w:val="00EB519A"/>
    <w:rsid w:val="00EB79B9"/>
    <w:rsid w:val="00EC349D"/>
    <w:rsid w:val="00EC7AB2"/>
    <w:rsid w:val="00ED6356"/>
    <w:rsid w:val="00EE0A98"/>
    <w:rsid w:val="00EE4940"/>
    <w:rsid w:val="00EE7C5E"/>
    <w:rsid w:val="00EF0D38"/>
    <w:rsid w:val="00EF3DDC"/>
    <w:rsid w:val="00F01B5E"/>
    <w:rsid w:val="00F02890"/>
    <w:rsid w:val="00F07C86"/>
    <w:rsid w:val="00F12CEA"/>
    <w:rsid w:val="00F177F1"/>
    <w:rsid w:val="00F32EE8"/>
    <w:rsid w:val="00F532BB"/>
    <w:rsid w:val="00F548EA"/>
    <w:rsid w:val="00F54AAA"/>
    <w:rsid w:val="00F54D9D"/>
    <w:rsid w:val="00F5682C"/>
    <w:rsid w:val="00F630C4"/>
    <w:rsid w:val="00F665AE"/>
    <w:rsid w:val="00F80FF0"/>
    <w:rsid w:val="00F82E4F"/>
    <w:rsid w:val="00F83A24"/>
    <w:rsid w:val="00F84A0F"/>
    <w:rsid w:val="00F85477"/>
    <w:rsid w:val="00F921E9"/>
    <w:rsid w:val="00FA4704"/>
    <w:rsid w:val="00FB1F90"/>
    <w:rsid w:val="00FB302F"/>
    <w:rsid w:val="00FB65C5"/>
    <w:rsid w:val="00FC2F33"/>
    <w:rsid w:val="00FC59EA"/>
    <w:rsid w:val="00FC5D33"/>
    <w:rsid w:val="00FD1D30"/>
    <w:rsid w:val="00FD239F"/>
    <w:rsid w:val="00FD3108"/>
    <w:rsid w:val="00FE41A3"/>
    <w:rsid w:val="00FE6C28"/>
    <w:rsid w:val="00FE7C0C"/>
    <w:rsid w:val="00FF0CAB"/>
    <w:rsid w:val="00FF3051"/>
    <w:rsid w:val="00FF5656"/>
    <w:rsid w:val="00FF7F31"/>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colormru v:ext="edit" colors="#7b6c58,#887e6e,#d2232a,#57433e,#b0a696"/>
    </o:shapedefaults>
    <o:shapelayout v:ext="edit">
      <o:idmap v:ext="edit" data="1"/>
    </o:shapelayout>
  </w:shapeDefaults>
  <w:decimalSymbol w:val=","/>
  <w:listSeparator w:val=";"/>
  <w14:docId w14:val="29E4D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5C7C"/>
    <w:rPr>
      <w:rFonts w:ascii="Arial" w:hAnsi="Arial"/>
      <w:szCs w:val="24"/>
      <w:lang w:val="en-US"/>
    </w:rPr>
  </w:style>
  <w:style w:type="paragraph" w:styleId="Heading1">
    <w:name w:val="heading 1"/>
    <w:aliases w:val="ECC Heading 1"/>
    <w:basedOn w:val="Normal"/>
    <w:next w:val="ECCParagraph"/>
    <w:autoRedefine/>
    <w:qFormat/>
    <w:rsid w:val="00FE1795"/>
    <w:pPr>
      <w:keepNext/>
      <w:pageBreakBefore/>
      <w:spacing w:before="400" w:after="240"/>
      <w:outlineLvl w:val="0"/>
    </w:pPr>
    <w:rPr>
      <w:rFonts w:cs="Arial"/>
      <w:b/>
      <w:bCs/>
      <w:caps/>
      <w:color w:val="D2232A"/>
      <w:kern w:val="32"/>
      <w:szCs w:val="32"/>
      <w:lang w:val="en-GB"/>
    </w:rPr>
  </w:style>
  <w:style w:type="paragraph" w:styleId="Heading2">
    <w:name w:val="heading 2"/>
    <w:aliases w:val="ECC Heading 2"/>
    <w:basedOn w:val="Normal"/>
    <w:next w:val="ECCParagraph"/>
    <w:autoRedefine/>
    <w:qFormat/>
    <w:rsid w:val="00FE1795"/>
    <w:pPr>
      <w:keepNext/>
      <w:numPr>
        <w:numId w:val="1"/>
      </w:numPr>
      <w:spacing w:before="480" w:after="240"/>
      <w:outlineLvl w:val="1"/>
    </w:pPr>
    <w:rPr>
      <w:rFonts w:cs="Arial"/>
      <w:b/>
      <w:bCs/>
      <w:iCs/>
      <w:caps/>
      <w:color w:val="D2232A"/>
      <w:szCs w:val="28"/>
    </w:rPr>
  </w:style>
  <w:style w:type="paragraph" w:styleId="Heading3">
    <w:name w:val="heading 3"/>
    <w:aliases w:val="ECC Heading 3"/>
    <w:basedOn w:val="Normal"/>
    <w:next w:val="ECCParagraph"/>
    <w:autoRedefine/>
    <w:qFormat/>
    <w:rsid w:val="00FE1795"/>
    <w:pPr>
      <w:keepNext/>
      <w:numPr>
        <w:ilvl w:val="1"/>
        <w:numId w:val="1"/>
      </w:numPr>
      <w:spacing w:before="360" w:after="120"/>
      <w:outlineLvl w:val="2"/>
    </w:pPr>
    <w:rPr>
      <w:rFonts w:cs="Arial"/>
      <w:b/>
      <w:bCs/>
      <w:szCs w:val="26"/>
    </w:rPr>
  </w:style>
  <w:style w:type="paragraph" w:styleId="Heading4">
    <w:name w:val="heading 4"/>
    <w:aliases w:val="ECC Heading 4"/>
    <w:basedOn w:val="Normal"/>
    <w:next w:val="ECCParagraph"/>
    <w:autoRedefine/>
    <w:qFormat/>
    <w:rsid w:val="00C95C7C"/>
    <w:pPr>
      <w:numPr>
        <w:ilvl w:val="3"/>
        <w:numId w:val="1"/>
      </w:numPr>
      <w:spacing w:before="360" w:after="120"/>
      <w:outlineLvl w:val="3"/>
    </w:pPr>
    <w:rPr>
      <w:rFonts w:cs="Arial"/>
      <w:bCs/>
      <w:i/>
      <w:color w:val="D2232A"/>
      <w:szCs w:val="26"/>
    </w:rPr>
  </w:style>
  <w:style w:type="paragraph" w:styleId="Heading5">
    <w:name w:val="heading 5"/>
    <w:basedOn w:val="Normal"/>
    <w:next w:val="Normal"/>
    <w:qFormat/>
    <w:rsid w:val="004F32DC"/>
    <w:pPr>
      <w:numPr>
        <w:ilvl w:val="4"/>
        <w:numId w:val="1"/>
      </w:numPr>
      <w:spacing w:before="240" w:after="60"/>
      <w:outlineLvl w:val="4"/>
    </w:pPr>
    <w:rPr>
      <w:b/>
      <w:bCs/>
      <w:i/>
      <w:iCs/>
      <w:sz w:val="26"/>
      <w:szCs w:val="26"/>
    </w:rPr>
  </w:style>
  <w:style w:type="paragraph" w:styleId="Heading6">
    <w:name w:val="heading 6"/>
    <w:basedOn w:val="Normal"/>
    <w:next w:val="Normal"/>
    <w:qFormat/>
    <w:rsid w:val="004F32DC"/>
    <w:pPr>
      <w:numPr>
        <w:ilvl w:val="5"/>
        <w:numId w:val="1"/>
      </w:numPr>
      <w:spacing w:before="240" w:after="60"/>
      <w:outlineLvl w:val="5"/>
    </w:pPr>
    <w:rPr>
      <w:b/>
      <w:bCs/>
      <w:sz w:val="22"/>
      <w:szCs w:val="22"/>
    </w:rPr>
  </w:style>
  <w:style w:type="paragraph" w:styleId="Heading7">
    <w:name w:val="heading 7"/>
    <w:basedOn w:val="Normal"/>
    <w:next w:val="Normal"/>
    <w:qFormat/>
    <w:rsid w:val="004F32DC"/>
    <w:pPr>
      <w:numPr>
        <w:ilvl w:val="6"/>
        <w:numId w:val="1"/>
      </w:numPr>
      <w:spacing w:before="240" w:after="60"/>
      <w:outlineLvl w:val="6"/>
    </w:pPr>
    <w:rPr>
      <w:sz w:val="24"/>
    </w:rPr>
  </w:style>
  <w:style w:type="paragraph" w:styleId="Heading8">
    <w:name w:val="heading 8"/>
    <w:basedOn w:val="Normal"/>
    <w:next w:val="Normal"/>
    <w:qFormat/>
    <w:rsid w:val="004F32DC"/>
    <w:pPr>
      <w:numPr>
        <w:ilvl w:val="7"/>
        <w:numId w:val="1"/>
      </w:numPr>
      <w:spacing w:before="240" w:after="60"/>
      <w:outlineLvl w:val="7"/>
    </w:pPr>
    <w:rPr>
      <w:i/>
      <w:iCs/>
      <w:sz w:val="24"/>
    </w:rPr>
  </w:style>
  <w:style w:type="paragraph" w:styleId="Heading9">
    <w:name w:val="heading 9"/>
    <w:basedOn w:val="Normal"/>
    <w:next w:val="Normal"/>
    <w:qFormat/>
    <w:rsid w:val="004F32DC"/>
    <w:pPr>
      <w:numPr>
        <w:ilvl w:val="8"/>
        <w:numId w:val="1"/>
      </w:numPr>
      <w:spacing w:before="240" w:after="60"/>
      <w:outlineLvl w:val="8"/>
    </w:pPr>
    <w:rPr>
      <w:rFonts w:cs="Arial"/>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CParagraph">
    <w:name w:val="ECC Paragraph"/>
    <w:basedOn w:val="Normal"/>
    <w:rsid w:val="004E66F0"/>
    <w:pPr>
      <w:spacing w:after="240"/>
      <w:jc w:val="both"/>
    </w:pPr>
    <w:rPr>
      <w:lang w:val="en-GB"/>
    </w:rPr>
  </w:style>
  <w:style w:type="paragraph" w:customStyle="1" w:styleId="ECCParBulleted">
    <w:name w:val="ECC Par Bulleted"/>
    <w:basedOn w:val="ECCParagraph"/>
    <w:rsid w:val="00FE1795"/>
    <w:pPr>
      <w:numPr>
        <w:numId w:val="9"/>
      </w:numPr>
      <w:spacing w:after="120"/>
    </w:pPr>
  </w:style>
  <w:style w:type="paragraph" w:styleId="Header">
    <w:name w:val="header"/>
    <w:basedOn w:val="Normal"/>
    <w:semiHidden/>
    <w:rsid w:val="00C95C7C"/>
    <w:pPr>
      <w:tabs>
        <w:tab w:val="center" w:pos="4320"/>
        <w:tab w:val="right" w:pos="8640"/>
      </w:tabs>
    </w:pPr>
    <w:rPr>
      <w:b/>
      <w:sz w:val="16"/>
    </w:rPr>
  </w:style>
  <w:style w:type="paragraph" w:styleId="Footer">
    <w:name w:val="footer"/>
    <w:basedOn w:val="Normal"/>
    <w:semiHidden/>
    <w:rsid w:val="0077244E"/>
    <w:pPr>
      <w:tabs>
        <w:tab w:val="center" w:pos="4320"/>
        <w:tab w:val="right" w:pos="8640"/>
      </w:tabs>
    </w:pPr>
  </w:style>
  <w:style w:type="paragraph" w:customStyle="1" w:styleId="ECCAnnex-heading1">
    <w:name w:val="ECC Annex - heading1"/>
    <w:basedOn w:val="Heading1"/>
    <w:next w:val="ECCParagraph"/>
    <w:rsid w:val="00031379"/>
    <w:pPr>
      <w:numPr>
        <w:numId w:val="4"/>
      </w:numPr>
    </w:pPr>
  </w:style>
  <w:style w:type="paragraph" w:styleId="TOC1">
    <w:name w:val="toc 1"/>
    <w:basedOn w:val="Normal"/>
    <w:next w:val="Normal"/>
    <w:autoRedefine/>
    <w:semiHidden/>
    <w:rsid w:val="00EA7A83"/>
    <w:pPr>
      <w:tabs>
        <w:tab w:val="left" w:pos="360"/>
        <w:tab w:val="right" w:leader="dot" w:pos="9629"/>
      </w:tabs>
      <w:spacing w:before="240"/>
    </w:pPr>
    <w:rPr>
      <w:b/>
      <w:caps/>
    </w:rPr>
  </w:style>
  <w:style w:type="character" w:styleId="Hyperlink">
    <w:name w:val="Hyperlink"/>
    <w:basedOn w:val="DefaultParagraphFont"/>
    <w:semiHidden/>
    <w:rsid w:val="00A82384"/>
    <w:rPr>
      <w:color w:val="0000FF"/>
      <w:u w:val="single"/>
    </w:rPr>
  </w:style>
  <w:style w:type="paragraph" w:styleId="TOC2">
    <w:name w:val="toc 2"/>
    <w:basedOn w:val="Normal"/>
    <w:next w:val="Normal"/>
    <w:autoRedefine/>
    <w:semiHidden/>
    <w:rsid w:val="00EA7A83"/>
    <w:pPr>
      <w:tabs>
        <w:tab w:val="left" w:pos="900"/>
        <w:tab w:val="right" w:leader="dot" w:pos="9629"/>
      </w:tabs>
      <w:ind w:left="360"/>
    </w:pPr>
  </w:style>
  <w:style w:type="paragraph" w:styleId="TOC3">
    <w:name w:val="toc 3"/>
    <w:basedOn w:val="Normal"/>
    <w:next w:val="Normal"/>
    <w:autoRedefine/>
    <w:semiHidden/>
    <w:rsid w:val="00CF7259"/>
    <w:pPr>
      <w:tabs>
        <w:tab w:val="left" w:pos="1440"/>
        <w:tab w:val="right" w:leader="dot" w:pos="9629"/>
      </w:tabs>
      <w:ind w:left="900"/>
    </w:pPr>
  </w:style>
  <w:style w:type="paragraph" w:styleId="TOC4">
    <w:name w:val="toc 4"/>
    <w:basedOn w:val="Normal"/>
    <w:next w:val="Normal"/>
    <w:autoRedefine/>
    <w:semiHidden/>
    <w:rsid w:val="007D1E37"/>
    <w:pPr>
      <w:tabs>
        <w:tab w:val="left" w:pos="2340"/>
        <w:tab w:val="right" w:leader="dot" w:pos="9629"/>
      </w:tabs>
      <w:ind w:left="1440"/>
    </w:pPr>
    <w:rPr>
      <w:i/>
    </w:rPr>
  </w:style>
  <w:style w:type="table" w:styleId="TableGrid">
    <w:name w:val="Table Grid"/>
    <w:basedOn w:val="TableNormal"/>
    <w:semiHidden/>
    <w:rsid w:val="006F49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CFiguretitle">
    <w:name w:val="ECC Figure title"/>
    <w:basedOn w:val="ECCParagraph"/>
    <w:next w:val="ECCParagraph"/>
    <w:rsid w:val="00C95C7C"/>
    <w:pPr>
      <w:numPr>
        <w:numId w:val="3"/>
      </w:numPr>
      <w:spacing w:before="240" w:after="480"/>
      <w:jc w:val="center"/>
    </w:pPr>
    <w:rPr>
      <w:b/>
      <w:color w:val="D2232A"/>
    </w:rPr>
  </w:style>
  <w:style w:type="paragraph" w:customStyle="1" w:styleId="ECCTabletitle">
    <w:name w:val="ECC Table title"/>
    <w:basedOn w:val="ECCFiguretitle"/>
    <w:next w:val="ECCParagraph"/>
    <w:autoRedefine/>
    <w:rsid w:val="00C95C7C"/>
    <w:pPr>
      <w:numPr>
        <w:numId w:val="2"/>
      </w:numPr>
      <w:spacing w:before="360" w:after="240"/>
    </w:pPr>
  </w:style>
  <w:style w:type="paragraph" w:customStyle="1" w:styleId="ECCFootnote">
    <w:name w:val="ECC Footnote"/>
    <w:basedOn w:val="Normal"/>
    <w:autoRedefine/>
    <w:rsid w:val="008935B9"/>
    <w:pPr>
      <w:ind w:left="454" w:hanging="454"/>
    </w:pPr>
    <w:rPr>
      <w:sz w:val="16"/>
    </w:rPr>
  </w:style>
  <w:style w:type="paragraph" w:styleId="FootnoteText">
    <w:name w:val="footnote text"/>
    <w:basedOn w:val="Normal"/>
    <w:semiHidden/>
    <w:rsid w:val="008935B9"/>
    <w:rPr>
      <w:szCs w:val="20"/>
    </w:rPr>
  </w:style>
  <w:style w:type="character" w:styleId="FootnoteReference">
    <w:name w:val="footnote reference"/>
    <w:basedOn w:val="DefaultParagraphFont"/>
    <w:semiHidden/>
    <w:rsid w:val="008935B9"/>
    <w:rPr>
      <w:vertAlign w:val="superscript"/>
    </w:rPr>
  </w:style>
  <w:style w:type="paragraph" w:customStyle="1" w:styleId="Text">
    <w:name w:val="Text"/>
    <w:basedOn w:val="Normal"/>
    <w:rsid w:val="001F7826"/>
    <w:pPr>
      <w:widowControl w:val="0"/>
      <w:autoSpaceDE w:val="0"/>
      <w:autoSpaceDN w:val="0"/>
      <w:spacing w:line="252" w:lineRule="auto"/>
      <w:ind w:firstLine="202"/>
      <w:jc w:val="both"/>
    </w:pPr>
    <w:rPr>
      <w:szCs w:val="20"/>
    </w:rPr>
  </w:style>
  <w:style w:type="paragraph" w:customStyle="1" w:styleId="ECCTablenote">
    <w:name w:val="ECC Table note"/>
    <w:basedOn w:val="ECCParagraph"/>
    <w:next w:val="ECCParagraph"/>
    <w:autoRedefine/>
    <w:rsid w:val="0031313E"/>
    <w:pPr>
      <w:spacing w:after="0"/>
      <w:ind w:left="284" w:hanging="284"/>
    </w:pPr>
    <w:rPr>
      <w:sz w:val="16"/>
      <w:szCs w:val="16"/>
    </w:rPr>
  </w:style>
  <w:style w:type="paragraph" w:customStyle="1" w:styleId="reference">
    <w:name w:val="reference"/>
    <w:basedOn w:val="Normal"/>
    <w:rsid w:val="00A50B64"/>
    <w:pPr>
      <w:numPr>
        <w:numId w:val="8"/>
      </w:numPr>
    </w:pPr>
    <w:rPr>
      <w:lang w:eastAsia="ja-JP"/>
    </w:rPr>
  </w:style>
  <w:style w:type="paragraph" w:customStyle="1" w:styleId="ECCAnnexheading2">
    <w:name w:val="ECC Annex heading2"/>
    <w:basedOn w:val="Normal"/>
    <w:next w:val="ECCParagraph"/>
    <w:rsid w:val="00C95C7C"/>
    <w:pPr>
      <w:numPr>
        <w:ilvl w:val="1"/>
        <w:numId w:val="4"/>
      </w:numPr>
      <w:overflowPunct w:val="0"/>
      <w:autoSpaceDE w:val="0"/>
      <w:autoSpaceDN w:val="0"/>
      <w:adjustRightInd w:val="0"/>
      <w:spacing w:before="480" w:after="240"/>
      <w:textAlignment w:val="baseline"/>
    </w:pPr>
    <w:rPr>
      <w:b/>
      <w:caps/>
    </w:rPr>
  </w:style>
  <w:style w:type="paragraph" w:customStyle="1" w:styleId="ECCAnnexheading3">
    <w:name w:val="ECC Annex heading3"/>
    <w:basedOn w:val="Normal"/>
    <w:next w:val="ECCParagraph"/>
    <w:rsid w:val="00FA5088"/>
    <w:pPr>
      <w:numPr>
        <w:ilvl w:val="2"/>
        <w:numId w:val="4"/>
      </w:numPr>
      <w:overflowPunct w:val="0"/>
      <w:autoSpaceDE w:val="0"/>
      <w:autoSpaceDN w:val="0"/>
      <w:adjustRightInd w:val="0"/>
      <w:spacing w:before="360" w:after="120"/>
      <w:textAlignment w:val="baseline"/>
    </w:pPr>
    <w:rPr>
      <w:b/>
    </w:rPr>
  </w:style>
  <w:style w:type="paragraph" w:customStyle="1" w:styleId="ECCAnnexheading4">
    <w:name w:val="ECC Annex heading4"/>
    <w:basedOn w:val="Normal"/>
    <w:next w:val="ECCParagraph"/>
    <w:rsid w:val="00C95C7C"/>
    <w:pPr>
      <w:numPr>
        <w:ilvl w:val="3"/>
        <w:numId w:val="4"/>
      </w:numPr>
      <w:overflowPunct w:val="0"/>
      <w:autoSpaceDE w:val="0"/>
      <w:autoSpaceDN w:val="0"/>
      <w:adjustRightInd w:val="0"/>
      <w:spacing w:before="360" w:after="120"/>
      <w:textAlignment w:val="baseline"/>
    </w:pPr>
    <w:rPr>
      <w:i/>
      <w:color w:val="D2232A"/>
    </w:rPr>
  </w:style>
  <w:style w:type="paragraph" w:styleId="BodyTextIndent">
    <w:name w:val="Body Text Indent"/>
    <w:basedOn w:val="Normal"/>
    <w:rsid w:val="00FE1795"/>
    <w:rPr>
      <w:rFonts w:ascii="Times New Roman" w:hAnsi="Times New Roman"/>
      <w:sz w:val="24"/>
      <w:lang w:val="de-DE" w:eastAsia="en-GB"/>
    </w:rPr>
  </w:style>
  <w:style w:type="paragraph" w:customStyle="1" w:styleId="Reporttitledescription">
    <w:name w:val="Report title/description"/>
    <w:basedOn w:val="Normal"/>
    <w:rsid w:val="00C95C7C"/>
    <w:pPr>
      <w:spacing w:before="600" w:line="288" w:lineRule="auto"/>
      <w:ind w:left="3402"/>
    </w:pPr>
    <w:rPr>
      <w:color w:val="57433E"/>
      <w:sz w:val="24"/>
    </w:rPr>
  </w:style>
  <w:style w:type="paragraph" w:customStyle="1" w:styleId="Lastupdated">
    <w:name w:val="Last updated"/>
    <w:basedOn w:val="Normal"/>
    <w:rsid w:val="00FE1795"/>
    <w:pPr>
      <w:spacing w:before="120" w:after="120"/>
      <w:ind w:left="3402"/>
    </w:pPr>
    <w:rPr>
      <w:bCs/>
      <w:sz w:val="18"/>
    </w:rPr>
  </w:style>
  <w:style w:type="numbering" w:customStyle="1" w:styleId="Letteredlist0">
    <w:name w:val="Lettered list"/>
    <w:rsid w:val="00FE1795"/>
    <w:pPr>
      <w:numPr>
        <w:numId w:val="6"/>
      </w:numPr>
    </w:pPr>
  </w:style>
  <w:style w:type="paragraph" w:customStyle="1" w:styleId="WGNNA-bulleted">
    <w:name w:val="WGNNA-bulleted"/>
    <w:basedOn w:val="Normal"/>
    <w:rsid w:val="00FE1795"/>
    <w:pPr>
      <w:numPr>
        <w:numId w:val="7"/>
      </w:numPr>
      <w:spacing w:after="120"/>
      <w:jc w:val="both"/>
    </w:pPr>
    <w:rPr>
      <w:rFonts w:ascii="Times New Roman" w:hAnsi="Times New Roman"/>
      <w:sz w:val="24"/>
      <w:lang w:val="fr-FR" w:eastAsia="fr-FR"/>
    </w:rPr>
  </w:style>
  <w:style w:type="paragraph" w:customStyle="1" w:styleId="LetteredList">
    <w:name w:val="Lettered List"/>
    <w:basedOn w:val="Normal"/>
    <w:rsid w:val="00044EDB"/>
    <w:pPr>
      <w:numPr>
        <w:numId w:val="12"/>
      </w:numPr>
      <w:spacing w:after="120"/>
      <w:jc w:val="both"/>
    </w:pPr>
  </w:style>
  <w:style w:type="paragraph" w:customStyle="1" w:styleId="NumberedList">
    <w:name w:val="Numbered List"/>
    <w:basedOn w:val="ECCParagraph"/>
    <w:rsid w:val="007C6571"/>
    <w:pPr>
      <w:numPr>
        <w:numId w:val="15"/>
      </w:numPr>
    </w:pPr>
  </w:style>
  <w:style w:type="numbering" w:customStyle="1" w:styleId="ECCNumbers-Letters">
    <w:name w:val="ECC Numbers-Letters"/>
    <w:uiPriority w:val="99"/>
    <w:rsid w:val="007C6571"/>
    <w:pPr>
      <w:numPr>
        <w:numId w:val="14"/>
      </w:numPr>
    </w:pPr>
  </w:style>
  <w:style w:type="numbering" w:customStyle="1" w:styleId="ECCNumberedList">
    <w:name w:val="ECC Numbered List"/>
    <w:uiPriority w:val="99"/>
    <w:rsid w:val="007C6571"/>
    <w:pPr>
      <w:numPr>
        <w:numId w:val="15"/>
      </w:numPr>
    </w:pPr>
  </w:style>
  <w:style w:type="paragraph" w:customStyle="1" w:styleId="ECCNumbered-LetteredList">
    <w:name w:val="ECC Numbered-Lettered List"/>
    <w:basedOn w:val="Normal"/>
    <w:rsid w:val="007C6571"/>
    <w:pPr>
      <w:numPr>
        <w:numId w:val="14"/>
      </w:numPr>
    </w:pPr>
  </w:style>
  <w:style w:type="paragraph" w:styleId="BalloonText">
    <w:name w:val="Balloon Text"/>
    <w:basedOn w:val="Normal"/>
    <w:link w:val="BalloonTextChar"/>
    <w:uiPriority w:val="99"/>
    <w:semiHidden/>
    <w:unhideWhenUsed/>
    <w:rsid w:val="007C657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C6571"/>
    <w:rPr>
      <w:rFonts w:ascii="Lucida Grande" w:hAnsi="Lucida Grande" w:cs="Lucida Grande"/>
      <w:sz w:val="18"/>
      <w:szCs w:val="18"/>
      <w:lang w:val="en-US"/>
    </w:rPr>
  </w:style>
  <w:style w:type="paragraph" w:styleId="BodyText">
    <w:name w:val="Body Text"/>
    <w:basedOn w:val="Normal"/>
    <w:link w:val="BodyTextChar"/>
    <w:rsid w:val="00E65E22"/>
    <w:pPr>
      <w:autoSpaceDE w:val="0"/>
      <w:autoSpaceDN w:val="0"/>
      <w:spacing w:after="120"/>
    </w:pPr>
    <w:rPr>
      <w:rFonts w:ascii="Times New Roman" w:hAnsi="Times New Roman"/>
      <w:sz w:val="24"/>
      <w:lang w:val="en-GB" w:eastAsia="nl-NL"/>
    </w:rPr>
  </w:style>
  <w:style w:type="character" w:customStyle="1" w:styleId="BodyTextChar">
    <w:name w:val="Body Text Char"/>
    <w:basedOn w:val="DefaultParagraphFont"/>
    <w:link w:val="BodyText"/>
    <w:rsid w:val="00E65E22"/>
    <w:rPr>
      <w:sz w:val="24"/>
      <w:szCs w:val="24"/>
      <w:lang w:eastAsia="nl-NL"/>
    </w:rPr>
  </w:style>
  <w:style w:type="paragraph" w:styleId="ListParagraph">
    <w:name w:val="List Paragraph"/>
    <w:basedOn w:val="Normal"/>
    <w:uiPriority w:val="34"/>
    <w:qFormat/>
    <w:rsid w:val="00E65E22"/>
    <w:pPr>
      <w:ind w:left="720"/>
      <w:contextualSpacing/>
    </w:pPr>
  </w:style>
  <w:style w:type="paragraph" w:customStyle="1" w:styleId="Tablelegend">
    <w:name w:val="Table_legend"/>
    <w:basedOn w:val="Normal"/>
    <w:link w:val="TablelegendChar"/>
    <w:rsid w:val="007E6EDB"/>
    <w:pPr>
      <w:tabs>
        <w:tab w:val="left" w:pos="284"/>
        <w:tab w:val="left" w:pos="1134"/>
        <w:tab w:val="left" w:pos="1871"/>
        <w:tab w:val="left" w:pos="2268"/>
      </w:tabs>
      <w:overflowPunct w:val="0"/>
      <w:autoSpaceDE w:val="0"/>
      <w:autoSpaceDN w:val="0"/>
      <w:adjustRightInd w:val="0"/>
      <w:spacing w:before="120"/>
      <w:jc w:val="both"/>
      <w:textAlignment w:val="baseline"/>
    </w:pPr>
    <w:rPr>
      <w:rFonts w:ascii="Times New Roman" w:hAnsi="Times New Roman"/>
      <w:szCs w:val="20"/>
      <w:lang w:val="en-GB"/>
    </w:rPr>
  </w:style>
  <w:style w:type="character" w:customStyle="1" w:styleId="TablelegendChar">
    <w:name w:val="Table_legend Char"/>
    <w:basedOn w:val="DefaultParagraphFont"/>
    <w:link w:val="Tablelegend"/>
    <w:rsid w:val="007E6EDB"/>
  </w:style>
  <w:style w:type="character" w:styleId="CommentReference">
    <w:name w:val="annotation reference"/>
    <w:basedOn w:val="DefaultParagraphFont"/>
    <w:uiPriority w:val="99"/>
    <w:semiHidden/>
    <w:unhideWhenUsed/>
    <w:rsid w:val="00EB79B9"/>
    <w:rPr>
      <w:sz w:val="16"/>
      <w:szCs w:val="16"/>
    </w:rPr>
  </w:style>
  <w:style w:type="paragraph" w:styleId="CommentText">
    <w:name w:val="annotation text"/>
    <w:basedOn w:val="Normal"/>
    <w:link w:val="CommentTextChar"/>
    <w:uiPriority w:val="99"/>
    <w:semiHidden/>
    <w:unhideWhenUsed/>
    <w:rsid w:val="00EB79B9"/>
    <w:rPr>
      <w:szCs w:val="20"/>
    </w:rPr>
  </w:style>
  <w:style w:type="character" w:customStyle="1" w:styleId="CommentTextChar">
    <w:name w:val="Comment Text Char"/>
    <w:basedOn w:val="DefaultParagraphFont"/>
    <w:link w:val="CommentText"/>
    <w:uiPriority w:val="99"/>
    <w:semiHidden/>
    <w:rsid w:val="00EB79B9"/>
    <w:rPr>
      <w:rFonts w:ascii="Arial" w:hAnsi="Arial"/>
      <w:lang w:val="en-US"/>
    </w:rPr>
  </w:style>
  <w:style w:type="paragraph" w:styleId="CommentSubject">
    <w:name w:val="annotation subject"/>
    <w:basedOn w:val="CommentText"/>
    <w:next w:val="CommentText"/>
    <w:link w:val="CommentSubjectChar"/>
    <w:uiPriority w:val="99"/>
    <w:semiHidden/>
    <w:unhideWhenUsed/>
    <w:rsid w:val="007474B2"/>
    <w:rPr>
      <w:b/>
      <w:bCs/>
    </w:rPr>
  </w:style>
  <w:style w:type="character" w:customStyle="1" w:styleId="CommentSubjectChar">
    <w:name w:val="Comment Subject Char"/>
    <w:basedOn w:val="CommentTextChar"/>
    <w:link w:val="CommentSubject"/>
    <w:uiPriority w:val="99"/>
    <w:semiHidden/>
    <w:rsid w:val="007474B2"/>
    <w:rPr>
      <w:rFonts w:ascii="Arial" w:hAnsi="Arial"/>
      <w:b/>
      <w:bCs/>
      <w:lang w:val="en-US"/>
    </w:rPr>
  </w:style>
  <w:style w:type="character" w:styleId="Emphasis">
    <w:name w:val="Emphasis"/>
    <w:basedOn w:val="DefaultParagraphFont"/>
    <w:uiPriority w:val="20"/>
    <w:qFormat/>
    <w:rsid w:val="002D3591"/>
    <w:rPr>
      <w:i/>
      <w:iCs/>
    </w:rPr>
  </w:style>
  <w:style w:type="character" w:styleId="Strong">
    <w:name w:val="Strong"/>
    <w:basedOn w:val="DefaultParagraphFont"/>
    <w:uiPriority w:val="22"/>
    <w:qFormat/>
    <w:rsid w:val="00FB1F9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5C7C"/>
    <w:rPr>
      <w:rFonts w:ascii="Arial" w:hAnsi="Arial"/>
      <w:szCs w:val="24"/>
      <w:lang w:val="en-US"/>
    </w:rPr>
  </w:style>
  <w:style w:type="paragraph" w:styleId="Heading1">
    <w:name w:val="heading 1"/>
    <w:aliases w:val="ECC Heading 1"/>
    <w:basedOn w:val="Normal"/>
    <w:next w:val="ECCParagraph"/>
    <w:autoRedefine/>
    <w:qFormat/>
    <w:rsid w:val="00FE1795"/>
    <w:pPr>
      <w:keepNext/>
      <w:pageBreakBefore/>
      <w:spacing w:before="400" w:after="240"/>
      <w:outlineLvl w:val="0"/>
    </w:pPr>
    <w:rPr>
      <w:rFonts w:cs="Arial"/>
      <w:b/>
      <w:bCs/>
      <w:caps/>
      <w:color w:val="D2232A"/>
      <w:kern w:val="32"/>
      <w:szCs w:val="32"/>
      <w:lang w:val="en-GB"/>
    </w:rPr>
  </w:style>
  <w:style w:type="paragraph" w:styleId="Heading2">
    <w:name w:val="heading 2"/>
    <w:aliases w:val="ECC Heading 2"/>
    <w:basedOn w:val="Normal"/>
    <w:next w:val="ECCParagraph"/>
    <w:autoRedefine/>
    <w:qFormat/>
    <w:rsid w:val="00FE1795"/>
    <w:pPr>
      <w:keepNext/>
      <w:numPr>
        <w:numId w:val="1"/>
      </w:numPr>
      <w:spacing w:before="480" w:after="240"/>
      <w:outlineLvl w:val="1"/>
    </w:pPr>
    <w:rPr>
      <w:rFonts w:cs="Arial"/>
      <w:b/>
      <w:bCs/>
      <w:iCs/>
      <w:caps/>
      <w:color w:val="D2232A"/>
      <w:szCs w:val="28"/>
    </w:rPr>
  </w:style>
  <w:style w:type="paragraph" w:styleId="Heading3">
    <w:name w:val="heading 3"/>
    <w:aliases w:val="ECC Heading 3"/>
    <w:basedOn w:val="Normal"/>
    <w:next w:val="ECCParagraph"/>
    <w:autoRedefine/>
    <w:qFormat/>
    <w:rsid w:val="00FE1795"/>
    <w:pPr>
      <w:keepNext/>
      <w:numPr>
        <w:ilvl w:val="1"/>
        <w:numId w:val="1"/>
      </w:numPr>
      <w:spacing w:before="360" w:after="120"/>
      <w:outlineLvl w:val="2"/>
    </w:pPr>
    <w:rPr>
      <w:rFonts w:cs="Arial"/>
      <w:b/>
      <w:bCs/>
      <w:szCs w:val="26"/>
    </w:rPr>
  </w:style>
  <w:style w:type="paragraph" w:styleId="Heading4">
    <w:name w:val="heading 4"/>
    <w:aliases w:val="ECC Heading 4"/>
    <w:basedOn w:val="Normal"/>
    <w:next w:val="ECCParagraph"/>
    <w:autoRedefine/>
    <w:qFormat/>
    <w:rsid w:val="00C95C7C"/>
    <w:pPr>
      <w:numPr>
        <w:ilvl w:val="3"/>
        <w:numId w:val="1"/>
      </w:numPr>
      <w:spacing w:before="360" w:after="120"/>
      <w:outlineLvl w:val="3"/>
    </w:pPr>
    <w:rPr>
      <w:rFonts w:cs="Arial"/>
      <w:bCs/>
      <w:i/>
      <w:color w:val="D2232A"/>
      <w:szCs w:val="26"/>
    </w:rPr>
  </w:style>
  <w:style w:type="paragraph" w:styleId="Heading5">
    <w:name w:val="heading 5"/>
    <w:basedOn w:val="Normal"/>
    <w:next w:val="Normal"/>
    <w:qFormat/>
    <w:rsid w:val="004F32DC"/>
    <w:pPr>
      <w:numPr>
        <w:ilvl w:val="4"/>
        <w:numId w:val="1"/>
      </w:numPr>
      <w:spacing w:before="240" w:after="60"/>
      <w:outlineLvl w:val="4"/>
    </w:pPr>
    <w:rPr>
      <w:b/>
      <w:bCs/>
      <w:i/>
      <w:iCs/>
      <w:sz w:val="26"/>
      <w:szCs w:val="26"/>
    </w:rPr>
  </w:style>
  <w:style w:type="paragraph" w:styleId="Heading6">
    <w:name w:val="heading 6"/>
    <w:basedOn w:val="Normal"/>
    <w:next w:val="Normal"/>
    <w:qFormat/>
    <w:rsid w:val="004F32DC"/>
    <w:pPr>
      <w:numPr>
        <w:ilvl w:val="5"/>
        <w:numId w:val="1"/>
      </w:numPr>
      <w:spacing w:before="240" w:after="60"/>
      <w:outlineLvl w:val="5"/>
    </w:pPr>
    <w:rPr>
      <w:b/>
      <w:bCs/>
      <w:sz w:val="22"/>
      <w:szCs w:val="22"/>
    </w:rPr>
  </w:style>
  <w:style w:type="paragraph" w:styleId="Heading7">
    <w:name w:val="heading 7"/>
    <w:basedOn w:val="Normal"/>
    <w:next w:val="Normal"/>
    <w:qFormat/>
    <w:rsid w:val="004F32DC"/>
    <w:pPr>
      <w:numPr>
        <w:ilvl w:val="6"/>
        <w:numId w:val="1"/>
      </w:numPr>
      <w:spacing w:before="240" w:after="60"/>
      <w:outlineLvl w:val="6"/>
    </w:pPr>
    <w:rPr>
      <w:sz w:val="24"/>
    </w:rPr>
  </w:style>
  <w:style w:type="paragraph" w:styleId="Heading8">
    <w:name w:val="heading 8"/>
    <w:basedOn w:val="Normal"/>
    <w:next w:val="Normal"/>
    <w:qFormat/>
    <w:rsid w:val="004F32DC"/>
    <w:pPr>
      <w:numPr>
        <w:ilvl w:val="7"/>
        <w:numId w:val="1"/>
      </w:numPr>
      <w:spacing w:before="240" w:after="60"/>
      <w:outlineLvl w:val="7"/>
    </w:pPr>
    <w:rPr>
      <w:i/>
      <w:iCs/>
      <w:sz w:val="24"/>
    </w:rPr>
  </w:style>
  <w:style w:type="paragraph" w:styleId="Heading9">
    <w:name w:val="heading 9"/>
    <w:basedOn w:val="Normal"/>
    <w:next w:val="Normal"/>
    <w:qFormat/>
    <w:rsid w:val="004F32DC"/>
    <w:pPr>
      <w:numPr>
        <w:ilvl w:val="8"/>
        <w:numId w:val="1"/>
      </w:numPr>
      <w:spacing w:before="240" w:after="60"/>
      <w:outlineLvl w:val="8"/>
    </w:pPr>
    <w:rPr>
      <w:rFonts w:cs="Arial"/>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CParagraph">
    <w:name w:val="ECC Paragraph"/>
    <w:basedOn w:val="Normal"/>
    <w:rsid w:val="004E66F0"/>
    <w:pPr>
      <w:spacing w:after="240"/>
      <w:jc w:val="both"/>
    </w:pPr>
    <w:rPr>
      <w:lang w:val="en-GB"/>
    </w:rPr>
  </w:style>
  <w:style w:type="paragraph" w:customStyle="1" w:styleId="ECCParBulleted">
    <w:name w:val="ECC Par Bulleted"/>
    <w:basedOn w:val="ECCParagraph"/>
    <w:rsid w:val="00FE1795"/>
    <w:pPr>
      <w:numPr>
        <w:numId w:val="9"/>
      </w:numPr>
      <w:spacing w:after="120"/>
    </w:pPr>
  </w:style>
  <w:style w:type="paragraph" w:styleId="Header">
    <w:name w:val="header"/>
    <w:basedOn w:val="Normal"/>
    <w:semiHidden/>
    <w:rsid w:val="00C95C7C"/>
    <w:pPr>
      <w:tabs>
        <w:tab w:val="center" w:pos="4320"/>
        <w:tab w:val="right" w:pos="8640"/>
      </w:tabs>
    </w:pPr>
    <w:rPr>
      <w:b/>
      <w:sz w:val="16"/>
    </w:rPr>
  </w:style>
  <w:style w:type="paragraph" w:styleId="Footer">
    <w:name w:val="footer"/>
    <w:basedOn w:val="Normal"/>
    <w:semiHidden/>
    <w:rsid w:val="0077244E"/>
    <w:pPr>
      <w:tabs>
        <w:tab w:val="center" w:pos="4320"/>
        <w:tab w:val="right" w:pos="8640"/>
      </w:tabs>
    </w:pPr>
  </w:style>
  <w:style w:type="paragraph" w:customStyle="1" w:styleId="ECCAnnex-heading1">
    <w:name w:val="ECC Annex - heading1"/>
    <w:basedOn w:val="Heading1"/>
    <w:next w:val="ECCParagraph"/>
    <w:rsid w:val="00031379"/>
    <w:pPr>
      <w:numPr>
        <w:numId w:val="4"/>
      </w:numPr>
    </w:pPr>
  </w:style>
  <w:style w:type="paragraph" w:styleId="TOC1">
    <w:name w:val="toc 1"/>
    <w:basedOn w:val="Normal"/>
    <w:next w:val="Normal"/>
    <w:autoRedefine/>
    <w:semiHidden/>
    <w:rsid w:val="00EA7A83"/>
    <w:pPr>
      <w:tabs>
        <w:tab w:val="left" w:pos="360"/>
        <w:tab w:val="right" w:leader="dot" w:pos="9629"/>
      </w:tabs>
      <w:spacing w:before="240"/>
    </w:pPr>
    <w:rPr>
      <w:b/>
      <w:caps/>
    </w:rPr>
  </w:style>
  <w:style w:type="character" w:styleId="Hyperlink">
    <w:name w:val="Hyperlink"/>
    <w:basedOn w:val="DefaultParagraphFont"/>
    <w:semiHidden/>
    <w:rsid w:val="00A82384"/>
    <w:rPr>
      <w:color w:val="0000FF"/>
      <w:u w:val="single"/>
    </w:rPr>
  </w:style>
  <w:style w:type="paragraph" w:styleId="TOC2">
    <w:name w:val="toc 2"/>
    <w:basedOn w:val="Normal"/>
    <w:next w:val="Normal"/>
    <w:autoRedefine/>
    <w:semiHidden/>
    <w:rsid w:val="00EA7A83"/>
    <w:pPr>
      <w:tabs>
        <w:tab w:val="left" w:pos="900"/>
        <w:tab w:val="right" w:leader="dot" w:pos="9629"/>
      </w:tabs>
      <w:ind w:left="360"/>
    </w:pPr>
  </w:style>
  <w:style w:type="paragraph" w:styleId="TOC3">
    <w:name w:val="toc 3"/>
    <w:basedOn w:val="Normal"/>
    <w:next w:val="Normal"/>
    <w:autoRedefine/>
    <w:semiHidden/>
    <w:rsid w:val="00CF7259"/>
    <w:pPr>
      <w:tabs>
        <w:tab w:val="left" w:pos="1440"/>
        <w:tab w:val="right" w:leader="dot" w:pos="9629"/>
      </w:tabs>
      <w:ind w:left="900"/>
    </w:pPr>
  </w:style>
  <w:style w:type="paragraph" w:styleId="TOC4">
    <w:name w:val="toc 4"/>
    <w:basedOn w:val="Normal"/>
    <w:next w:val="Normal"/>
    <w:autoRedefine/>
    <w:semiHidden/>
    <w:rsid w:val="007D1E37"/>
    <w:pPr>
      <w:tabs>
        <w:tab w:val="left" w:pos="2340"/>
        <w:tab w:val="right" w:leader="dot" w:pos="9629"/>
      </w:tabs>
      <w:ind w:left="1440"/>
    </w:pPr>
    <w:rPr>
      <w:i/>
    </w:rPr>
  </w:style>
  <w:style w:type="table" w:styleId="TableGrid">
    <w:name w:val="Table Grid"/>
    <w:basedOn w:val="TableNormal"/>
    <w:semiHidden/>
    <w:rsid w:val="006F49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CFiguretitle">
    <w:name w:val="ECC Figure title"/>
    <w:basedOn w:val="ECCParagraph"/>
    <w:next w:val="ECCParagraph"/>
    <w:rsid w:val="00C95C7C"/>
    <w:pPr>
      <w:numPr>
        <w:numId w:val="3"/>
      </w:numPr>
      <w:spacing w:before="240" w:after="480"/>
      <w:jc w:val="center"/>
    </w:pPr>
    <w:rPr>
      <w:b/>
      <w:color w:val="D2232A"/>
    </w:rPr>
  </w:style>
  <w:style w:type="paragraph" w:customStyle="1" w:styleId="ECCTabletitle">
    <w:name w:val="ECC Table title"/>
    <w:basedOn w:val="ECCFiguretitle"/>
    <w:next w:val="ECCParagraph"/>
    <w:autoRedefine/>
    <w:rsid w:val="00C95C7C"/>
    <w:pPr>
      <w:numPr>
        <w:numId w:val="2"/>
      </w:numPr>
      <w:spacing w:before="360" w:after="240"/>
    </w:pPr>
  </w:style>
  <w:style w:type="paragraph" w:customStyle="1" w:styleId="ECCFootnote">
    <w:name w:val="ECC Footnote"/>
    <w:basedOn w:val="Normal"/>
    <w:autoRedefine/>
    <w:rsid w:val="008935B9"/>
    <w:pPr>
      <w:ind w:left="454" w:hanging="454"/>
    </w:pPr>
    <w:rPr>
      <w:sz w:val="16"/>
    </w:rPr>
  </w:style>
  <w:style w:type="paragraph" w:styleId="FootnoteText">
    <w:name w:val="footnote text"/>
    <w:basedOn w:val="Normal"/>
    <w:semiHidden/>
    <w:rsid w:val="008935B9"/>
    <w:rPr>
      <w:szCs w:val="20"/>
    </w:rPr>
  </w:style>
  <w:style w:type="character" w:styleId="FootnoteReference">
    <w:name w:val="footnote reference"/>
    <w:basedOn w:val="DefaultParagraphFont"/>
    <w:semiHidden/>
    <w:rsid w:val="008935B9"/>
    <w:rPr>
      <w:vertAlign w:val="superscript"/>
    </w:rPr>
  </w:style>
  <w:style w:type="paragraph" w:customStyle="1" w:styleId="Text">
    <w:name w:val="Text"/>
    <w:basedOn w:val="Normal"/>
    <w:rsid w:val="001F7826"/>
    <w:pPr>
      <w:widowControl w:val="0"/>
      <w:autoSpaceDE w:val="0"/>
      <w:autoSpaceDN w:val="0"/>
      <w:spacing w:line="252" w:lineRule="auto"/>
      <w:ind w:firstLine="202"/>
      <w:jc w:val="both"/>
    </w:pPr>
    <w:rPr>
      <w:szCs w:val="20"/>
    </w:rPr>
  </w:style>
  <w:style w:type="paragraph" w:customStyle="1" w:styleId="ECCTablenote">
    <w:name w:val="ECC Table note"/>
    <w:basedOn w:val="ECCParagraph"/>
    <w:next w:val="ECCParagraph"/>
    <w:autoRedefine/>
    <w:rsid w:val="0031313E"/>
    <w:pPr>
      <w:spacing w:after="0"/>
      <w:ind w:left="284" w:hanging="284"/>
    </w:pPr>
    <w:rPr>
      <w:sz w:val="16"/>
      <w:szCs w:val="16"/>
    </w:rPr>
  </w:style>
  <w:style w:type="paragraph" w:customStyle="1" w:styleId="reference">
    <w:name w:val="reference"/>
    <w:basedOn w:val="Normal"/>
    <w:rsid w:val="00A50B64"/>
    <w:pPr>
      <w:numPr>
        <w:numId w:val="8"/>
      </w:numPr>
    </w:pPr>
    <w:rPr>
      <w:lang w:eastAsia="ja-JP"/>
    </w:rPr>
  </w:style>
  <w:style w:type="paragraph" w:customStyle="1" w:styleId="ECCAnnexheading2">
    <w:name w:val="ECC Annex heading2"/>
    <w:basedOn w:val="Normal"/>
    <w:next w:val="ECCParagraph"/>
    <w:rsid w:val="00C95C7C"/>
    <w:pPr>
      <w:numPr>
        <w:ilvl w:val="1"/>
        <w:numId w:val="4"/>
      </w:numPr>
      <w:overflowPunct w:val="0"/>
      <w:autoSpaceDE w:val="0"/>
      <w:autoSpaceDN w:val="0"/>
      <w:adjustRightInd w:val="0"/>
      <w:spacing w:before="480" w:after="240"/>
      <w:textAlignment w:val="baseline"/>
    </w:pPr>
    <w:rPr>
      <w:b/>
      <w:caps/>
    </w:rPr>
  </w:style>
  <w:style w:type="paragraph" w:customStyle="1" w:styleId="ECCAnnexheading3">
    <w:name w:val="ECC Annex heading3"/>
    <w:basedOn w:val="Normal"/>
    <w:next w:val="ECCParagraph"/>
    <w:rsid w:val="00FA5088"/>
    <w:pPr>
      <w:numPr>
        <w:ilvl w:val="2"/>
        <w:numId w:val="4"/>
      </w:numPr>
      <w:overflowPunct w:val="0"/>
      <w:autoSpaceDE w:val="0"/>
      <w:autoSpaceDN w:val="0"/>
      <w:adjustRightInd w:val="0"/>
      <w:spacing w:before="360" w:after="120"/>
      <w:textAlignment w:val="baseline"/>
    </w:pPr>
    <w:rPr>
      <w:b/>
    </w:rPr>
  </w:style>
  <w:style w:type="paragraph" w:customStyle="1" w:styleId="ECCAnnexheading4">
    <w:name w:val="ECC Annex heading4"/>
    <w:basedOn w:val="Normal"/>
    <w:next w:val="ECCParagraph"/>
    <w:rsid w:val="00C95C7C"/>
    <w:pPr>
      <w:numPr>
        <w:ilvl w:val="3"/>
        <w:numId w:val="4"/>
      </w:numPr>
      <w:overflowPunct w:val="0"/>
      <w:autoSpaceDE w:val="0"/>
      <w:autoSpaceDN w:val="0"/>
      <w:adjustRightInd w:val="0"/>
      <w:spacing w:before="360" w:after="120"/>
      <w:textAlignment w:val="baseline"/>
    </w:pPr>
    <w:rPr>
      <w:i/>
      <w:color w:val="D2232A"/>
    </w:rPr>
  </w:style>
  <w:style w:type="paragraph" w:styleId="BodyTextIndent">
    <w:name w:val="Body Text Indent"/>
    <w:basedOn w:val="Normal"/>
    <w:rsid w:val="00FE1795"/>
    <w:rPr>
      <w:rFonts w:ascii="Times New Roman" w:hAnsi="Times New Roman"/>
      <w:sz w:val="24"/>
      <w:lang w:val="de-DE" w:eastAsia="en-GB"/>
    </w:rPr>
  </w:style>
  <w:style w:type="paragraph" w:customStyle="1" w:styleId="Reporttitledescription">
    <w:name w:val="Report title/description"/>
    <w:basedOn w:val="Normal"/>
    <w:rsid w:val="00C95C7C"/>
    <w:pPr>
      <w:spacing w:before="600" w:line="288" w:lineRule="auto"/>
      <w:ind w:left="3402"/>
    </w:pPr>
    <w:rPr>
      <w:color w:val="57433E"/>
      <w:sz w:val="24"/>
    </w:rPr>
  </w:style>
  <w:style w:type="paragraph" w:customStyle="1" w:styleId="Lastupdated">
    <w:name w:val="Last updated"/>
    <w:basedOn w:val="Normal"/>
    <w:rsid w:val="00FE1795"/>
    <w:pPr>
      <w:spacing w:before="120" w:after="120"/>
      <w:ind w:left="3402"/>
    </w:pPr>
    <w:rPr>
      <w:bCs/>
      <w:sz w:val="18"/>
    </w:rPr>
  </w:style>
  <w:style w:type="numbering" w:customStyle="1" w:styleId="Letteredlist0">
    <w:name w:val="Lettered list"/>
    <w:rsid w:val="00FE1795"/>
    <w:pPr>
      <w:numPr>
        <w:numId w:val="6"/>
      </w:numPr>
    </w:pPr>
  </w:style>
  <w:style w:type="paragraph" w:customStyle="1" w:styleId="WGNNA-bulleted">
    <w:name w:val="WGNNA-bulleted"/>
    <w:basedOn w:val="Normal"/>
    <w:rsid w:val="00FE1795"/>
    <w:pPr>
      <w:numPr>
        <w:numId w:val="7"/>
      </w:numPr>
      <w:spacing w:after="120"/>
      <w:jc w:val="both"/>
    </w:pPr>
    <w:rPr>
      <w:rFonts w:ascii="Times New Roman" w:hAnsi="Times New Roman"/>
      <w:sz w:val="24"/>
      <w:lang w:val="fr-FR" w:eastAsia="fr-FR"/>
    </w:rPr>
  </w:style>
  <w:style w:type="paragraph" w:customStyle="1" w:styleId="LetteredList">
    <w:name w:val="Lettered List"/>
    <w:basedOn w:val="Normal"/>
    <w:rsid w:val="00044EDB"/>
    <w:pPr>
      <w:numPr>
        <w:numId w:val="12"/>
      </w:numPr>
      <w:spacing w:after="120"/>
      <w:jc w:val="both"/>
    </w:pPr>
  </w:style>
  <w:style w:type="paragraph" w:customStyle="1" w:styleId="NumberedList">
    <w:name w:val="Numbered List"/>
    <w:basedOn w:val="ECCParagraph"/>
    <w:rsid w:val="007C6571"/>
    <w:pPr>
      <w:numPr>
        <w:numId w:val="15"/>
      </w:numPr>
    </w:pPr>
  </w:style>
  <w:style w:type="numbering" w:customStyle="1" w:styleId="ECCNumbers-Letters">
    <w:name w:val="ECC Numbers-Letters"/>
    <w:uiPriority w:val="99"/>
    <w:rsid w:val="007C6571"/>
    <w:pPr>
      <w:numPr>
        <w:numId w:val="14"/>
      </w:numPr>
    </w:pPr>
  </w:style>
  <w:style w:type="numbering" w:customStyle="1" w:styleId="ECCNumberedList">
    <w:name w:val="ECC Numbered List"/>
    <w:uiPriority w:val="99"/>
    <w:rsid w:val="007C6571"/>
    <w:pPr>
      <w:numPr>
        <w:numId w:val="15"/>
      </w:numPr>
    </w:pPr>
  </w:style>
  <w:style w:type="paragraph" w:customStyle="1" w:styleId="ECCNumbered-LetteredList">
    <w:name w:val="ECC Numbered-Lettered List"/>
    <w:basedOn w:val="Normal"/>
    <w:rsid w:val="007C6571"/>
    <w:pPr>
      <w:numPr>
        <w:numId w:val="14"/>
      </w:numPr>
    </w:pPr>
  </w:style>
  <w:style w:type="paragraph" w:styleId="BalloonText">
    <w:name w:val="Balloon Text"/>
    <w:basedOn w:val="Normal"/>
    <w:link w:val="BalloonTextChar"/>
    <w:uiPriority w:val="99"/>
    <w:semiHidden/>
    <w:unhideWhenUsed/>
    <w:rsid w:val="007C657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C6571"/>
    <w:rPr>
      <w:rFonts w:ascii="Lucida Grande" w:hAnsi="Lucida Grande" w:cs="Lucida Grande"/>
      <w:sz w:val="18"/>
      <w:szCs w:val="18"/>
      <w:lang w:val="en-US"/>
    </w:rPr>
  </w:style>
  <w:style w:type="paragraph" w:styleId="BodyText">
    <w:name w:val="Body Text"/>
    <w:basedOn w:val="Normal"/>
    <w:link w:val="BodyTextChar"/>
    <w:rsid w:val="00E65E22"/>
    <w:pPr>
      <w:autoSpaceDE w:val="0"/>
      <w:autoSpaceDN w:val="0"/>
      <w:spacing w:after="120"/>
    </w:pPr>
    <w:rPr>
      <w:rFonts w:ascii="Times New Roman" w:hAnsi="Times New Roman"/>
      <w:sz w:val="24"/>
      <w:lang w:val="en-GB" w:eastAsia="nl-NL"/>
    </w:rPr>
  </w:style>
  <w:style w:type="character" w:customStyle="1" w:styleId="BodyTextChar">
    <w:name w:val="Body Text Char"/>
    <w:basedOn w:val="DefaultParagraphFont"/>
    <w:link w:val="BodyText"/>
    <w:rsid w:val="00E65E22"/>
    <w:rPr>
      <w:sz w:val="24"/>
      <w:szCs w:val="24"/>
      <w:lang w:eastAsia="nl-NL"/>
    </w:rPr>
  </w:style>
  <w:style w:type="paragraph" w:styleId="ListParagraph">
    <w:name w:val="List Paragraph"/>
    <w:basedOn w:val="Normal"/>
    <w:uiPriority w:val="34"/>
    <w:qFormat/>
    <w:rsid w:val="00E65E22"/>
    <w:pPr>
      <w:ind w:left="720"/>
      <w:contextualSpacing/>
    </w:pPr>
  </w:style>
  <w:style w:type="paragraph" w:customStyle="1" w:styleId="Tablelegend">
    <w:name w:val="Table_legend"/>
    <w:basedOn w:val="Normal"/>
    <w:link w:val="TablelegendChar"/>
    <w:rsid w:val="007E6EDB"/>
    <w:pPr>
      <w:tabs>
        <w:tab w:val="left" w:pos="284"/>
        <w:tab w:val="left" w:pos="1134"/>
        <w:tab w:val="left" w:pos="1871"/>
        <w:tab w:val="left" w:pos="2268"/>
      </w:tabs>
      <w:overflowPunct w:val="0"/>
      <w:autoSpaceDE w:val="0"/>
      <w:autoSpaceDN w:val="0"/>
      <w:adjustRightInd w:val="0"/>
      <w:spacing w:before="120"/>
      <w:jc w:val="both"/>
      <w:textAlignment w:val="baseline"/>
    </w:pPr>
    <w:rPr>
      <w:rFonts w:ascii="Times New Roman" w:hAnsi="Times New Roman"/>
      <w:szCs w:val="20"/>
      <w:lang w:val="en-GB"/>
    </w:rPr>
  </w:style>
  <w:style w:type="character" w:customStyle="1" w:styleId="TablelegendChar">
    <w:name w:val="Table_legend Char"/>
    <w:basedOn w:val="DefaultParagraphFont"/>
    <w:link w:val="Tablelegend"/>
    <w:rsid w:val="007E6EDB"/>
  </w:style>
  <w:style w:type="character" w:styleId="CommentReference">
    <w:name w:val="annotation reference"/>
    <w:basedOn w:val="DefaultParagraphFont"/>
    <w:uiPriority w:val="99"/>
    <w:semiHidden/>
    <w:unhideWhenUsed/>
    <w:rsid w:val="00EB79B9"/>
    <w:rPr>
      <w:sz w:val="16"/>
      <w:szCs w:val="16"/>
    </w:rPr>
  </w:style>
  <w:style w:type="paragraph" w:styleId="CommentText">
    <w:name w:val="annotation text"/>
    <w:basedOn w:val="Normal"/>
    <w:link w:val="CommentTextChar"/>
    <w:uiPriority w:val="99"/>
    <w:semiHidden/>
    <w:unhideWhenUsed/>
    <w:rsid w:val="00EB79B9"/>
    <w:rPr>
      <w:szCs w:val="20"/>
    </w:rPr>
  </w:style>
  <w:style w:type="character" w:customStyle="1" w:styleId="CommentTextChar">
    <w:name w:val="Comment Text Char"/>
    <w:basedOn w:val="DefaultParagraphFont"/>
    <w:link w:val="CommentText"/>
    <w:uiPriority w:val="99"/>
    <w:semiHidden/>
    <w:rsid w:val="00EB79B9"/>
    <w:rPr>
      <w:rFonts w:ascii="Arial" w:hAnsi="Arial"/>
      <w:lang w:val="en-US"/>
    </w:rPr>
  </w:style>
  <w:style w:type="paragraph" w:styleId="CommentSubject">
    <w:name w:val="annotation subject"/>
    <w:basedOn w:val="CommentText"/>
    <w:next w:val="CommentText"/>
    <w:link w:val="CommentSubjectChar"/>
    <w:uiPriority w:val="99"/>
    <w:semiHidden/>
    <w:unhideWhenUsed/>
    <w:rsid w:val="007474B2"/>
    <w:rPr>
      <w:b/>
      <w:bCs/>
    </w:rPr>
  </w:style>
  <w:style w:type="character" w:customStyle="1" w:styleId="CommentSubjectChar">
    <w:name w:val="Comment Subject Char"/>
    <w:basedOn w:val="CommentTextChar"/>
    <w:link w:val="CommentSubject"/>
    <w:uiPriority w:val="99"/>
    <w:semiHidden/>
    <w:rsid w:val="007474B2"/>
    <w:rPr>
      <w:rFonts w:ascii="Arial" w:hAnsi="Arial"/>
      <w:b/>
      <w:bCs/>
      <w:lang w:val="en-US"/>
    </w:rPr>
  </w:style>
  <w:style w:type="character" w:styleId="Emphasis">
    <w:name w:val="Emphasis"/>
    <w:basedOn w:val="DefaultParagraphFont"/>
    <w:uiPriority w:val="20"/>
    <w:qFormat/>
    <w:rsid w:val="002D3591"/>
    <w:rPr>
      <w:i/>
      <w:iCs/>
    </w:rPr>
  </w:style>
  <w:style w:type="character" w:styleId="Strong">
    <w:name w:val="Strong"/>
    <w:basedOn w:val="DefaultParagraphFont"/>
    <w:uiPriority w:val="22"/>
    <w:qFormat/>
    <w:rsid w:val="00FB1F9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www.ecodocdb.dk" TargetMode="Externa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1FCED4-7CF5-44DC-A711-436B65FBD9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4486</Words>
  <Characters>24227</Characters>
  <Application>Microsoft Office Word</Application>
  <DocSecurity>0</DocSecurity>
  <Lines>410</Lines>
  <Paragraphs>179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ECC/DEC/(19)03</vt:lpstr>
      <vt:lpstr>ECC/DEC/(19)03</vt:lpstr>
    </vt:vector>
  </TitlesOfParts>
  <Company>WGFM#93</Company>
  <LinksUpToDate>false</LinksUpToDate>
  <CharactersWithSpaces>28534</CharactersWithSpaces>
  <SharedDoc>false</SharedDoc>
  <HLinks>
    <vt:vector size="12" baseType="variant">
      <vt:variant>
        <vt:i4>3342362</vt:i4>
      </vt:variant>
      <vt:variant>
        <vt:i4>-1</vt:i4>
      </vt:variant>
      <vt:variant>
        <vt:i4>2051</vt:i4>
      </vt:variant>
      <vt:variant>
        <vt:i4>1</vt:i4>
      </vt:variant>
      <vt:variant>
        <vt:lpwstr>cept logo</vt:lpwstr>
      </vt:variant>
      <vt:variant>
        <vt:lpwstr/>
      </vt:variant>
      <vt:variant>
        <vt:i4>852028</vt:i4>
      </vt:variant>
      <vt:variant>
        <vt:i4>-1</vt:i4>
      </vt:variant>
      <vt:variant>
        <vt:i4>2052</vt:i4>
      </vt:variant>
      <vt:variant>
        <vt:i4>1</vt:i4>
      </vt:variant>
      <vt:variant>
        <vt:lpwstr>ecc_logo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ECC/DEC/(19)03</dc:title>
  <dc:subject>VHF, RR App. 18</dc:subject>
  <dc:creator>224-15</dc:creator>
  <dc:description>This template is used as guidance to draft ECC Reports.</dc:description>
  <cp:lastModifiedBy>ECO</cp:lastModifiedBy>
  <cp:revision>2</cp:revision>
  <cp:lastPrinted>2018-06-14T12:39:00Z</cp:lastPrinted>
  <dcterms:created xsi:type="dcterms:W3CDTF">2019-03-19T14:28:00Z</dcterms:created>
  <dcterms:modified xsi:type="dcterms:W3CDTF">2019-03-19T14:28:00Z</dcterms:modified>
  <cp:contentStatus>adopted for ECC approval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2121689629</vt:i4>
  </property>
</Properties>
</file>