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8DF434" w14:textId="0656FBB2" w:rsidR="00E80513" w:rsidRPr="00742FDE" w:rsidRDefault="00E80513" w:rsidP="00E80513">
      <w:pPr>
        <w:pStyle w:val="coverpageReporttitledescription"/>
        <w:rPr>
          <w:lang w:val="en-GB"/>
        </w:rPr>
      </w:pPr>
      <w:r w:rsidRPr="00742FDE">
        <w:rPr>
          <w:lang w:val="en-GB"/>
        </w:rPr>
        <w:fldChar w:fldCharType="begin">
          <w:ffData>
            <w:name w:val=""/>
            <w:enabled/>
            <w:calcOnExit w:val="0"/>
            <w:textInput>
              <w:default w:val="Additional work on 26 GHz to address spectrum use under authorisation regimes other than individual rights of use: Technical toolkit to assist administrations"/>
            </w:textInput>
          </w:ffData>
        </w:fldChar>
      </w:r>
      <w:r w:rsidRPr="00742FDE">
        <w:rPr>
          <w:lang w:val="en-GB"/>
        </w:rPr>
        <w:instrText xml:space="preserve"> FORMTEXT </w:instrText>
      </w:r>
      <w:r w:rsidRPr="00742FDE">
        <w:rPr>
          <w:lang w:val="en-GB"/>
        </w:rPr>
      </w:r>
      <w:r w:rsidRPr="00742FDE">
        <w:rPr>
          <w:lang w:val="en-GB"/>
        </w:rPr>
        <w:fldChar w:fldCharType="separate"/>
      </w:r>
      <w:r w:rsidRPr="00742FDE">
        <w:rPr>
          <w:noProof/>
          <w:lang w:val="en-GB"/>
        </w:rPr>
        <w:t>Additional work on 26 GHz to address spectrum use under authorisation regimes other than individual rights of use: Technical toolkit to assist administrations</w:t>
      </w:r>
      <w:r w:rsidRPr="00742FDE">
        <w:rPr>
          <w:lang w:val="en-GB"/>
        </w:rPr>
        <w:fldChar w:fldCharType="end"/>
      </w:r>
    </w:p>
    <w:p w14:paraId="4F46FE0A" w14:textId="4B62FD64" w:rsidR="00930439" w:rsidRPr="00742FDE" w:rsidRDefault="0027787F" w:rsidP="00941D3A">
      <w:pPr>
        <w:pStyle w:val="coverpageapprovedDDMMYY"/>
        <w:rPr>
          <w:lang w:val="en-GB"/>
        </w:rPr>
      </w:pPr>
      <w:r w:rsidRPr="00742FDE">
        <w:rPr>
          <w:noProof/>
          <w:lang w:val="en-GB" w:eastAsia="da-DK"/>
        </w:rPr>
        <mc:AlternateContent>
          <mc:Choice Requires="wpg">
            <w:drawing>
              <wp:anchor distT="0" distB="0" distL="114300" distR="114300" simplePos="0" relativeHeight="251658240" behindDoc="0" locked="1" layoutInCell="1" allowOverlap="1" wp14:anchorId="77C717DC" wp14:editId="2BEB4E55">
                <wp:simplePos x="0" y="0"/>
                <wp:positionH relativeFrom="page">
                  <wp:posOffset>0</wp:posOffset>
                </wp:positionH>
                <wp:positionV relativeFrom="page">
                  <wp:posOffset>1440180</wp:posOffset>
                </wp:positionV>
                <wp:extent cx="7560000" cy="1627200"/>
                <wp:effectExtent l="0" t="0" r="3175" b="0"/>
                <wp:wrapTopAndBottom/>
                <wp:docPr id="15" name="Gruppieren 15"/>
                <wp:cNvGraphicFramePr/>
                <a:graphic xmlns:a="http://schemas.openxmlformats.org/drawingml/2006/main">
                  <a:graphicData uri="http://schemas.microsoft.com/office/word/2010/wordprocessingGroup">
                    <wpg:wgp>
                      <wpg:cNvGrpSpPr/>
                      <wpg:grpSpPr>
                        <a:xfrm>
                          <a:off x="0" y="0"/>
                          <a:ext cx="7560000" cy="1627200"/>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34791" w14:textId="38D3949F" w:rsidR="005F4D12" w:rsidRPr="00F7440E" w:rsidRDefault="005F4D12" w:rsidP="00264464">
                              <w:pPr>
                                <w:pStyle w:val="coverpageECCReport"/>
                                <w:shd w:val="clear" w:color="auto" w:fill="auto"/>
                              </w:pPr>
                              <w:r w:rsidRPr="00264464">
                                <w:t xml:space="preserve">ECC Report </w:t>
                              </w:r>
                              <w:r>
                                <w:rPr>
                                  <w:rStyle w:val="IntenseReference"/>
                                </w:rPr>
                                <w:t>317</w:t>
                              </w:r>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77C717DC" id="Gruppieren 15" o:spid="_x0000_s1026" style="position:absolute;left:0;text-align:left;margin-left:0;margin-top:113.4pt;width:595.3pt;height:128.15pt;z-index:251658240;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" fillcolor="#887e6e" stroked="f">
                  <v:textbox inset="80mm,15mm">
                    <w:txbxContent>
                      <w:p w14:paraId="4BF34791" w14:textId="38D3949F" w:rsidR="005F4D12" w:rsidRPr="00F7440E" w:rsidRDefault="005F4D12" w:rsidP="00264464">
                        <w:pPr>
                          <w:pStyle w:val="coverpageECCReport"/>
                          <w:shd w:val="clear" w:color="auto" w:fill="auto"/>
                        </w:pPr>
                        <w:r w:rsidRPr="00264464">
                          <w:t xml:space="preserve">ECC Report </w:t>
                        </w:r>
                        <w:r>
                          <w:rPr>
                            <w:rStyle w:val="IntenseReference"/>
                          </w:rPr>
                          <w:t>317</w:t>
                        </w:r>
                      </w:p>
                    </w:txbxContent>
                  </v:textbox>
                </v:shape>
                <v:group id="Group 18" o:spid="_x0000_s1028" style="position:absolute;left:8281;top:345;width:17037;height:15646" coordorigin="431,2744" coordsize="2683,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11" o:spid="_x0000_s1029"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" strokecolor="#d2232a" strokeweight="15pt"/>
                  <v:line id="Line 12" o:spid="_x0000_s1030"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" strokecolor="#d2232a" strokeweight="15pt"/>
                  <v:line id="Line 13" o:spid="_x0000_s1031"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" strokecolor="white" strokeweight="15pt"/>
                  <v:line id="Line 14" o:spid="_x0000_s1032"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" strokecolor="white" strokeweight="15pt"/>
                  <v:line id="Line 15" o:spid="_x0000_s1033"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" strokecolor="#887e6e" strokeweight="15.5pt"/>
                </v:group>
                <w10:wrap type="topAndBottom" anchorx="page" anchory="page"/>
                <w10:anchorlock/>
              </v:group>
            </w:pict>
          </mc:Fallback>
        </mc:AlternateContent>
      </w:r>
      <w:r w:rsidR="00FE35CC" w:rsidRPr="00742FDE">
        <w:rPr>
          <w:lang w:val="en-GB"/>
        </w:rPr>
        <w:fldChar w:fldCharType="begin">
          <w:ffData>
            <w:name w:val="Text8"/>
            <w:enabled/>
            <w:calcOnExit w:val="0"/>
            <w:textInput>
              <w:default w:val="approved 3 July 2020"/>
            </w:textInput>
          </w:ffData>
        </w:fldChar>
      </w:r>
      <w:r w:rsidR="00FE35CC" w:rsidRPr="00742FDE">
        <w:rPr>
          <w:lang w:val="en-GB"/>
        </w:rPr>
        <w:instrText xml:space="preserve"> </w:instrText>
      </w:r>
      <w:bookmarkStart w:id="0" w:name="Text8"/>
      <w:r w:rsidR="00FE35CC" w:rsidRPr="00742FDE">
        <w:rPr>
          <w:lang w:val="en-GB"/>
        </w:rPr>
        <w:instrText xml:space="preserve">FORMTEXT </w:instrText>
      </w:r>
      <w:r w:rsidR="00FE35CC" w:rsidRPr="00742FDE">
        <w:rPr>
          <w:lang w:val="en-GB"/>
        </w:rPr>
      </w:r>
      <w:r w:rsidR="00FE35CC" w:rsidRPr="00742FDE">
        <w:rPr>
          <w:lang w:val="en-GB"/>
        </w:rPr>
        <w:fldChar w:fldCharType="separate"/>
      </w:r>
      <w:r w:rsidR="00FE35CC" w:rsidRPr="00742FDE">
        <w:rPr>
          <w:noProof/>
          <w:lang w:val="en-GB"/>
        </w:rPr>
        <w:t>approved 3 July 2020</w:t>
      </w:r>
      <w:r w:rsidR="00FE35CC" w:rsidRPr="00742FDE">
        <w:rPr>
          <w:lang w:val="en-GB"/>
        </w:rPr>
        <w:fldChar w:fldCharType="end"/>
      </w:r>
      <w:bookmarkEnd w:id="0"/>
    </w:p>
    <w:p w14:paraId="718CA4CA" w14:textId="604B74E5" w:rsidR="00930439" w:rsidRPr="00742FDE" w:rsidRDefault="00930439" w:rsidP="00673A9B">
      <w:pPr>
        <w:pStyle w:val="coverpagelastupdatedDDMMYY"/>
        <w:rPr>
          <w:lang w:val="en-GB"/>
        </w:rPr>
      </w:pPr>
      <w:r w:rsidRPr="00742FDE">
        <w:rPr>
          <w:noProof/>
          <w:lang w:val="en-GB"/>
        </w:rPr>
        <mc:AlternateContent>
          <mc:Choice Requires="wps">
            <w:drawing>
              <wp:anchor distT="0" distB="0" distL="114300" distR="114300" simplePos="0" relativeHeight="251656192" behindDoc="0" locked="1" layoutInCell="1" allowOverlap="1" wp14:anchorId="7D28CCA5" wp14:editId="213FD7DF">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021D28" id="Rectangle 8" o:spid="_x0000_s1026" style="position:absolute;margin-left:-.1pt;margin-top:771.95pt;width:595.2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" fillcolor="#887e6e" stroked="f">
                <v:textbox inset=",15mm"/>
                <w10:wrap anchorx="page" anchory="page"/>
                <w10:anchorlock/>
              </v:rect>
            </w:pict>
          </mc:Fallback>
        </mc:AlternateContent>
      </w:r>
      <w:r w:rsidR="00E80513" w:rsidRPr="00742FDE">
        <w:rPr>
          <w:lang w:val="en-GB"/>
        </w:rPr>
        <w:fldChar w:fldCharType="begin">
          <w:ffData>
            <w:name w:val="Text3"/>
            <w:enabled/>
            <w:calcOnExit w:val="0"/>
            <w:textInput/>
          </w:ffData>
        </w:fldChar>
      </w:r>
      <w:r w:rsidR="00E80513" w:rsidRPr="00742FDE">
        <w:rPr>
          <w:lang w:val="en-GB"/>
        </w:rPr>
        <w:instrText xml:space="preserve"> </w:instrText>
      </w:r>
      <w:bookmarkStart w:id="1" w:name="Text3"/>
      <w:r w:rsidR="00E80513" w:rsidRPr="00742FDE">
        <w:rPr>
          <w:lang w:val="en-GB"/>
        </w:rPr>
        <w:instrText xml:space="preserve">FORMTEXT </w:instrText>
      </w:r>
      <w:r w:rsidR="00E80513" w:rsidRPr="00742FDE">
        <w:rPr>
          <w:lang w:val="en-GB"/>
        </w:rPr>
      </w:r>
      <w:r w:rsidR="00E80513" w:rsidRPr="00742FDE">
        <w:rPr>
          <w:lang w:val="en-GB"/>
        </w:rPr>
        <w:fldChar w:fldCharType="separate"/>
      </w:r>
      <w:r w:rsidR="00E80513" w:rsidRPr="00742FDE">
        <w:rPr>
          <w:noProof/>
          <w:lang w:val="en-GB"/>
        </w:rPr>
        <w:t> </w:t>
      </w:r>
      <w:r w:rsidR="00E80513" w:rsidRPr="00742FDE">
        <w:rPr>
          <w:noProof/>
          <w:lang w:val="en-GB"/>
        </w:rPr>
        <w:t> </w:t>
      </w:r>
      <w:r w:rsidR="00E80513" w:rsidRPr="00742FDE">
        <w:rPr>
          <w:noProof/>
          <w:lang w:val="en-GB"/>
        </w:rPr>
        <w:t> </w:t>
      </w:r>
      <w:r w:rsidR="00E80513" w:rsidRPr="00742FDE">
        <w:rPr>
          <w:noProof/>
          <w:lang w:val="en-GB"/>
        </w:rPr>
        <w:t> </w:t>
      </w:r>
      <w:r w:rsidR="00E80513" w:rsidRPr="00742FDE">
        <w:rPr>
          <w:noProof/>
          <w:lang w:val="en-GB"/>
        </w:rPr>
        <w:t> </w:t>
      </w:r>
      <w:r w:rsidR="00E80513" w:rsidRPr="00742FDE">
        <w:rPr>
          <w:lang w:val="en-GB"/>
        </w:rPr>
        <w:fldChar w:fldCharType="end"/>
      </w:r>
      <w:bookmarkEnd w:id="1"/>
    </w:p>
    <w:p w14:paraId="4AC28967" w14:textId="3F6D68A1" w:rsidR="008A54FC" w:rsidRPr="00742FDE" w:rsidRDefault="008A54FC" w:rsidP="00264464">
      <w:pPr>
        <w:rPr>
          <w:rStyle w:val="ECCParagraph"/>
        </w:rPr>
      </w:pPr>
    </w:p>
    <w:p w14:paraId="6353BF54" w14:textId="1EDFE75D" w:rsidR="00032CA0" w:rsidRPr="00742FDE" w:rsidRDefault="00032CA0" w:rsidP="00032CA0"/>
    <w:p w14:paraId="0EBB9934" w14:textId="4DF11F21" w:rsidR="00032CA0" w:rsidRPr="00742FDE" w:rsidRDefault="00032CA0" w:rsidP="00032CA0"/>
    <w:p w14:paraId="36441A84" w14:textId="6DBA1883" w:rsidR="00032CA0" w:rsidRPr="00742FDE" w:rsidRDefault="00032CA0" w:rsidP="00032CA0"/>
    <w:p w14:paraId="174B3C46" w14:textId="3C540573" w:rsidR="00032CA0" w:rsidRPr="00742FDE" w:rsidRDefault="00032CA0" w:rsidP="00032CA0"/>
    <w:p w14:paraId="7E61D335" w14:textId="09F08E92" w:rsidR="00032CA0" w:rsidRPr="00742FDE" w:rsidRDefault="00032CA0" w:rsidP="00032CA0"/>
    <w:p w14:paraId="6C9A2352" w14:textId="7049E80A" w:rsidR="00032CA0" w:rsidRPr="00742FDE" w:rsidRDefault="00032CA0" w:rsidP="00032CA0"/>
    <w:p w14:paraId="5E57AD29" w14:textId="649ADC87" w:rsidR="00032CA0" w:rsidRPr="00742FDE" w:rsidRDefault="00032CA0" w:rsidP="00032CA0"/>
    <w:p w14:paraId="240B10B2" w14:textId="578C347C" w:rsidR="00032CA0" w:rsidRPr="00742FDE" w:rsidRDefault="00032CA0" w:rsidP="00032CA0"/>
    <w:p w14:paraId="38C65F40" w14:textId="2D40EACD" w:rsidR="00032CA0" w:rsidRPr="00742FDE" w:rsidRDefault="00032CA0" w:rsidP="00032CA0"/>
    <w:p w14:paraId="2E7C7811" w14:textId="7816E37D" w:rsidR="00032CA0" w:rsidRPr="00742FDE" w:rsidRDefault="00032CA0" w:rsidP="00032CA0"/>
    <w:p w14:paraId="3CC87631" w14:textId="77777777" w:rsidR="008A54FC" w:rsidRPr="00742FDE" w:rsidRDefault="008A54FC" w:rsidP="009465E0">
      <w:pPr>
        <w:pStyle w:val="Heading1"/>
        <w:rPr>
          <w:lang w:val="en-GB"/>
        </w:rPr>
      </w:pPr>
      <w:bookmarkStart w:id="2" w:name="_Toc380056496"/>
      <w:bookmarkStart w:id="3" w:name="_Toc380059747"/>
      <w:bookmarkStart w:id="4" w:name="_Toc380059784"/>
      <w:bookmarkStart w:id="5" w:name="_Toc396153635"/>
      <w:bookmarkStart w:id="6" w:name="_Toc396383862"/>
      <w:bookmarkStart w:id="7" w:name="_Toc396917295"/>
      <w:bookmarkStart w:id="8" w:name="_Toc396917344"/>
      <w:bookmarkStart w:id="9" w:name="_Toc396917406"/>
      <w:bookmarkStart w:id="10" w:name="_Toc396917459"/>
      <w:bookmarkStart w:id="11" w:name="_Toc396917626"/>
      <w:bookmarkStart w:id="12" w:name="_Toc396917641"/>
      <w:bookmarkStart w:id="13" w:name="_Toc396917746"/>
      <w:bookmarkStart w:id="14" w:name="_Toc37256352"/>
      <w:bookmarkStart w:id="15" w:name="_Toc32403299"/>
      <w:bookmarkStart w:id="16" w:name="_Toc45610640"/>
      <w:r w:rsidRPr="00742FDE">
        <w:rPr>
          <w:lang w:val="en-GB"/>
        </w:rPr>
        <w:lastRenderedPageBreak/>
        <w:t>Executive summary</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14:paraId="02652622" w14:textId="036CA700" w:rsidR="00816AA1" w:rsidRPr="00742FDE" w:rsidRDefault="00816AA1" w:rsidP="00816AA1">
      <w:pPr>
        <w:rPr>
          <w:rStyle w:val="ECCParagraph"/>
        </w:rPr>
      </w:pPr>
      <w:r w:rsidRPr="00742FDE">
        <w:rPr>
          <w:rStyle w:val="ECCParagraph"/>
        </w:rPr>
        <w:t xml:space="preserve">This </w:t>
      </w:r>
      <w:r w:rsidR="00E80513" w:rsidRPr="00742FDE">
        <w:rPr>
          <w:rStyle w:val="ECCParagraph"/>
        </w:rPr>
        <w:t>R</w:t>
      </w:r>
      <w:r w:rsidRPr="00742FDE">
        <w:rPr>
          <w:rStyle w:val="ECCParagraph"/>
        </w:rPr>
        <w:t xml:space="preserve">eport provides information and guidance to assist administrations who are considering authorisation regimes for </w:t>
      </w:r>
      <w:r w:rsidR="00434849" w:rsidRPr="00742FDE">
        <w:rPr>
          <w:rStyle w:val="ECCParagraph"/>
        </w:rPr>
        <w:t xml:space="preserve">the </w:t>
      </w:r>
      <w:r w:rsidRPr="00742FDE">
        <w:rPr>
          <w:rStyle w:val="ECCParagraph"/>
        </w:rPr>
        <w:t xml:space="preserve">24.25-27.5 GHz </w:t>
      </w:r>
      <w:r w:rsidR="00434849" w:rsidRPr="00742FDE">
        <w:rPr>
          <w:rStyle w:val="ECCParagraph"/>
        </w:rPr>
        <w:t xml:space="preserve">frequency band </w:t>
      </w:r>
      <w:r w:rsidRPr="00742FDE">
        <w:rPr>
          <w:rStyle w:val="ECCParagraph"/>
        </w:rPr>
        <w:t>other than individual rights of use without considering any changes to the technical conditions in ECC Decision (18)06</w:t>
      </w:r>
      <w:r w:rsidR="00DF0FB8" w:rsidRPr="00742FDE">
        <w:rPr>
          <w:rStyle w:val="ECCParagraph"/>
        </w:rPr>
        <w:t xml:space="preserve"> </w:t>
      </w:r>
      <w:r w:rsidR="00DF0FB8" w:rsidRPr="00742FDE">
        <w:rPr>
          <w:rStyle w:val="ECCParagraph"/>
        </w:rPr>
        <w:fldChar w:fldCharType="begin"/>
      </w:r>
      <w:r w:rsidR="00DF0FB8" w:rsidRPr="00742FDE">
        <w:rPr>
          <w:rStyle w:val="ECCParagraph"/>
        </w:rPr>
        <w:instrText xml:space="preserve"> REF _Ref33188056 \r \h </w:instrText>
      </w:r>
      <w:r w:rsidR="00DF0FB8" w:rsidRPr="00742FDE">
        <w:rPr>
          <w:rStyle w:val="ECCParagraph"/>
        </w:rPr>
      </w:r>
      <w:r w:rsidR="00DF0FB8" w:rsidRPr="00742FDE">
        <w:rPr>
          <w:rStyle w:val="ECCParagraph"/>
        </w:rPr>
        <w:fldChar w:fldCharType="separate"/>
      </w:r>
      <w:r w:rsidR="00DE566A">
        <w:rPr>
          <w:rStyle w:val="ECCParagraph"/>
        </w:rPr>
        <w:t>[1]</w:t>
      </w:r>
      <w:r w:rsidR="00DF0FB8" w:rsidRPr="00742FDE">
        <w:rPr>
          <w:rStyle w:val="ECCParagraph"/>
        </w:rPr>
        <w:fldChar w:fldCharType="end"/>
      </w:r>
      <w:r w:rsidRPr="00742FDE">
        <w:rPr>
          <w:rStyle w:val="ECCParagraph"/>
        </w:rPr>
        <w:t xml:space="preserve">. It covers local licences, light licences, </w:t>
      </w:r>
      <w:r w:rsidR="00434849" w:rsidRPr="00742FDE">
        <w:rPr>
          <w:rStyle w:val="ECCParagraph"/>
        </w:rPr>
        <w:t xml:space="preserve">nationwide </w:t>
      </w:r>
      <w:r w:rsidRPr="00742FDE">
        <w:rPr>
          <w:rStyle w:val="ECCParagraph"/>
        </w:rPr>
        <w:t>general authorisation and local general authorisation.</w:t>
      </w:r>
    </w:p>
    <w:p w14:paraId="7D74A3CA" w14:textId="063A0A87" w:rsidR="00816AA1" w:rsidRPr="00742FDE" w:rsidRDefault="00816AA1" w:rsidP="00816AA1">
      <w:pPr>
        <w:rPr>
          <w:rStyle w:val="ECCParagraph"/>
        </w:rPr>
      </w:pPr>
      <w:r w:rsidRPr="00742FDE">
        <w:rPr>
          <w:rStyle w:val="ECCParagraph"/>
        </w:rPr>
        <w:t xml:space="preserve">When considering regimes other than the traditional method of authorising MFCN (i.e. national </w:t>
      </w:r>
      <w:r w:rsidR="008B44AA" w:rsidRPr="00742FDE">
        <w:rPr>
          <w:rStyle w:val="ECCParagraph"/>
        </w:rPr>
        <w:t xml:space="preserve">authorisation regimes </w:t>
      </w:r>
      <w:r w:rsidR="001104A8" w:rsidRPr="00742FDE">
        <w:rPr>
          <w:rStyle w:val="ECCParagraph"/>
        </w:rPr>
        <w:t>which may be based on</w:t>
      </w:r>
      <w:r w:rsidR="008B44AA" w:rsidRPr="00742FDE">
        <w:rPr>
          <w:rStyle w:val="ECCParagraph"/>
        </w:rPr>
        <w:t xml:space="preserve"> </w:t>
      </w:r>
      <w:r w:rsidR="00EF7F27" w:rsidRPr="00742FDE">
        <w:rPr>
          <w:rStyle w:val="ECCParagraph"/>
        </w:rPr>
        <w:t xml:space="preserve">radio </w:t>
      </w:r>
      <w:r w:rsidRPr="00742FDE">
        <w:rPr>
          <w:rStyle w:val="ECCParagraph"/>
        </w:rPr>
        <w:t>licences</w:t>
      </w:r>
      <w:r w:rsidR="008B44AA" w:rsidRPr="00742FDE">
        <w:rPr>
          <w:rStyle w:val="ECCParagraph"/>
        </w:rPr>
        <w:t xml:space="preserve"> and/or </w:t>
      </w:r>
      <w:r w:rsidR="00292A5F" w:rsidRPr="00742FDE">
        <w:rPr>
          <w:rStyle w:val="ECCParagraph"/>
        </w:rPr>
        <w:t xml:space="preserve">spectrum </w:t>
      </w:r>
      <w:r w:rsidR="000D00F1" w:rsidRPr="00742FDE">
        <w:rPr>
          <w:rStyle w:val="ECCParagraph"/>
        </w:rPr>
        <w:t>Rights of Use</w:t>
      </w:r>
      <w:r w:rsidRPr="00742FDE">
        <w:rPr>
          <w:rStyle w:val="ECCParagraph"/>
        </w:rPr>
        <w:t>), due to incumbent usages/deployments and depending on authorisation regimes, there may be a need to consider coexistence conditions and deployment scenarios at national level</w:t>
      </w:r>
      <w:r w:rsidR="00215030" w:rsidRPr="00742FDE">
        <w:rPr>
          <w:rStyle w:val="ECCParagraph"/>
        </w:rPr>
        <w:t xml:space="preserve"> in order to ensure that </w:t>
      </w:r>
      <w:r w:rsidR="00594D3A" w:rsidRPr="00742FDE">
        <w:rPr>
          <w:rStyle w:val="ECCParagraph"/>
        </w:rPr>
        <w:t>other</w:t>
      </w:r>
      <w:r w:rsidR="00B33400" w:rsidRPr="00742FDE">
        <w:rPr>
          <w:rStyle w:val="ECCParagraph"/>
        </w:rPr>
        <w:t xml:space="preserve"> services are still protected</w:t>
      </w:r>
      <w:r w:rsidRPr="00742FDE">
        <w:rPr>
          <w:rStyle w:val="ECCParagraph"/>
        </w:rPr>
        <w:t>.</w:t>
      </w:r>
    </w:p>
    <w:p w14:paraId="13F27867" w14:textId="2AF8C137" w:rsidR="00BE7832" w:rsidRPr="00742FDE" w:rsidRDefault="00816AA1" w:rsidP="00816AA1">
      <w:pPr>
        <w:rPr>
          <w:rStyle w:val="ECCParagraph"/>
        </w:rPr>
      </w:pPr>
      <w:r w:rsidRPr="00742FDE">
        <w:rPr>
          <w:rStyle w:val="ECCParagraph"/>
        </w:rPr>
        <w:t>The following ECC Reports and Recommendations provide guidance and information to administrations when considering different authorisation regimes:</w:t>
      </w:r>
    </w:p>
    <w:p w14:paraId="1FB3F2CA" w14:textId="7FC925BB" w:rsidR="00816AA1" w:rsidRPr="00742FDE" w:rsidRDefault="00816AA1" w:rsidP="00816AA1">
      <w:pPr>
        <w:pStyle w:val="ECCBulletsLv1"/>
        <w:rPr>
          <w:rStyle w:val="ECCParagraph"/>
        </w:rPr>
      </w:pPr>
      <w:r w:rsidRPr="00742FDE">
        <w:rPr>
          <w:rStyle w:val="ECCParagraph"/>
        </w:rPr>
        <w:t>ECC Recommendation (19)01</w:t>
      </w:r>
      <w:r w:rsidR="00FF6F3C" w:rsidRPr="00742FDE">
        <w:rPr>
          <w:rStyle w:val="ECCParagraph"/>
        </w:rPr>
        <w:t xml:space="preserve"> "</w:t>
      </w:r>
      <w:r w:rsidRPr="00742FDE">
        <w:rPr>
          <w:rStyle w:val="ECCParagraph"/>
        </w:rPr>
        <w:t xml:space="preserve">ECC Recommendation of 8 March 2019 on technical toolkit to support the introduction of 5G while ensuring, in a proportionate way, the use of existing and planned EESS/SRS receiving earth stations in the 26 GHz band and the possibility for future deployment of these earth stations" </w:t>
      </w:r>
      <w:r w:rsidRPr="00742FDE">
        <w:rPr>
          <w:rStyle w:val="ECCParagraph"/>
        </w:rPr>
        <w:fldChar w:fldCharType="begin"/>
      </w:r>
      <w:r w:rsidRPr="00742FDE">
        <w:rPr>
          <w:rStyle w:val="ECCParagraph"/>
        </w:rPr>
        <w:instrText xml:space="preserve"> REF _Ref32245247 \r \h  \* MERGEFORMAT </w:instrText>
      </w:r>
      <w:r w:rsidRPr="00742FDE">
        <w:rPr>
          <w:rStyle w:val="ECCParagraph"/>
        </w:rPr>
      </w:r>
      <w:r w:rsidRPr="00742FDE">
        <w:rPr>
          <w:rStyle w:val="ECCParagraph"/>
        </w:rPr>
        <w:fldChar w:fldCharType="separate"/>
      </w:r>
      <w:r w:rsidR="00DE566A">
        <w:rPr>
          <w:rStyle w:val="ECCParagraph"/>
        </w:rPr>
        <w:t>[4]</w:t>
      </w:r>
      <w:r w:rsidRPr="00742FDE">
        <w:rPr>
          <w:rStyle w:val="ECCParagraph"/>
        </w:rPr>
        <w:fldChar w:fldCharType="end"/>
      </w:r>
      <w:r w:rsidR="00E80513" w:rsidRPr="00742FDE">
        <w:rPr>
          <w:rStyle w:val="ECCParagraph"/>
        </w:rPr>
        <w:t>;</w:t>
      </w:r>
    </w:p>
    <w:p w14:paraId="55760014" w14:textId="3B4B02B4" w:rsidR="00816AA1" w:rsidRPr="00742FDE" w:rsidRDefault="00816AA1" w:rsidP="00816AA1">
      <w:pPr>
        <w:pStyle w:val="ECCBulletsLv1"/>
        <w:rPr>
          <w:rStyle w:val="ECCParagraph"/>
        </w:rPr>
      </w:pPr>
      <w:r w:rsidRPr="00742FDE">
        <w:rPr>
          <w:rStyle w:val="ECCParagraph"/>
        </w:rPr>
        <w:t xml:space="preserve">ECC Recommendation (20)01 </w:t>
      </w:r>
      <w:r w:rsidR="00FF6F3C" w:rsidRPr="00742FDE">
        <w:rPr>
          <w:rStyle w:val="ECCParagraph"/>
        </w:rPr>
        <w:t>"</w:t>
      </w:r>
      <w:r w:rsidRPr="00742FDE">
        <w:rPr>
          <w:rStyle w:val="ECCParagraph"/>
        </w:rPr>
        <w:t>Guidelines to support the introduction of 5G while ensuring, in a proportionate way, the use of existing and planned FSS transmitting earth stations in the frequency band 24.65-25.25 GHz and the possibility for future deployment of these earth stations</w:t>
      </w:r>
      <w:r w:rsidR="00FF6F3C" w:rsidRPr="00742FDE">
        <w:rPr>
          <w:rStyle w:val="ECCParagraph"/>
        </w:rPr>
        <w:t>"</w:t>
      </w:r>
      <w:r w:rsidRPr="00742FDE">
        <w:rPr>
          <w:rStyle w:val="ECCParagraph"/>
        </w:rPr>
        <w:t xml:space="preserve"> </w:t>
      </w:r>
      <w:r w:rsidRPr="00742FDE">
        <w:rPr>
          <w:rStyle w:val="ECCParagraph"/>
        </w:rPr>
        <w:fldChar w:fldCharType="begin"/>
      </w:r>
      <w:r w:rsidRPr="00742FDE">
        <w:rPr>
          <w:rStyle w:val="ECCParagraph"/>
        </w:rPr>
        <w:instrText xml:space="preserve"> REF _Ref32245251 \r \h  \* MERGEFORMAT </w:instrText>
      </w:r>
      <w:r w:rsidRPr="00742FDE">
        <w:rPr>
          <w:rStyle w:val="ECCParagraph"/>
        </w:rPr>
      </w:r>
      <w:r w:rsidRPr="00742FDE">
        <w:rPr>
          <w:rStyle w:val="ECCParagraph"/>
        </w:rPr>
        <w:fldChar w:fldCharType="separate"/>
      </w:r>
      <w:r w:rsidR="00DE566A">
        <w:rPr>
          <w:rStyle w:val="ECCParagraph"/>
        </w:rPr>
        <w:t>[5]</w:t>
      </w:r>
      <w:r w:rsidRPr="00742FDE">
        <w:rPr>
          <w:rStyle w:val="ECCParagraph"/>
        </w:rPr>
        <w:fldChar w:fldCharType="end"/>
      </w:r>
      <w:r w:rsidR="00E80513" w:rsidRPr="00742FDE">
        <w:rPr>
          <w:rStyle w:val="ECCParagraph"/>
        </w:rPr>
        <w:t>;</w:t>
      </w:r>
    </w:p>
    <w:p w14:paraId="26304554" w14:textId="47B380CB" w:rsidR="00372B45" w:rsidRPr="00742FDE" w:rsidRDefault="00816AA1" w:rsidP="00816AA1">
      <w:pPr>
        <w:pStyle w:val="ECCBulletsLv1"/>
        <w:rPr>
          <w:rStyle w:val="ECCParagraph"/>
        </w:rPr>
      </w:pPr>
      <w:r w:rsidRPr="00742FDE">
        <w:rPr>
          <w:rStyle w:val="ECCParagraph"/>
        </w:rPr>
        <w:t xml:space="preserve">ECC Report 303 "Guidance to administrations for Coexistence between 5G and Fixed Links in the 26 GHz band ("Toolbox")" </w:t>
      </w:r>
      <w:r w:rsidRPr="00742FDE">
        <w:rPr>
          <w:rStyle w:val="ECCParagraph"/>
        </w:rPr>
        <w:fldChar w:fldCharType="begin"/>
      </w:r>
      <w:r w:rsidRPr="00742FDE">
        <w:rPr>
          <w:rStyle w:val="ECCParagraph"/>
        </w:rPr>
        <w:instrText xml:space="preserve"> REF _Ref32245256 \r \h  \* MERGEFORMAT </w:instrText>
      </w:r>
      <w:r w:rsidRPr="00742FDE">
        <w:rPr>
          <w:rStyle w:val="ECCParagraph"/>
        </w:rPr>
      </w:r>
      <w:r w:rsidRPr="00742FDE">
        <w:rPr>
          <w:rStyle w:val="ECCParagraph"/>
        </w:rPr>
        <w:fldChar w:fldCharType="separate"/>
      </w:r>
      <w:r w:rsidR="00DE566A">
        <w:rPr>
          <w:rStyle w:val="ECCParagraph"/>
        </w:rPr>
        <w:t>[6]</w:t>
      </w:r>
      <w:r w:rsidRPr="00742FDE">
        <w:rPr>
          <w:rStyle w:val="ECCParagraph"/>
        </w:rPr>
        <w:fldChar w:fldCharType="end"/>
      </w:r>
      <w:r w:rsidR="006B12EA" w:rsidRPr="00742FDE">
        <w:rPr>
          <w:rStyle w:val="ECCParagraph"/>
        </w:rPr>
        <w:t>;</w:t>
      </w:r>
    </w:p>
    <w:p w14:paraId="2AEDF129" w14:textId="6B7F4FF2" w:rsidR="00816AA1" w:rsidRPr="00742FDE" w:rsidRDefault="00816AA1" w:rsidP="00F7797A">
      <w:pPr>
        <w:pStyle w:val="ECCBulletsLv2"/>
        <w:rPr>
          <w:rStyle w:val="ECCParagraph"/>
        </w:rPr>
      </w:pPr>
      <w:r w:rsidRPr="00742FDE">
        <w:rPr>
          <w:rStyle w:val="ECCParagraph"/>
        </w:rPr>
        <w:t xml:space="preserve">Although this </w:t>
      </w:r>
      <w:r w:rsidR="00E80513" w:rsidRPr="00742FDE">
        <w:rPr>
          <w:rStyle w:val="ECCParagraph"/>
        </w:rPr>
        <w:t>R</w:t>
      </w:r>
      <w:r w:rsidRPr="00742FDE">
        <w:rPr>
          <w:rStyle w:val="ECCParagraph"/>
        </w:rPr>
        <w:t xml:space="preserve">eport was developed under the assumption of an individual authorisation framework for 5G MFCN, it can provide some useful information if other authorisation </w:t>
      </w:r>
      <w:r w:rsidR="00292A5F" w:rsidRPr="00742FDE">
        <w:rPr>
          <w:rStyle w:val="ECCParagraph"/>
        </w:rPr>
        <w:t>regimes</w:t>
      </w:r>
      <w:r w:rsidR="0036446C" w:rsidRPr="00742FDE">
        <w:rPr>
          <w:rStyle w:val="ECCParagraph"/>
        </w:rPr>
        <w:t xml:space="preserve"> </w:t>
      </w:r>
      <w:r w:rsidRPr="00742FDE">
        <w:rPr>
          <w:rStyle w:val="ECCParagraph"/>
        </w:rPr>
        <w:t>are to be considered. Knowledge of the locations and parameters of the 5G MFCN base stations is nevertheless necessary if coordination with fixed services is to be managed on a national basis</w:t>
      </w:r>
      <w:r w:rsidR="00E80513" w:rsidRPr="00742FDE">
        <w:rPr>
          <w:rStyle w:val="ECCParagraph"/>
        </w:rPr>
        <w:t>;</w:t>
      </w:r>
    </w:p>
    <w:p w14:paraId="327809E9" w14:textId="4C60B793" w:rsidR="00372B45" w:rsidRPr="00742FDE" w:rsidRDefault="00816AA1" w:rsidP="00816AA1">
      <w:pPr>
        <w:pStyle w:val="ECCBulletsLv1"/>
        <w:rPr>
          <w:rStyle w:val="ECCParagraph"/>
        </w:rPr>
      </w:pPr>
      <w:r w:rsidRPr="00742FDE">
        <w:rPr>
          <w:rStyle w:val="ECCParagraph"/>
        </w:rPr>
        <w:t xml:space="preserve">ECC Report 307 </w:t>
      </w:r>
      <w:r w:rsidR="00FF6F3C" w:rsidRPr="00742FDE">
        <w:rPr>
          <w:rStyle w:val="ECCParagraph"/>
        </w:rPr>
        <w:t>"</w:t>
      </w:r>
      <w:r w:rsidRPr="00742FDE">
        <w:rPr>
          <w:rStyle w:val="ECCParagraph"/>
        </w:rPr>
        <w:t>Toolbox for the most appropriate synchronisation regulatory framework including coexistence of MFCN in 24.25-27.5 GHz in unsynchronised and semi-synchronised mode</w:t>
      </w:r>
      <w:r w:rsidR="00FF6F3C" w:rsidRPr="00742FDE">
        <w:rPr>
          <w:rStyle w:val="ECCParagraph"/>
        </w:rPr>
        <w:t>"</w:t>
      </w:r>
      <w:r w:rsidRPr="00742FDE">
        <w:rPr>
          <w:rStyle w:val="ECCParagraph"/>
        </w:rPr>
        <w:t xml:space="preserve"> </w:t>
      </w:r>
      <w:r w:rsidRPr="00742FDE">
        <w:rPr>
          <w:rStyle w:val="ECCParagraph"/>
        </w:rPr>
        <w:fldChar w:fldCharType="begin"/>
      </w:r>
      <w:r w:rsidRPr="00742FDE">
        <w:rPr>
          <w:rStyle w:val="ECCParagraph"/>
        </w:rPr>
        <w:instrText xml:space="preserve"> REF _Ref32245273 \r \h  \* MERGEFORMAT </w:instrText>
      </w:r>
      <w:r w:rsidRPr="00742FDE">
        <w:rPr>
          <w:rStyle w:val="ECCParagraph"/>
        </w:rPr>
      </w:r>
      <w:r w:rsidRPr="00742FDE">
        <w:rPr>
          <w:rStyle w:val="ECCParagraph"/>
        </w:rPr>
        <w:fldChar w:fldCharType="separate"/>
      </w:r>
      <w:r w:rsidR="00DE566A">
        <w:rPr>
          <w:rStyle w:val="ECCParagraph"/>
        </w:rPr>
        <w:t>[7]</w:t>
      </w:r>
      <w:r w:rsidRPr="00742FDE">
        <w:rPr>
          <w:rStyle w:val="ECCParagraph"/>
        </w:rPr>
        <w:fldChar w:fldCharType="end"/>
      </w:r>
      <w:r w:rsidR="006B12EA" w:rsidRPr="00742FDE">
        <w:rPr>
          <w:rStyle w:val="ECCParagraph"/>
        </w:rPr>
        <w:t>;</w:t>
      </w:r>
    </w:p>
    <w:p w14:paraId="054968F9" w14:textId="217C23D9" w:rsidR="00816AA1" w:rsidRPr="00742FDE" w:rsidRDefault="00816AA1" w:rsidP="00F7797A">
      <w:pPr>
        <w:pStyle w:val="ECCBulletsLv2"/>
        <w:rPr>
          <w:rStyle w:val="ECCParagraph"/>
        </w:rPr>
      </w:pPr>
      <w:r w:rsidRPr="00742FDE">
        <w:rPr>
          <w:rStyle w:val="ECCParagraph"/>
        </w:rPr>
        <w:t>In this Report, an authorisation regime where the base station locations are planned and well known was assumed. Additional studies would be required in order to extrapolate the conclusions of ECC Report 307 to a different authorisation regime with unplanned deployments.</w:t>
      </w:r>
    </w:p>
    <w:p w14:paraId="6C4CB8F9" w14:textId="04216C67" w:rsidR="00816AA1" w:rsidRPr="00742FDE" w:rsidRDefault="00816AA1" w:rsidP="00816AA1">
      <w:pPr>
        <w:rPr>
          <w:rStyle w:val="ECCParagraph"/>
        </w:rPr>
      </w:pPr>
      <w:r w:rsidRPr="00742FDE">
        <w:rPr>
          <w:rStyle w:val="ECCParagraph"/>
        </w:rPr>
        <w:t>The above ECC deliverables have been developed under the assumption of individual authorisation regime (traditional method of authorising MFCN (i.e. national</w:t>
      </w:r>
      <w:r w:rsidR="00F36919" w:rsidRPr="00742FDE">
        <w:rPr>
          <w:rStyle w:val="ECCParagraph"/>
        </w:rPr>
        <w:t xml:space="preserve"> </w:t>
      </w:r>
      <w:r w:rsidR="008B44AA" w:rsidRPr="00742FDE">
        <w:rPr>
          <w:rStyle w:val="ECCParagraph"/>
        </w:rPr>
        <w:t xml:space="preserve">authorisation regimes </w:t>
      </w:r>
      <w:r w:rsidR="001104A8" w:rsidRPr="00742FDE">
        <w:rPr>
          <w:rStyle w:val="ECCParagraph"/>
        </w:rPr>
        <w:t xml:space="preserve">may be based on </w:t>
      </w:r>
      <w:r w:rsidR="008B44AA" w:rsidRPr="00742FDE">
        <w:rPr>
          <w:rStyle w:val="ECCParagraph"/>
        </w:rPr>
        <w:t>radio</w:t>
      </w:r>
      <w:r w:rsidRPr="00742FDE">
        <w:rPr>
          <w:rStyle w:val="ECCParagraph"/>
        </w:rPr>
        <w:t xml:space="preserve"> licences</w:t>
      </w:r>
      <w:r w:rsidR="008B44AA" w:rsidRPr="00742FDE">
        <w:rPr>
          <w:rStyle w:val="ECCParagraph"/>
        </w:rPr>
        <w:t xml:space="preserve"> and</w:t>
      </w:r>
      <w:r w:rsidR="00F36919" w:rsidRPr="00742FDE">
        <w:rPr>
          <w:rStyle w:val="ECCParagraph"/>
        </w:rPr>
        <w:t>/</w:t>
      </w:r>
      <w:r w:rsidR="008B44AA" w:rsidRPr="00742FDE">
        <w:rPr>
          <w:rStyle w:val="ECCParagraph"/>
        </w:rPr>
        <w:t xml:space="preserve">or </w:t>
      </w:r>
      <w:r w:rsidR="00292A5F" w:rsidRPr="00742FDE">
        <w:rPr>
          <w:rStyle w:val="ECCParagraph"/>
        </w:rPr>
        <w:t xml:space="preserve">spectrum </w:t>
      </w:r>
      <w:r w:rsidR="00F36919" w:rsidRPr="00742FDE">
        <w:rPr>
          <w:rStyle w:val="ECCParagraph"/>
        </w:rPr>
        <w:t>Rights of Use</w:t>
      </w:r>
      <w:r w:rsidRPr="00742FDE">
        <w:rPr>
          <w:rStyle w:val="ECCParagraph"/>
        </w:rPr>
        <w:t xml:space="preserve">)) in line with ECC Decision (18)06. When considering these recommendations and reports, administrations should also take into consideration this Report on the impact of different authorisation </w:t>
      </w:r>
      <w:r w:rsidR="00292A5F" w:rsidRPr="00742FDE">
        <w:rPr>
          <w:rStyle w:val="ECCParagraph"/>
        </w:rPr>
        <w:t>regimes</w:t>
      </w:r>
      <w:r w:rsidR="00BE7832" w:rsidRPr="00742FDE">
        <w:rPr>
          <w:rStyle w:val="ECCParagraph"/>
        </w:rPr>
        <w:t xml:space="preserve"> </w:t>
      </w:r>
      <w:r w:rsidRPr="00742FDE">
        <w:rPr>
          <w:rStyle w:val="ECCParagraph"/>
        </w:rPr>
        <w:t>from the traditional method of authorising MFCN.</w:t>
      </w:r>
    </w:p>
    <w:p w14:paraId="5644B357" w14:textId="2227F4F3" w:rsidR="007D06F4" w:rsidRPr="00742FDE" w:rsidRDefault="00816AA1" w:rsidP="00264464">
      <w:pPr>
        <w:rPr>
          <w:rStyle w:val="ECCParagraph"/>
        </w:rPr>
      </w:pPr>
      <w:r w:rsidRPr="00742FDE">
        <w:rPr>
          <w:rStyle w:val="ECCParagraph"/>
        </w:rPr>
        <w:t>This Report describes various authorisation regimes</w:t>
      </w:r>
      <w:r w:rsidRPr="00742FDE">
        <w:t xml:space="preserve"> </w:t>
      </w:r>
      <w:r w:rsidRPr="00742FDE">
        <w:rPr>
          <w:rStyle w:val="ECCParagraph"/>
        </w:rPr>
        <w:t xml:space="preserve">other than </w:t>
      </w:r>
      <w:r w:rsidR="00292A5F" w:rsidRPr="00742FDE">
        <w:rPr>
          <w:rStyle w:val="ECCParagraph"/>
        </w:rPr>
        <w:t xml:space="preserve">individual rights of use (including </w:t>
      </w:r>
      <w:r w:rsidR="0033495D" w:rsidRPr="00742FDE">
        <w:rPr>
          <w:rStyle w:val="ECCParagraph"/>
        </w:rPr>
        <w:t>national authorisation regimes</w:t>
      </w:r>
      <w:r w:rsidR="00292A5F" w:rsidRPr="00742FDE">
        <w:rPr>
          <w:rStyle w:val="ECCParagraph"/>
        </w:rPr>
        <w:t>)</w:t>
      </w:r>
      <w:r w:rsidR="0033495D" w:rsidRPr="00742FDE">
        <w:rPr>
          <w:rStyle w:val="ECCParagraph"/>
        </w:rPr>
        <w:t xml:space="preserve"> </w:t>
      </w:r>
      <w:r w:rsidR="001104A8" w:rsidRPr="00742FDE">
        <w:rPr>
          <w:rStyle w:val="ECCParagraph"/>
        </w:rPr>
        <w:t xml:space="preserve">which may be based on </w:t>
      </w:r>
      <w:r w:rsidR="0033495D" w:rsidRPr="00742FDE">
        <w:rPr>
          <w:rStyle w:val="ECCParagraph"/>
        </w:rPr>
        <w:t xml:space="preserve">radio licenses and/or </w:t>
      </w:r>
      <w:r w:rsidR="00292A5F" w:rsidRPr="00742FDE">
        <w:rPr>
          <w:rStyle w:val="ECCParagraph"/>
        </w:rPr>
        <w:t xml:space="preserve">spectrum </w:t>
      </w:r>
      <w:r w:rsidR="0033495D" w:rsidRPr="00742FDE">
        <w:rPr>
          <w:rStyle w:val="ECCParagraph"/>
        </w:rPr>
        <w:t>R</w:t>
      </w:r>
      <w:r w:rsidRPr="00742FDE">
        <w:rPr>
          <w:rStyle w:val="ECCParagraph"/>
        </w:rPr>
        <w:t xml:space="preserve">ights of </w:t>
      </w:r>
      <w:r w:rsidR="0033495D" w:rsidRPr="00742FDE">
        <w:rPr>
          <w:rStyle w:val="ECCParagraph"/>
        </w:rPr>
        <w:t>U</w:t>
      </w:r>
      <w:r w:rsidRPr="00742FDE">
        <w:rPr>
          <w:rStyle w:val="ECCParagraph"/>
        </w:rPr>
        <w:t xml:space="preserve">se and includes the assessment of the impact of the different authorisation </w:t>
      </w:r>
      <w:r w:rsidR="00292A5F" w:rsidRPr="00742FDE">
        <w:rPr>
          <w:rStyle w:val="ECCParagraph"/>
        </w:rPr>
        <w:t>regimes</w:t>
      </w:r>
      <w:r w:rsidR="00223586" w:rsidRPr="00742FDE">
        <w:rPr>
          <w:rStyle w:val="ECCParagraph"/>
        </w:rPr>
        <w:t xml:space="preserve"> </w:t>
      </w:r>
      <w:r w:rsidRPr="00742FDE">
        <w:rPr>
          <w:rStyle w:val="ECCParagraph"/>
        </w:rPr>
        <w:t>to existing services without considering any changes to the harmonised technical conditions (ECC Decision (18)06). In some cases, it provides some possible solutions or guidance to be implemented at national level while respecting the harmonised technical conditions.</w:t>
      </w:r>
      <w:r w:rsidR="003C1D22" w:rsidRPr="00742FDE">
        <w:rPr>
          <w:rStyle w:val="ECCParagraph"/>
        </w:rPr>
        <w:t xml:space="preserve"> There are certain authorisation </w:t>
      </w:r>
      <w:r w:rsidR="000E474F" w:rsidRPr="00742FDE">
        <w:rPr>
          <w:rStyle w:val="ECCParagraph"/>
        </w:rPr>
        <w:t xml:space="preserve">regimes </w:t>
      </w:r>
      <w:r w:rsidR="003C1D22" w:rsidRPr="00742FDE">
        <w:rPr>
          <w:rStyle w:val="ECCParagraph"/>
        </w:rPr>
        <w:t xml:space="preserve">where a need for additional/supplementary </w:t>
      </w:r>
      <w:r w:rsidR="004D4096" w:rsidRPr="00742FDE">
        <w:rPr>
          <w:rStyle w:val="ECCParagraph"/>
        </w:rPr>
        <w:t>studies</w:t>
      </w:r>
      <w:r w:rsidR="003562B1" w:rsidRPr="00742FDE">
        <w:rPr>
          <w:rStyle w:val="ECCParagraph"/>
        </w:rPr>
        <w:t xml:space="preserve"> has been identified.</w:t>
      </w:r>
      <w:r w:rsidRPr="00742FDE">
        <w:rPr>
          <w:rStyle w:val="ECCParagraph"/>
        </w:rPr>
        <w:t xml:space="preserve"> Finally</w:t>
      </w:r>
      <w:r w:rsidR="00FF6F3C" w:rsidRPr="00742FDE">
        <w:rPr>
          <w:rStyle w:val="ECCParagraph"/>
        </w:rPr>
        <w:t>,</w:t>
      </w:r>
      <w:r w:rsidRPr="00742FDE">
        <w:rPr>
          <w:rStyle w:val="ECCParagraph"/>
        </w:rPr>
        <w:t xml:space="preserve"> the </w:t>
      </w:r>
      <w:r w:rsidR="00F7797A" w:rsidRPr="00742FDE">
        <w:rPr>
          <w:rStyle w:val="ECCParagraph"/>
        </w:rPr>
        <w:t>R</w:t>
      </w:r>
      <w:r w:rsidRPr="00742FDE">
        <w:rPr>
          <w:rStyle w:val="ECCParagraph"/>
        </w:rPr>
        <w:t>eport contains some possible follow up actions.</w:t>
      </w:r>
    </w:p>
    <w:p w14:paraId="24A0F875" w14:textId="77777777" w:rsidR="00F77680" w:rsidRPr="00742FDE" w:rsidRDefault="00F77680" w:rsidP="00264464">
      <w:pPr>
        <w:rPr>
          <w:rStyle w:val="ECCParagraph"/>
        </w:rPr>
      </w:pPr>
      <w:r w:rsidRPr="00742FDE">
        <w:rPr>
          <w:rStyle w:val="ECCParagraph"/>
        </w:rPr>
        <w:br w:type="page"/>
      </w:r>
    </w:p>
    <w:p w14:paraId="4E6870E7" w14:textId="77777777" w:rsidR="00F77680" w:rsidRPr="00742FDE" w:rsidRDefault="00F77680" w:rsidP="00E2303A">
      <w:pPr>
        <w:pStyle w:val="coverpageTableofContent"/>
        <w:rPr>
          <w:noProof w:val="0"/>
          <w:lang w:val="en-GB"/>
        </w:rPr>
      </w:pPr>
    </w:p>
    <w:p w14:paraId="17C023F0" w14:textId="77777777" w:rsidR="008A54FC" w:rsidRPr="00742FDE" w:rsidRDefault="005C5A96" w:rsidP="00E2303A">
      <w:pPr>
        <w:pStyle w:val="coverpageTableofContent"/>
        <w:rPr>
          <w:noProof w:val="0"/>
          <w:lang w:val="en-GB"/>
        </w:rPr>
      </w:pPr>
      <w:r w:rsidRPr="00742FDE">
        <w:rPr>
          <w:lang w:val="en-GB"/>
        </w:rPr>
        <mc:AlternateContent>
          <mc:Choice Requires="wps">
            <w:drawing>
              <wp:anchor distT="0" distB="0" distL="114300" distR="114300" simplePos="0" relativeHeight="251657216" behindDoc="1" locked="1" layoutInCell="1" allowOverlap="1" wp14:anchorId="2949384A" wp14:editId="79014426">
                <wp:simplePos x="0" y="0"/>
                <wp:positionH relativeFrom="page">
                  <wp:posOffset>0</wp:posOffset>
                </wp:positionH>
                <wp:positionV relativeFrom="page">
                  <wp:posOffset>900430</wp:posOffset>
                </wp:positionV>
                <wp:extent cx="7585200" cy="71640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200" cy="7164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21F321" w14:textId="77777777" w:rsidR="005F4D12" w:rsidRPr="005C5A96" w:rsidRDefault="005F4D12" w:rsidP="005C5A96">
                            <w:pPr>
                              <w:pStyle w:val="coverpageTableofContent"/>
                            </w:pPr>
                          </w:p>
                          <w:p w14:paraId="2A79068A" w14:textId="77777777" w:rsidR="005F4D12" w:rsidRDefault="005F4D12" w:rsidP="00E2303A">
                            <w:pPr>
                              <w:pStyle w:val="coverpageTableofContent"/>
                            </w:pPr>
                          </w:p>
                          <w:p w14:paraId="7FFCB5E5" w14:textId="77777777" w:rsidR="005F4D12" w:rsidRPr="003226D8" w:rsidRDefault="005F4D12" w:rsidP="004930E1">
                            <w:pPr>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49384A" id="Rectangle 21" o:spid="_x0000_s1034" style="position:absolute;left:0;text-align:left;margin-left:0;margin-top:70.9pt;width:597.25pt;height:5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" fillcolor="#b0a696" stroked="f">
                <v:textbox>
                  <w:txbxContent>
                    <w:p w14:paraId="4D21F321" w14:textId="77777777" w:rsidR="005F4D12" w:rsidRPr="005C5A96" w:rsidRDefault="005F4D12" w:rsidP="005C5A96">
                      <w:pPr>
                        <w:pStyle w:val="coverpageTableofContent"/>
                      </w:pPr>
                    </w:p>
                    <w:p w14:paraId="2A79068A" w14:textId="77777777" w:rsidR="005F4D12" w:rsidRDefault="005F4D12" w:rsidP="00E2303A">
                      <w:pPr>
                        <w:pStyle w:val="coverpageTableofContent"/>
                      </w:pPr>
                    </w:p>
                    <w:p w14:paraId="7FFCB5E5" w14:textId="77777777" w:rsidR="005F4D12" w:rsidRPr="003226D8" w:rsidRDefault="005F4D12" w:rsidP="004930E1">
                      <w:pPr>
                        <w:rPr>
                          <w:rStyle w:val="ECCParagraph"/>
                        </w:rPr>
                      </w:pPr>
                    </w:p>
                  </w:txbxContent>
                </v:textbox>
                <w10:wrap anchorx="page" anchory="page"/>
                <w10:anchorlock/>
              </v:rect>
            </w:pict>
          </mc:Fallback>
        </mc:AlternateContent>
      </w:r>
      <w:r w:rsidR="00E059C5" w:rsidRPr="00742FDE">
        <w:rPr>
          <w:noProof w:val="0"/>
          <w:lang w:val="en-GB"/>
        </w:rPr>
        <w:t>T</w:t>
      </w:r>
      <w:r w:rsidR="00763BA3" w:rsidRPr="00742FDE">
        <w:rPr>
          <w:noProof w:val="0"/>
          <w:lang w:val="en-GB"/>
        </w:rPr>
        <w:t>ABLE OF CONTENTS</w:t>
      </w:r>
    </w:p>
    <w:p w14:paraId="412F75BF" w14:textId="77777777" w:rsidR="00067793" w:rsidRPr="00742FDE" w:rsidRDefault="00067793" w:rsidP="00AC2686">
      <w:pPr>
        <w:pStyle w:val="coverpageTableofContent"/>
        <w:rPr>
          <w:noProof w:val="0"/>
          <w:lang w:val="en-GB"/>
        </w:rPr>
      </w:pPr>
    </w:p>
    <w:p w14:paraId="5DC8D0D2" w14:textId="278C5B0F" w:rsidR="00DE566A" w:rsidRDefault="00A90997">
      <w:pPr>
        <w:pStyle w:val="TOC1"/>
        <w:rPr>
          <w:rFonts w:asciiTheme="minorHAnsi" w:eastAsiaTheme="minorEastAsia" w:hAnsiTheme="minorHAnsi" w:cstheme="minorBidi"/>
          <w:b w:val="0"/>
          <w:noProof/>
          <w:sz w:val="22"/>
          <w:szCs w:val="22"/>
          <w:lang w:val="da-DK" w:eastAsia="da-DK"/>
        </w:rPr>
      </w:pPr>
      <w:r w:rsidRPr="00742FDE">
        <w:rPr>
          <w:rStyle w:val="ECCParagraph"/>
          <w:b w:val="0"/>
        </w:rPr>
        <w:fldChar w:fldCharType="begin"/>
      </w:r>
      <w:r w:rsidRPr="00742FDE">
        <w:rPr>
          <w:rStyle w:val="ECCParagraph"/>
          <w:b w:val="0"/>
        </w:rPr>
        <w:instrText xml:space="preserve"> TOC \o "1-4" \h \z \t "ECC Annex heading1;1" </w:instrText>
      </w:r>
      <w:r w:rsidRPr="00742FDE">
        <w:rPr>
          <w:rStyle w:val="ECCParagraph"/>
          <w:b w:val="0"/>
        </w:rPr>
        <w:fldChar w:fldCharType="separate"/>
      </w:r>
      <w:hyperlink w:anchor="_Toc45610640" w:history="1">
        <w:r w:rsidR="00DE566A" w:rsidRPr="00DD21D6">
          <w:rPr>
            <w:rStyle w:val="Hyperlink"/>
            <w:noProof/>
          </w:rPr>
          <w:t>0</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Executive summary</w:t>
        </w:r>
        <w:r w:rsidR="00DE566A">
          <w:rPr>
            <w:noProof/>
            <w:webHidden/>
          </w:rPr>
          <w:tab/>
        </w:r>
        <w:r w:rsidR="00DE566A">
          <w:rPr>
            <w:noProof/>
            <w:webHidden/>
          </w:rPr>
          <w:fldChar w:fldCharType="begin"/>
        </w:r>
        <w:r w:rsidR="00DE566A">
          <w:rPr>
            <w:noProof/>
            <w:webHidden/>
          </w:rPr>
          <w:instrText xml:space="preserve"> PAGEREF _Toc45610640 \h </w:instrText>
        </w:r>
        <w:r w:rsidR="00DE566A">
          <w:rPr>
            <w:noProof/>
            <w:webHidden/>
          </w:rPr>
        </w:r>
        <w:r w:rsidR="00DE566A">
          <w:rPr>
            <w:noProof/>
            <w:webHidden/>
          </w:rPr>
          <w:fldChar w:fldCharType="separate"/>
        </w:r>
        <w:r w:rsidR="00DE566A">
          <w:rPr>
            <w:noProof/>
            <w:webHidden/>
          </w:rPr>
          <w:t>2</w:t>
        </w:r>
        <w:r w:rsidR="00DE566A">
          <w:rPr>
            <w:noProof/>
            <w:webHidden/>
          </w:rPr>
          <w:fldChar w:fldCharType="end"/>
        </w:r>
      </w:hyperlink>
    </w:p>
    <w:p w14:paraId="7C000112" w14:textId="2D386192" w:rsidR="00DE566A" w:rsidRDefault="002E5D5C">
      <w:pPr>
        <w:pStyle w:val="TOC1"/>
        <w:rPr>
          <w:rFonts w:asciiTheme="minorHAnsi" w:eastAsiaTheme="minorEastAsia" w:hAnsiTheme="minorHAnsi" w:cstheme="minorBidi"/>
          <w:b w:val="0"/>
          <w:noProof/>
          <w:sz w:val="22"/>
          <w:szCs w:val="22"/>
          <w:lang w:val="da-DK" w:eastAsia="da-DK"/>
        </w:rPr>
      </w:pPr>
      <w:hyperlink w:anchor="_Toc45610641" w:history="1">
        <w:r w:rsidR="00DE566A" w:rsidRPr="00DD21D6">
          <w:rPr>
            <w:rStyle w:val="Hyperlink"/>
            <w:noProof/>
          </w:rPr>
          <w:t>1</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Introduction</w:t>
        </w:r>
        <w:r w:rsidR="00DE566A">
          <w:rPr>
            <w:noProof/>
            <w:webHidden/>
          </w:rPr>
          <w:tab/>
        </w:r>
        <w:r w:rsidR="00DE566A">
          <w:rPr>
            <w:noProof/>
            <w:webHidden/>
          </w:rPr>
          <w:fldChar w:fldCharType="begin"/>
        </w:r>
        <w:r w:rsidR="00DE566A">
          <w:rPr>
            <w:noProof/>
            <w:webHidden/>
          </w:rPr>
          <w:instrText xml:space="preserve"> PAGEREF _Toc45610641 \h </w:instrText>
        </w:r>
        <w:r w:rsidR="00DE566A">
          <w:rPr>
            <w:noProof/>
            <w:webHidden/>
          </w:rPr>
        </w:r>
        <w:r w:rsidR="00DE566A">
          <w:rPr>
            <w:noProof/>
            <w:webHidden/>
          </w:rPr>
          <w:fldChar w:fldCharType="separate"/>
        </w:r>
        <w:r w:rsidR="00DE566A">
          <w:rPr>
            <w:noProof/>
            <w:webHidden/>
          </w:rPr>
          <w:t>5</w:t>
        </w:r>
        <w:r w:rsidR="00DE566A">
          <w:rPr>
            <w:noProof/>
            <w:webHidden/>
          </w:rPr>
          <w:fldChar w:fldCharType="end"/>
        </w:r>
      </w:hyperlink>
    </w:p>
    <w:p w14:paraId="27360840" w14:textId="254353CF" w:rsidR="00DE566A" w:rsidRDefault="002E5D5C">
      <w:pPr>
        <w:pStyle w:val="TOC1"/>
        <w:rPr>
          <w:rFonts w:asciiTheme="minorHAnsi" w:eastAsiaTheme="minorEastAsia" w:hAnsiTheme="minorHAnsi" w:cstheme="minorBidi"/>
          <w:b w:val="0"/>
          <w:noProof/>
          <w:sz w:val="22"/>
          <w:szCs w:val="22"/>
          <w:lang w:val="da-DK" w:eastAsia="da-DK"/>
        </w:rPr>
      </w:pPr>
      <w:hyperlink w:anchor="_Toc45610642" w:history="1">
        <w:r w:rsidR="00DE566A" w:rsidRPr="00DD21D6">
          <w:rPr>
            <w:rStyle w:val="Hyperlink"/>
            <w:noProof/>
          </w:rPr>
          <w:t>2</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Authorisation regimes available to administrations for MFCN in 26 GHz</w:t>
        </w:r>
        <w:r w:rsidR="00DE566A">
          <w:rPr>
            <w:noProof/>
            <w:webHidden/>
          </w:rPr>
          <w:tab/>
        </w:r>
        <w:r w:rsidR="00DE566A">
          <w:rPr>
            <w:noProof/>
            <w:webHidden/>
          </w:rPr>
          <w:fldChar w:fldCharType="begin"/>
        </w:r>
        <w:r w:rsidR="00DE566A">
          <w:rPr>
            <w:noProof/>
            <w:webHidden/>
          </w:rPr>
          <w:instrText xml:space="preserve"> PAGEREF _Toc45610642 \h </w:instrText>
        </w:r>
        <w:r w:rsidR="00DE566A">
          <w:rPr>
            <w:noProof/>
            <w:webHidden/>
          </w:rPr>
        </w:r>
        <w:r w:rsidR="00DE566A">
          <w:rPr>
            <w:noProof/>
            <w:webHidden/>
          </w:rPr>
          <w:fldChar w:fldCharType="separate"/>
        </w:r>
        <w:r w:rsidR="00DE566A">
          <w:rPr>
            <w:noProof/>
            <w:webHidden/>
          </w:rPr>
          <w:t>6</w:t>
        </w:r>
        <w:r w:rsidR="00DE566A">
          <w:rPr>
            <w:noProof/>
            <w:webHidden/>
          </w:rPr>
          <w:fldChar w:fldCharType="end"/>
        </w:r>
      </w:hyperlink>
    </w:p>
    <w:p w14:paraId="5EE74AB4" w14:textId="0DF6E974" w:rsidR="00DE566A" w:rsidRDefault="002E5D5C">
      <w:pPr>
        <w:pStyle w:val="TOC3"/>
        <w:rPr>
          <w:rFonts w:asciiTheme="minorHAnsi" w:eastAsiaTheme="minorEastAsia" w:hAnsiTheme="minorHAnsi" w:cstheme="minorBidi"/>
          <w:sz w:val="22"/>
          <w:szCs w:val="22"/>
          <w:lang w:val="da-DK" w:eastAsia="da-DK"/>
        </w:rPr>
      </w:pPr>
      <w:hyperlink w:anchor="_Toc45610643" w:history="1">
        <w:r w:rsidR="00DE566A" w:rsidRPr="00DD21D6">
          <w:rPr>
            <w:rStyle w:val="Hyperlink"/>
          </w:rPr>
          <w:t>2.1.1</w:t>
        </w:r>
        <w:r w:rsidR="00DE566A">
          <w:rPr>
            <w:rFonts w:asciiTheme="minorHAnsi" w:eastAsiaTheme="minorEastAsia" w:hAnsiTheme="minorHAnsi" w:cstheme="minorBidi"/>
            <w:sz w:val="22"/>
            <w:szCs w:val="22"/>
            <w:lang w:val="da-DK" w:eastAsia="da-DK"/>
          </w:rPr>
          <w:tab/>
        </w:r>
        <w:r w:rsidR="00DE566A" w:rsidRPr="00DD21D6">
          <w:rPr>
            <w:rStyle w:val="Hyperlink"/>
          </w:rPr>
          <w:t>National licence</w:t>
        </w:r>
        <w:r w:rsidR="00DE566A">
          <w:rPr>
            <w:webHidden/>
          </w:rPr>
          <w:tab/>
        </w:r>
        <w:r w:rsidR="00DE566A">
          <w:rPr>
            <w:webHidden/>
          </w:rPr>
          <w:fldChar w:fldCharType="begin"/>
        </w:r>
        <w:r w:rsidR="00DE566A">
          <w:rPr>
            <w:webHidden/>
          </w:rPr>
          <w:instrText xml:space="preserve"> PAGEREF _Toc45610643 \h </w:instrText>
        </w:r>
        <w:r w:rsidR="00DE566A">
          <w:rPr>
            <w:webHidden/>
          </w:rPr>
        </w:r>
        <w:r w:rsidR="00DE566A">
          <w:rPr>
            <w:webHidden/>
          </w:rPr>
          <w:fldChar w:fldCharType="separate"/>
        </w:r>
        <w:r w:rsidR="00DE566A">
          <w:rPr>
            <w:webHidden/>
          </w:rPr>
          <w:t>6</w:t>
        </w:r>
        <w:r w:rsidR="00DE566A">
          <w:rPr>
            <w:webHidden/>
          </w:rPr>
          <w:fldChar w:fldCharType="end"/>
        </w:r>
      </w:hyperlink>
    </w:p>
    <w:p w14:paraId="6A29B1DB" w14:textId="1DF31B88" w:rsidR="00DE566A" w:rsidRDefault="002E5D5C">
      <w:pPr>
        <w:pStyle w:val="TOC3"/>
        <w:rPr>
          <w:rFonts w:asciiTheme="minorHAnsi" w:eastAsiaTheme="minorEastAsia" w:hAnsiTheme="minorHAnsi" w:cstheme="minorBidi"/>
          <w:sz w:val="22"/>
          <w:szCs w:val="22"/>
          <w:lang w:val="da-DK" w:eastAsia="da-DK"/>
        </w:rPr>
      </w:pPr>
      <w:hyperlink w:anchor="_Toc45610644" w:history="1">
        <w:r w:rsidR="00DE566A" w:rsidRPr="00DD21D6">
          <w:rPr>
            <w:rStyle w:val="Hyperlink"/>
          </w:rPr>
          <w:t>2.1.2</w:t>
        </w:r>
        <w:r w:rsidR="00DE566A">
          <w:rPr>
            <w:rFonts w:asciiTheme="minorHAnsi" w:eastAsiaTheme="minorEastAsia" w:hAnsiTheme="minorHAnsi" w:cstheme="minorBidi"/>
            <w:sz w:val="22"/>
            <w:szCs w:val="22"/>
            <w:lang w:val="da-DK" w:eastAsia="da-DK"/>
          </w:rPr>
          <w:tab/>
        </w:r>
        <w:r w:rsidR="00DE566A" w:rsidRPr="00DD21D6">
          <w:rPr>
            <w:rStyle w:val="Hyperlink"/>
          </w:rPr>
          <w:t>Local licences</w:t>
        </w:r>
        <w:r w:rsidR="00DE566A">
          <w:rPr>
            <w:webHidden/>
          </w:rPr>
          <w:tab/>
        </w:r>
        <w:r w:rsidR="00DE566A">
          <w:rPr>
            <w:webHidden/>
          </w:rPr>
          <w:fldChar w:fldCharType="begin"/>
        </w:r>
        <w:r w:rsidR="00DE566A">
          <w:rPr>
            <w:webHidden/>
          </w:rPr>
          <w:instrText xml:space="preserve"> PAGEREF _Toc45610644 \h </w:instrText>
        </w:r>
        <w:r w:rsidR="00DE566A">
          <w:rPr>
            <w:webHidden/>
          </w:rPr>
        </w:r>
        <w:r w:rsidR="00DE566A">
          <w:rPr>
            <w:webHidden/>
          </w:rPr>
          <w:fldChar w:fldCharType="separate"/>
        </w:r>
        <w:r w:rsidR="00DE566A">
          <w:rPr>
            <w:webHidden/>
          </w:rPr>
          <w:t>6</w:t>
        </w:r>
        <w:r w:rsidR="00DE566A">
          <w:rPr>
            <w:webHidden/>
          </w:rPr>
          <w:fldChar w:fldCharType="end"/>
        </w:r>
      </w:hyperlink>
    </w:p>
    <w:p w14:paraId="5C990FEC" w14:textId="03C95A24" w:rsidR="00DE566A" w:rsidRDefault="002E5D5C">
      <w:pPr>
        <w:pStyle w:val="TOC3"/>
        <w:rPr>
          <w:rFonts w:asciiTheme="minorHAnsi" w:eastAsiaTheme="minorEastAsia" w:hAnsiTheme="minorHAnsi" w:cstheme="minorBidi"/>
          <w:sz w:val="22"/>
          <w:szCs w:val="22"/>
          <w:lang w:val="da-DK" w:eastAsia="da-DK"/>
        </w:rPr>
      </w:pPr>
      <w:hyperlink w:anchor="_Toc45610645" w:history="1">
        <w:r w:rsidR="00DE566A" w:rsidRPr="00DD21D6">
          <w:rPr>
            <w:rStyle w:val="Hyperlink"/>
          </w:rPr>
          <w:t>2.1.3</w:t>
        </w:r>
        <w:r w:rsidR="00DE566A">
          <w:rPr>
            <w:rFonts w:asciiTheme="minorHAnsi" w:eastAsiaTheme="minorEastAsia" w:hAnsiTheme="minorHAnsi" w:cstheme="minorBidi"/>
            <w:sz w:val="22"/>
            <w:szCs w:val="22"/>
            <w:lang w:val="da-DK" w:eastAsia="da-DK"/>
          </w:rPr>
          <w:tab/>
        </w:r>
        <w:r w:rsidR="00DE566A" w:rsidRPr="00DD21D6">
          <w:rPr>
            <w:rStyle w:val="Hyperlink"/>
          </w:rPr>
          <w:t>Light Licensing</w:t>
        </w:r>
        <w:r w:rsidR="00DE566A">
          <w:rPr>
            <w:webHidden/>
          </w:rPr>
          <w:tab/>
        </w:r>
        <w:r w:rsidR="00DE566A">
          <w:rPr>
            <w:webHidden/>
          </w:rPr>
          <w:fldChar w:fldCharType="begin"/>
        </w:r>
        <w:r w:rsidR="00DE566A">
          <w:rPr>
            <w:webHidden/>
          </w:rPr>
          <w:instrText xml:space="preserve"> PAGEREF _Toc45610645 \h </w:instrText>
        </w:r>
        <w:r w:rsidR="00DE566A">
          <w:rPr>
            <w:webHidden/>
          </w:rPr>
        </w:r>
        <w:r w:rsidR="00DE566A">
          <w:rPr>
            <w:webHidden/>
          </w:rPr>
          <w:fldChar w:fldCharType="separate"/>
        </w:r>
        <w:r w:rsidR="00DE566A">
          <w:rPr>
            <w:webHidden/>
          </w:rPr>
          <w:t>6</w:t>
        </w:r>
        <w:r w:rsidR="00DE566A">
          <w:rPr>
            <w:webHidden/>
          </w:rPr>
          <w:fldChar w:fldCharType="end"/>
        </w:r>
      </w:hyperlink>
    </w:p>
    <w:p w14:paraId="7704CA1D" w14:textId="79B2A580" w:rsidR="00DE566A" w:rsidRDefault="002E5D5C">
      <w:pPr>
        <w:pStyle w:val="TOC3"/>
        <w:rPr>
          <w:rFonts w:asciiTheme="minorHAnsi" w:eastAsiaTheme="minorEastAsia" w:hAnsiTheme="minorHAnsi" w:cstheme="minorBidi"/>
          <w:sz w:val="22"/>
          <w:szCs w:val="22"/>
          <w:lang w:val="da-DK" w:eastAsia="da-DK"/>
        </w:rPr>
      </w:pPr>
      <w:hyperlink w:anchor="_Toc45610646" w:history="1">
        <w:r w:rsidR="00DE566A" w:rsidRPr="00DD21D6">
          <w:rPr>
            <w:rStyle w:val="Hyperlink"/>
          </w:rPr>
          <w:t>2.1.4</w:t>
        </w:r>
        <w:r w:rsidR="00DE566A">
          <w:rPr>
            <w:rFonts w:asciiTheme="minorHAnsi" w:eastAsiaTheme="minorEastAsia" w:hAnsiTheme="minorHAnsi" w:cstheme="minorBidi"/>
            <w:sz w:val="22"/>
            <w:szCs w:val="22"/>
            <w:lang w:val="da-DK" w:eastAsia="da-DK"/>
          </w:rPr>
          <w:tab/>
        </w:r>
        <w:r w:rsidR="00DE566A" w:rsidRPr="00DD21D6">
          <w:rPr>
            <w:rStyle w:val="Hyperlink"/>
          </w:rPr>
          <w:t>Nationwide general authorisation</w:t>
        </w:r>
        <w:r w:rsidR="00DE566A">
          <w:rPr>
            <w:webHidden/>
          </w:rPr>
          <w:tab/>
        </w:r>
        <w:r w:rsidR="00DE566A">
          <w:rPr>
            <w:webHidden/>
          </w:rPr>
          <w:fldChar w:fldCharType="begin"/>
        </w:r>
        <w:r w:rsidR="00DE566A">
          <w:rPr>
            <w:webHidden/>
          </w:rPr>
          <w:instrText xml:space="preserve"> PAGEREF _Toc45610646 \h </w:instrText>
        </w:r>
        <w:r w:rsidR="00DE566A">
          <w:rPr>
            <w:webHidden/>
          </w:rPr>
        </w:r>
        <w:r w:rsidR="00DE566A">
          <w:rPr>
            <w:webHidden/>
          </w:rPr>
          <w:fldChar w:fldCharType="separate"/>
        </w:r>
        <w:r w:rsidR="00DE566A">
          <w:rPr>
            <w:webHidden/>
          </w:rPr>
          <w:t>7</w:t>
        </w:r>
        <w:r w:rsidR="00DE566A">
          <w:rPr>
            <w:webHidden/>
          </w:rPr>
          <w:fldChar w:fldCharType="end"/>
        </w:r>
      </w:hyperlink>
    </w:p>
    <w:p w14:paraId="0DCAC4A2" w14:textId="5A2004C9" w:rsidR="00DE566A" w:rsidRDefault="002E5D5C">
      <w:pPr>
        <w:pStyle w:val="TOC3"/>
        <w:rPr>
          <w:rFonts w:asciiTheme="minorHAnsi" w:eastAsiaTheme="minorEastAsia" w:hAnsiTheme="minorHAnsi" w:cstheme="minorBidi"/>
          <w:sz w:val="22"/>
          <w:szCs w:val="22"/>
          <w:lang w:val="da-DK" w:eastAsia="da-DK"/>
        </w:rPr>
      </w:pPr>
      <w:hyperlink w:anchor="_Toc45610647" w:history="1">
        <w:r w:rsidR="00DE566A" w:rsidRPr="00DD21D6">
          <w:rPr>
            <w:rStyle w:val="Hyperlink"/>
          </w:rPr>
          <w:t>2.1.5</w:t>
        </w:r>
        <w:r w:rsidR="00DE566A">
          <w:rPr>
            <w:rFonts w:asciiTheme="minorHAnsi" w:eastAsiaTheme="minorEastAsia" w:hAnsiTheme="minorHAnsi" w:cstheme="minorBidi"/>
            <w:sz w:val="22"/>
            <w:szCs w:val="22"/>
            <w:lang w:val="da-DK" w:eastAsia="da-DK"/>
          </w:rPr>
          <w:tab/>
        </w:r>
        <w:r w:rsidR="00DE566A" w:rsidRPr="00DD21D6">
          <w:rPr>
            <w:rStyle w:val="Hyperlink"/>
          </w:rPr>
          <w:t>Local general authorisation</w:t>
        </w:r>
        <w:r w:rsidR="00DE566A">
          <w:rPr>
            <w:webHidden/>
          </w:rPr>
          <w:tab/>
        </w:r>
        <w:r w:rsidR="00DE566A">
          <w:rPr>
            <w:webHidden/>
          </w:rPr>
          <w:fldChar w:fldCharType="begin"/>
        </w:r>
        <w:r w:rsidR="00DE566A">
          <w:rPr>
            <w:webHidden/>
          </w:rPr>
          <w:instrText xml:space="preserve"> PAGEREF _Toc45610647 \h </w:instrText>
        </w:r>
        <w:r w:rsidR="00DE566A">
          <w:rPr>
            <w:webHidden/>
          </w:rPr>
        </w:r>
        <w:r w:rsidR="00DE566A">
          <w:rPr>
            <w:webHidden/>
          </w:rPr>
          <w:fldChar w:fldCharType="separate"/>
        </w:r>
        <w:r w:rsidR="00DE566A">
          <w:rPr>
            <w:webHidden/>
          </w:rPr>
          <w:t>7</w:t>
        </w:r>
        <w:r w:rsidR="00DE566A">
          <w:rPr>
            <w:webHidden/>
          </w:rPr>
          <w:fldChar w:fldCharType="end"/>
        </w:r>
      </w:hyperlink>
    </w:p>
    <w:p w14:paraId="36E62556" w14:textId="3AAC872B" w:rsidR="00DE566A" w:rsidRDefault="002E5D5C">
      <w:pPr>
        <w:pStyle w:val="TOC3"/>
        <w:rPr>
          <w:rFonts w:asciiTheme="minorHAnsi" w:eastAsiaTheme="minorEastAsia" w:hAnsiTheme="minorHAnsi" w:cstheme="minorBidi"/>
          <w:sz w:val="22"/>
          <w:szCs w:val="22"/>
          <w:lang w:val="da-DK" w:eastAsia="da-DK"/>
        </w:rPr>
      </w:pPr>
      <w:hyperlink w:anchor="_Toc45610648" w:history="1">
        <w:r w:rsidR="00DE566A" w:rsidRPr="00DD21D6">
          <w:rPr>
            <w:rStyle w:val="Hyperlink"/>
          </w:rPr>
          <w:t>2.1.6</w:t>
        </w:r>
        <w:r w:rsidR="00DE566A">
          <w:rPr>
            <w:rFonts w:asciiTheme="minorHAnsi" w:eastAsiaTheme="minorEastAsia" w:hAnsiTheme="minorHAnsi" w:cstheme="minorBidi"/>
            <w:sz w:val="22"/>
            <w:szCs w:val="22"/>
            <w:lang w:val="da-DK" w:eastAsia="da-DK"/>
          </w:rPr>
          <w:tab/>
        </w:r>
        <w:r w:rsidR="00DE566A" w:rsidRPr="00DD21D6">
          <w:rPr>
            <w:rStyle w:val="Hyperlink"/>
          </w:rPr>
          <w:t>Others (mixed approaches)</w:t>
        </w:r>
        <w:r w:rsidR="00DE566A">
          <w:rPr>
            <w:webHidden/>
          </w:rPr>
          <w:tab/>
        </w:r>
        <w:r w:rsidR="00DE566A">
          <w:rPr>
            <w:webHidden/>
          </w:rPr>
          <w:fldChar w:fldCharType="begin"/>
        </w:r>
        <w:r w:rsidR="00DE566A">
          <w:rPr>
            <w:webHidden/>
          </w:rPr>
          <w:instrText xml:space="preserve"> PAGEREF _Toc45610648 \h </w:instrText>
        </w:r>
        <w:r w:rsidR="00DE566A">
          <w:rPr>
            <w:webHidden/>
          </w:rPr>
        </w:r>
        <w:r w:rsidR="00DE566A">
          <w:rPr>
            <w:webHidden/>
          </w:rPr>
          <w:fldChar w:fldCharType="separate"/>
        </w:r>
        <w:r w:rsidR="00DE566A">
          <w:rPr>
            <w:webHidden/>
          </w:rPr>
          <w:t>7</w:t>
        </w:r>
        <w:r w:rsidR="00DE566A">
          <w:rPr>
            <w:webHidden/>
          </w:rPr>
          <w:fldChar w:fldCharType="end"/>
        </w:r>
      </w:hyperlink>
    </w:p>
    <w:p w14:paraId="36332DB5" w14:textId="4999B88D" w:rsidR="00DE566A" w:rsidRDefault="002E5D5C">
      <w:pPr>
        <w:pStyle w:val="TOC1"/>
        <w:rPr>
          <w:rFonts w:asciiTheme="minorHAnsi" w:eastAsiaTheme="minorEastAsia" w:hAnsiTheme="minorHAnsi" w:cstheme="minorBidi"/>
          <w:b w:val="0"/>
          <w:noProof/>
          <w:sz w:val="22"/>
          <w:szCs w:val="22"/>
          <w:lang w:val="da-DK" w:eastAsia="da-DK"/>
        </w:rPr>
      </w:pPr>
      <w:hyperlink w:anchor="_Toc45610649" w:history="1">
        <w:r w:rsidR="00DE566A" w:rsidRPr="00DD21D6">
          <w:rPr>
            <w:rStyle w:val="Hyperlink"/>
            <w:noProof/>
          </w:rPr>
          <w:t>3</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Assessment of the impact of the different authorisation regimes</w:t>
        </w:r>
        <w:r w:rsidR="00DE566A">
          <w:rPr>
            <w:noProof/>
            <w:webHidden/>
          </w:rPr>
          <w:tab/>
        </w:r>
        <w:r w:rsidR="00DE566A">
          <w:rPr>
            <w:noProof/>
            <w:webHidden/>
          </w:rPr>
          <w:fldChar w:fldCharType="begin"/>
        </w:r>
        <w:r w:rsidR="00DE566A">
          <w:rPr>
            <w:noProof/>
            <w:webHidden/>
          </w:rPr>
          <w:instrText xml:space="preserve"> PAGEREF _Toc45610649 \h </w:instrText>
        </w:r>
        <w:r w:rsidR="00DE566A">
          <w:rPr>
            <w:noProof/>
            <w:webHidden/>
          </w:rPr>
        </w:r>
        <w:r w:rsidR="00DE566A">
          <w:rPr>
            <w:noProof/>
            <w:webHidden/>
          </w:rPr>
          <w:fldChar w:fldCharType="separate"/>
        </w:r>
        <w:r w:rsidR="00DE566A">
          <w:rPr>
            <w:noProof/>
            <w:webHidden/>
          </w:rPr>
          <w:t>8</w:t>
        </w:r>
        <w:r w:rsidR="00DE566A">
          <w:rPr>
            <w:noProof/>
            <w:webHidden/>
          </w:rPr>
          <w:fldChar w:fldCharType="end"/>
        </w:r>
      </w:hyperlink>
    </w:p>
    <w:p w14:paraId="646D4DF2" w14:textId="25C0D352" w:rsidR="00DE566A" w:rsidRDefault="002E5D5C">
      <w:pPr>
        <w:pStyle w:val="TOC2"/>
        <w:rPr>
          <w:rFonts w:asciiTheme="minorHAnsi" w:eastAsiaTheme="minorEastAsia" w:hAnsiTheme="minorHAnsi" w:cstheme="minorBidi"/>
          <w:bCs w:val="0"/>
          <w:sz w:val="22"/>
          <w:szCs w:val="22"/>
          <w:lang w:val="da-DK" w:eastAsia="da-DK"/>
        </w:rPr>
      </w:pPr>
      <w:hyperlink w:anchor="_Toc45610650" w:history="1">
        <w:r w:rsidR="00DE566A" w:rsidRPr="00DD21D6">
          <w:rPr>
            <w:rStyle w:val="Hyperlink"/>
          </w:rPr>
          <w:t>3.1</w:t>
        </w:r>
        <w:r w:rsidR="00DE566A">
          <w:rPr>
            <w:rFonts w:asciiTheme="minorHAnsi" w:eastAsiaTheme="minorEastAsia" w:hAnsiTheme="minorHAnsi" w:cstheme="minorBidi"/>
            <w:bCs w:val="0"/>
            <w:sz w:val="22"/>
            <w:szCs w:val="22"/>
            <w:lang w:val="da-DK" w:eastAsia="da-DK"/>
          </w:rPr>
          <w:tab/>
        </w:r>
        <w:r w:rsidR="00DE566A" w:rsidRPr="00DD21D6">
          <w:rPr>
            <w:rStyle w:val="Hyperlink"/>
          </w:rPr>
          <w:t>EESS/SRS and FSS earth stations</w:t>
        </w:r>
        <w:r w:rsidR="00DE566A">
          <w:rPr>
            <w:webHidden/>
          </w:rPr>
          <w:tab/>
        </w:r>
        <w:r w:rsidR="00DE566A">
          <w:rPr>
            <w:webHidden/>
          </w:rPr>
          <w:fldChar w:fldCharType="begin"/>
        </w:r>
        <w:r w:rsidR="00DE566A">
          <w:rPr>
            <w:webHidden/>
          </w:rPr>
          <w:instrText xml:space="preserve"> PAGEREF _Toc45610650 \h </w:instrText>
        </w:r>
        <w:r w:rsidR="00DE566A">
          <w:rPr>
            <w:webHidden/>
          </w:rPr>
        </w:r>
        <w:r w:rsidR="00DE566A">
          <w:rPr>
            <w:webHidden/>
          </w:rPr>
          <w:fldChar w:fldCharType="separate"/>
        </w:r>
        <w:r w:rsidR="00DE566A">
          <w:rPr>
            <w:webHidden/>
          </w:rPr>
          <w:t>8</w:t>
        </w:r>
        <w:r w:rsidR="00DE566A">
          <w:rPr>
            <w:webHidden/>
          </w:rPr>
          <w:fldChar w:fldCharType="end"/>
        </w:r>
      </w:hyperlink>
    </w:p>
    <w:p w14:paraId="50542AE8" w14:textId="478A4E73" w:rsidR="00DE566A" w:rsidRDefault="002E5D5C">
      <w:pPr>
        <w:pStyle w:val="TOC3"/>
        <w:rPr>
          <w:rFonts w:asciiTheme="minorHAnsi" w:eastAsiaTheme="minorEastAsia" w:hAnsiTheme="minorHAnsi" w:cstheme="minorBidi"/>
          <w:sz w:val="22"/>
          <w:szCs w:val="22"/>
          <w:lang w:val="da-DK" w:eastAsia="da-DK"/>
        </w:rPr>
      </w:pPr>
      <w:hyperlink w:anchor="_Toc45610651" w:history="1">
        <w:r w:rsidR="00DE566A" w:rsidRPr="00DD21D6">
          <w:rPr>
            <w:rStyle w:val="Hyperlink"/>
          </w:rPr>
          <w:t>3.1.1</w:t>
        </w:r>
        <w:r w:rsidR="00DE566A">
          <w:rPr>
            <w:rFonts w:asciiTheme="minorHAnsi" w:eastAsiaTheme="minorEastAsia" w:hAnsiTheme="minorHAnsi" w:cstheme="minorBidi"/>
            <w:sz w:val="22"/>
            <w:szCs w:val="22"/>
            <w:lang w:val="da-DK" w:eastAsia="da-DK"/>
          </w:rPr>
          <w:tab/>
        </w:r>
        <w:r w:rsidR="00DE566A" w:rsidRPr="00DD21D6">
          <w:rPr>
            <w:rStyle w:val="Hyperlink"/>
          </w:rPr>
          <w:t>EESS/SRS earth stations</w:t>
        </w:r>
        <w:r w:rsidR="00DE566A">
          <w:rPr>
            <w:webHidden/>
          </w:rPr>
          <w:tab/>
        </w:r>
        <w:r w:rsidR="00DE566A">
          <w:rPr>
            <w:webHidden/>
          </w:rPr>
          <w:fldChar w:fldCharType="begin"/>
        </w:r>
        <w:r w:rsidR="00DE566A">
          <w:rPr>
            <w:webHidden/>
          </w:rPr>
          <w:instrText xml:space="preserve"> PAGEREF _Toc45610651 \h </w:instrText>
        </w:r>
        <w:r w:rsidR="00DE566A">
          <w:rPr>
            <w:webHidden/>
          </w:rPr>
        </w:r>
        <w:r w:rsidR="00DE566A">
          <w:rPr>
            <w:webHidden/>
          </w:rPr>
          <w:fldChar w:fldCharType="separate"/>
        </w:r>
        <w:r w:rsidR="00DE566A">
          <w:rPr>
            <w:webHidden/>
          </w:rPr>
          <w:t>8</w:t>
        </w:r>
        <w:r w:rsidR="00DE566A">
          <w:rPr>
            <w:webHidden/>
          </w:rPr>
          <w:fldChar w:fldCharType="end"/>
        </w:r>
      </w:hyperlink>
    </w:p>
    <w:p w14:paraId="47FEF8FF" w14:textId="7F27ED5F" w:rsidR="00DE566A" w:rsidRDefault="002E5D5C">
      <w:pPr>
        <w:pStyle w:val="TOC3"/>
        <w:rPr>
          <w:rFonts w:asciiTheme="minorHAnsi" w:eastAsiaTheme="minorEastAsia" w:hAnsiTheme="minorHAnsi" w:cstheme="minorBidi"/>
          <w:sz w:val="22"/>
          <w:szCs w:val="22"/>
          <w:lang w:val="da-DK" w:eastAsia="da-DK"/>
        </w:rPr>
      </w:pPr>
      <w:hyperlink w:anchor="_Toc45610652" w:history="1">
        <w:r w:rsidR="00DE566A" w:rsidRPr="00DD21D6">
          <w:rPr>
            <w:rStyle w:val="Hyperlink"/>
          </w:rPr>
          <w:t>3.1.2</w:t>
        </w:r>
        <w:r w:rsidR="00DE566A">
          <w:rPr>
            <w:rFonts w:asciiTheme="minorHAnsi" w:eastAsiaTheme="minorEastAsia" w:hAnsiTheme="minorHAnsi" w:cstheme="minorBidi"/>
            <w:sz w:val="22"/>
            <w:szCs w:val="22"/>
            <w:lang w:val="da-DK" w:eastAsia="da-DK"/>
          </w:rPr>
          <w:tab/>
        </w:r>
        <w:r w:rsidR="00DE566A" w:rsidRPr="00DD21D6">
          <w:rPr>
            <w:rStyle w:val="Hyperlink"/>
          </w:rPr>
          <w:t>Transmitting FSS earth stations</w:t>
        </w:r>
        <w:r w:rsidR="00DE566A">
          <w:rPr>
            <w:webHidden/>
          </w:rPr>
          <w:tab/>
        </w:r>
        <w:r w:rsidR="00DE566A">
          <w:rPr>
            <w:webHidden/>
          </w:rPr>
          <w:fldChar w:fldCharType="begin"/>
        </w:r>
        <w:r w:rsidR="00DE566A">
          <w:rPr>
            <w:webHidden/>
          </w:rPr>
          <w:instrText xml:space="preserve"> PAGEREF _Toc45610652 \h </w:instrText>
        </w:r>
        <w:r w:rsidR="00DE566A">
          <w:rPr>
            <w:webHidden/>
          </w:rPr>
        </w:r>
        <w:r w:rsidR="00DE566A">
          <w:rPr>
            <w:webHidden/>
          </w:rPr>
          <w:fldChar w:fldCharType="separate"/>
        </w:r>
        <w:r w:rsidR="00DE566A">
          <w:rPr>
            <w:webHidden/>
          </w:rPr>
          <w:t>8</w:t>
        </w:r>
        <w:r w:rsidR="00DE566A">
          <w:rPr>
            <w:webHidden/>
          </w:rPr>
          <w:fldChar w:fldCharType="end"/>
        </w:r>
      </w:hyperlink>
    </w:p>
    <w:p w14:paraId="1BA32C00" w14:textId="5C9CCD30" w:rsidR="00DE566A" w:rsidRDefault="002E5D5C">
      <w:pPr>
        <w:pStyle w:val="TOC2"/>
        <w:rPr>
          <w:rFonts w:asciiTheme="minorHAnsi" w:eastAsiaTheme="minorEastAsia" w:hAnsiTheme="minorHAnsi" w:cstheme="minorBidi"/>
          <w:bCs w:val="0"/>
          <w:sz w:val="22"/>
          <w:szCs w:val="22"/>
          <w:lang w:val="da-DK" w:eastAsia="da-DK"/>
        </w:rPr>
      </w:pPr>
      <w:hyperlink w:anchor="_Toc45610653" w:history="1">
        <w:r w:rsidR="00DE566A" w:rsidRPr="00DD21D6">
          <w:rPr>
            <w:rStyle w:val="Hyperlink"/>
          </w:rPr>
          <w:t>3.2</w:t>
        </w:r>
        <w:r w:rsidR="00DE566A">
          <w:rPr>
            <w:rFonts w:asciiTheme="minorHAnsi" w:eastAsiaTheme="minorEastAsia" w:hAnsiTheme="minorHAnsi" w:cstheme="minorBidi"/>
            <w:bCs w:val="0"/>
            <w:sz w:val="22"/>
            <w:szCs w:val="22"/>
            <w:lang w:val="da-DK" w:eastAsia="da-DK"/>
          </w:rPr>
          <w:tab/>
        </w:r>
        <w:r w:rsidR="00DE566A" w:rsidRPr="00DD21D6">
          <w:rPr>
            <w:rStyle w:val="Hyperlink"/>
          </w:rPr>
          <w:t>Fixed services</w:t>
        </w:r>
        <w:r w:rsidR="00DE566A">
          <w:rPr>
            <w:webHidden/>
          </w:rPr>
          <w:tab/>
        </w:r>
        <w:r w:rsidR="00DE566A">
          <w:rPr>
            <w:webHidden/>
          </w:rPr>
          <w:fldChar w:fldCharType="begin"/>
        </w:r>
        <w:r w:rsidR="00DE566A">
          <w:rPr>
            <w:webHidden/>
          </w:rPr>
          <w:instrText xml:space="preserve"> PAGEREF _Toc45610653 \h </w:instrText>
        </w:r>
        <w:r w:rsidR="00DE566A">
          <w:rPr>
            <w:webHidden/>
          </w:rPr>
        </w:r>
        <w:r w:rsidR="00DE566A">
          <w:rPr>
            <w:webHidden/>
          </w:rPr>
          <w:fldChar w:fldCharType="separate"/>
        </w:r>
        <w:r w:rsidR="00DE566A">
          <w:rPr>
            <w:webHidden/>
          </w:rPr>
          <w:t>9</w:t>
        </w:r>
        <w:r w:rsidR="00DE566A">
          <w:rPr>
            <w:webHidden/>
          </w:rPr>
          <w:fldChar w:fldCharType="end"/>
        </w:r>
      </w:hyperlink>
    </w:p>
    <w:p w14:paraId="5DDBBBEA" w14:textId="14BFCA76" w:rsidR="00DE566A" w:rsidRDefault="002E5D5C">
      <w:pPr>
        <w:pStyle w:val="TOC2"/>
        <w:rPr>
          <w:rFonts w:asciiTheme="minorHAnsi" w:eastAsiaTheme="minorEastAsia" w:hAnsiTheme="minorHAnsi" w:cstheme="minorBidi"/>
          <w:bCs w:val="0"/>
          <w:sz w:val="22"/>
          <w:szCs w:val="22"/>
          <w:lang w:val="da-DK" w:eastAsia="da-DK"/>
        </w:rPr>
      </w:pPr>
      <w:hyperlink w:anchor="_Toc45610654" w:history="1">
        <w:r w:rsidR="00DE566A" w:rsidRPr="00DD21D6">
          <w:rPr>
            <w:rStyle w:val="Hyperlink"/>
          </w:rPr>
          <w:t>3.3</w:t>
        </w:r>
        <w:r w:rsidR="00DE566A">
          <w:rPr>
            <w:rFonts w:asciiTheme="minorHAnsi" w:eastAsiaTheme="minorEastAsia" w:hAnsiTheme="minorHAnsi" w:cstheme="minorBidi"/>
            <w:bCs w:val="0"/>
            <w:sz w:val="22"/>
            <w:szCs w:val="22"/>
            <w:lang w:val="da-DK" w:eastAsia="da-DK"/>
          </w:rPr>
          <w:tab/>
        </w:r>
        <w:r w:rsidR="00DE566A" w:rsidRPr="00DD21D6">
          <w:rPr>
            <w:rStyle w:val="Hyperlink"/>
          </w:rPr>
          <w:t>FSS satellite and data relay satellite systems</w:t>
        </w:r>
        <w:r w:rsidR="00DE566A">
          <w:rPr>
            <w:webHidden/>
          </w:rPr>
          <w:tab/>
        </w:r>
        <w:r w:rsidR="00DE566A">
          <w:rPr>
            <w:webHidden/>
          </w:rPr>
          <w:fldChar w:fldCharType="begin"/>
        </w:r>
        <w:r w:rsidR="00DE566A">
          <w:rPr>
            <w:webHidden/>
          </w:rPr>
          <w:instrText xml:space="preserve"> PAGEREF _Toc45610654 \h </w:instrText>
        </w:r>
        <w:r w:rsidR="00DE566A">
          <w:rPr>
            <w:webHidden/>
          </w:rPr>
        </w:r>
        <w:r w:rsidR="00DE566A">
          <w:rPr>
            <w:webHidden/>
          </w:rPr>
          <w:fldChar w:fldCharType="separate"/>
        </w:r>
        <w:r w:rsidR="00DE566A">
          <w:rPr>
            <w:webHidden/>
          </w:rPr>
          <w:t>9</w:t>
        </w:r>
        <w:r w:rsidR="00DE566A">
          <w:rPr>
            <w:webHidden/>
          </w:rPr>
          <w:fldChar w:fldCharType="end"/>
        </w:r>
      </w:hyperlink>
    </w:p>
    <w:p w14:paraId="51C4D786" w14:textId="60A4EA5C" w:rsidR="00DE566A" w:rsidRDefault="002E5D5C">
      <w:pPr>
        <w:pStyle w:val="TOC2"/>
        <w:rPr>
          <w:rFonts w:asciiTheme="minorHAnsi" w:eastAsiaTheme="minorEastAsia" w:hAnsiTheme="minorHAnsi" w:cstheme="minorBidi"/>
          <w:bCs w:val="0"/>
          <w:sz w:val="22"/>
          <w:szCs w:val="22"/>
          <w:lang w:val="da-DK" w:eastAsia="da-DK"/>
        </w:rPr>
      </w:pPr>
      <w:hyperlink w:anchor="_Toc45610655" w:history="1">
        <w:r w:rsidR="00DE566A" w:rsidRPr="00DD21D6">
          <w:rPr>
            <w:rStyle w:val="Hyperlink"/>
          </w:rPr>
          <w:t>3.4</w:t>
        </w:r>
        <w:r w:rsidR="00DE566A">
          <w:rPr>
            <w:rFonts w:asciiTheme="minorHAnsi" w:eastAsiaTheme="minorEastAsia" w:hAnsiTheme="minorHAnsi" w:cstheme="minorBidi"/>
            <w:bCs w:val="0"/>
            <w:sz w:val="22"/>
            <w:szCs w:val="22"/>
            <w:lang w:val="da-DK" w:eastAsia="da-DK"/>
          </w:rPr>
          <w:tab/>
        </w:r>
        <w:r w:rsidR="00DE566A" w:rsidRPr="00DD21D6">
          <w:rPr>
            <w:rStyle w:val="Hyperlink"/>
          </w:rPr>
          <w:t>Passive services</w:t>
        </w:r>
        <w:r w:rsidR="00DE566A">
          <w:rPr>
            <w:webHidden/>
          </w:rPr>
          <w:tab/>
        </w:r>
        <w:r w:rsidR="00DE566A">
          <w:rPr>
            <w:webHidden/>
          </w:rPr>
          <w:fldChar w:fldCharType="begin"/>
        </w:r>
        <w:r w:rsidR="00DE566A">
          <w:rPr>
            <w:webHidden/>
          </w:rPr>
          <w:instrText xml:space="preserve"> PAGEREF _Toc45610655 \h </w:instrText>
        </w:r>
        <w:r w:rsidR="00DE566A">
          <w:rPr>
            <w:webHidden/>
          </w:rPr>
        </w:r>
        <w:r w:rsidR="00DE566A">
          <w:rPr>
            <w:webHidden/>
          </w:rPr>
          <w:fldChar w:fldCharType="separate"/>
        </w:r>
        <w:r w:rsidR="00DE566A">
          <w:rPr>
            <w:webHidden/>
          </w:rPr>
          <w:t>10</w:t>
        </w:r>
        <w:r w:rsidR="00DE566A">
          <w:rPr>
            <w:webHidden/>
          </w:rPr>
          <w:fldChar w:fldCharType="end"/>
        </w:r>
      </w:hyperlink>
    </w:p>
    <w:p w14:paraId="078D0F84" w14:textId="2E522FE4" w:rsidR="00DE566A" w:rsidRDefault="002E5D5C">
      <w:pPr>
        <w:pStyle w:val="TOC3"/>
        <w:rPr>
          <w:rFonts w:asciiTheme="minorHAnsi" w:eastAsiaTheme="minorEastAsia" w:hAnsiTheme="minorHAnsi" w:cstheme="minorBidi"/>
          <w:sz w:val="22"/>
          <w:szCs w:val="22"/>
          <w:lang w:val="da-DK" w:eastAsia="da-DK"/>
        </w:rPr>
      </w:pPr>
      <w:hyperlink w:anchor="_Toc45610656" w:history="1">
        <w:r w:rsidR="00DE566A" w:rsidRPr="00DD21D6">
          <w:rPr>
            <w:rStyle w:val="Hyperlink"/>
          </w:rPr>
          <w:t>3.4.1</w:t>
        </w:r>
        <w:r w:rsidR="00DE566A">
          <w:rPr>
            <w:rFonts w:asciiTheme="minorHAnsi" w:eastAsiaTheme="minorEastAsia" w:hAnsiTheme="minorHAnsi" w:cstheme="minorBidi"/>
            <w:sz w:val="22"/>
            <w:szCs w:val="22"/>
            <w:lang w:val="da-DK" w:eastAsia="da-DK"/>
          </w:rPr>
          <w:tab/>
        </w:r>
        <w:r w:rsidR="00DE566A" w:rsidRPr="00DD21D6">
          <w:rPr>
            <w:rStyle w:val="Hyperlink"/>
          </w:rPr>
          <w:t>EESS (passive)</w:t>
        </w:r>
        <w:r w:rsidR="00DE566A">
          <w:rPr>
            <w:webHidden/>
          </w:rPr>
          <w:tab/>
        </w:r>
        <w:r w:rsidR="00DE566A">
          <w:rPr>
            <w:webHidden/>
          </w:rPr>
          <w:fldChar w:fldCharType="begin"/>
        </w:r>
        <w:r w:rsidR="00DE566A">
          <w:rPr>
            <w:webHidden/>
          </w:rPr>
          <w:instrText xml:space="preserve"> PAGEREF _Toc45610656 \h </w:instrText>
        </w:r>
        <w:r w:rsidR="00DE566A">
          <w:rPr>
            <w:webHidden/>
          </w:rPr>
        </w:r>
        <w:r w:rsidR="00DE566A">
          <w:rPr>
            <w:webHidden/>
          </w:rPr>
          <w:fldChar w:fldCharType="separate"/>
        </w:r>
        <w:r w:rsidR="00DE566A">
          <w:rPr>
            <w:webHidden/>
          </w:rPr>
          <w:t>10</w:t>
        </w:r>
        <w:r w:rsidR="00DE566A">
          <w:rPr>
            <w:webHidden/>
          </w:rPr>
          <w:fldChar w:fldCharType="end"/>
        </w:r>
      </w:hyperlink>
    </w:p>
    <w:p w14:paraId="4998FAA4" w14:textId="54A5A08A" w:rsidR="00DE566A" w:rsidRDefault="002E5D5C">
      <w:pPr>
        <w:pStyle w:val="TOC3"/>
        <w:rPr>
          <w:rFonts w:asciiTheme="minorHAnsi" w:eastAsiaTheme="minorEastAsia" w:hAnsiTheme="minorHAnsi" w:cstheme="minorBidi"/>
          <w:sz w:val="22"/>
          <w:szCs w:val="22"/>
          <w:lang w:val="da-DK" w:eastAsia="da-DK"/>
        </w:rPr>
      </w:pPr>
      <w:hyperlink w:anchor="_Toc45610657" w:history="1">
        <w:r w:rsidR="00DE566A" w:rsidRPr="00DD21D6">
          <w:rPr>
            <w:rStyle w:val="Hyperlink"/>
          </w:rPr>
          <w:t>3.4.2</w:t>
        </w:r>
        <w:r w:rsidR="00DE566A">
          <w:rPr>
            <w:rFonts w:asciiTheme="minorHAnsi" w:eastAsiaTheme="minorEastAsia" w:hAnsiTheme="minorHAnsi" w:cstheme="minorBidi"/>
            <w:sz w:val="22"/>
            <w:szCs w:val="22"/>
            <w:lang w:val="da-DK" w:eastAsia="da-DK"/>
          </w:rPr>
          <w:tab/>
        </w:r>
        <w:r w:rsidR="00DE566A" w:rsidRPr="00DD21D6">
          <w:rPr>
            <w:rStyle w:val="Hyperlink"/>
          </w:rPr>
          <w:t>Radio Astronomy</w:t>
        </w:r>
        <w:r w:rsidR="00DE566A">
          <w:rPr>
            <w:webHidden/>
          </w:rPr>
          <w:tab/>
        </w:r>
        <w:r w:rsidR="00DE566A">
          <w:rPr>
            <w:webHidden/>
          </w:rPr>
          <w:fldChar w:fldCharType="begin"/>
        </w:r>
        <w:r w:rsidR="00DE566A">
          <w:rPr>
            <w:webHidden/>
          </w:rPr>
          <w:instrText xml:space="preserve"> PAGEREF _Toc45610657 \h </w:instrText>
        </w:r>
        <w:r w:rsidR="00DE566A">
          <w:rPr>
            <w:webHidden/>
          </w:rPr>
        </w:r>
        <w:r w:rsidR="00DE566A">
          <w:rPr>
            <w:webHidden/>
          </w:rPr>
          <w:fldChar w:fldCharType="separate"/>
        </w:r>
        <w:r w:rsidR="00DE566A">
          <w:rPr>
            <w:webHidden/>
          </w:rPr>
          <w:t>10</w:t>
        </w:r>
        <w:r w:rsidR="00DE566A">
          <w:rPr>
            <w:webHidden/>
          </w:rPr>
          <w:fldChar w:fldCharType="end"/>
        </w:r>
      </w:hyperlink>
    </w:p>
    <w:p w14:paraId="0CD44E8E" w14:textId="0C223BF7" w:rsidR="00DE566A" w:rsidRDefault="002E5D5C">
      <w:pPr>
        <w:pStyle w:val="TOC2"/>
        <w:rPr>
          <w:rFonts w:asciiTheme="minorHAnsi" w:eastAsiaTheme="minorEastAsia" w:hAnsiTheme="minorHAnsi" w:cstheme="minorBidi"/>
          <w:bCs w:val="0"/>
          <w:sz w:val="22"/>
          <w:szCs w:val="22"/>
          <w:lang w:val="da-DK" w:eastAsia="da-DK"/>
        </w:rPr>
      </w:pPr>
      <w:hyperlink w:anchor="_Toc45610658" w:history="1">
        <w:r w:rsidR="00DE566A" w:rsidRPr="00DD21D6">
          <w:rPr>
            <w:rStyle w:val="Hyperlink"/>
          </w:rPr>
          <w:t>3.5</w:t>
        </w:r>
        <w:r w:rsidR="00DE566A">
          <w:rPr>
            <w:rFonts w:asciiTheme="minorHAnsi" w:eastAsiaTheme="minorEastAsia" w:hAnsiTheme="minorHAnsi" w:cstheme="minorBidi"/>
            <w:bCs w:val="0"/>
            <w:sz w:val="22"/>
            <w:szCs w:val="22"/>
            <w:lang w:val="da-DK" w:eastAsia="da-DK"/>
          </w:rPr>
          <w:tab/>
        </w:r>
        <w:r w:rsidR="00DE566A" w:rsidRPr="00DD21D6">
          <w:rPr>
            <w:rStyle w:val="Hyperlink"/>
          </w:rPr>
          <w:t>MFCN coexistence</w:t>
        </w:r>
        <w:r w:rsidR="00DE566A">
          <w:rPr>
            <w:webHidden/>
          </w:rPr>
          <w:tab/>
        </w:r>
        <w:r w:rsidR="00DE566A">
          <w:rPr>
            <w:webHidden/>
          </w:rPr>
          <w:fldChar w:fldCharType="begin"/>
        </w:r>
        <w:r w:rsidR="00DE566A">
          <w:rPr>
            <w:webHidden/>
          </w:rPr>
          <w:instrText xml:space="preserve"> PAGEREF _Toc45610658 \h </w:instrText>
        </w:r>
        <w:r w:rsidR="00DE566A">
          <w:rPr>
            <w:webHidden/>
          </w:rPr>
        </w:r>
        <w:r w:rsidR="00DE566A">
          <w:rPr>
            <w:webHidden/>
          </w:rPr>
          <w:fldChar w:fldCharType="separate"/>
        </w:r>
        <w:r w:rsidR="00DE566A">
          <w:rPr>
            <w:webHidden/>
          </w:rPr>
          <w:t>10</w:t>
        </w:r>
        <w:r w:rsidR="00DE566A">
          <w:rPr>
            <w:webHidden/>
          </w:rPr>
          <w:fldChar w:fldCharType="end"/>
        </w:r>
      </w:hyperlink>
    </w:p>
    <w:p w14:paraId="47D6636B" w14:textId="11EFC873" w:rsidR="00DE566A" w:rsidRDefault="002E5D5C">
      <w:pPr>
        <w:pStyle w:val="TOC1"/>
        <w:rPr>
          <w:rFonts w:asciiTheme="minorHAnsi" w:eastAsiaTheme="minorEastAsia" w:hAnsiTheme="minorHAnsi" w:cstheme="minorBidi"/>
          <w:b w:val="0"/>
          <w:noProof/>
          <w:sz w:val="22"/>
          <w:szCs w:val="22"/>
          <w:lang w:val="da-DK" w:eastAsia="da-DK"/>
        </w:rPr>
      </w:pPr>
      <w:hyperlink w:anchor="_Toc45610659" w:history="1">
        <w:r w:rsidR="00DE566A" w:rsidRPr="00DD21D6">
          <w:rPr>
            <w:rStyle w:val="Hyperlink"/>
            <w:noProof/>
          </w:rPr>
          <w:t>4</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F</w:t>
        </w:r>
        <w:r w:rsidR="00DE566A">
          <w:rPr>
            <w:rStyle w:val="Hyperlink"/>
          </w:rPr>
          <w:t>ollow up actions</w:t>
        </w:r>
        <w:r w:rsidR="00DE566A">
          <w:rPr>
            <w:noProof/>
            <w:webHidden/>
          </w:rPr>
          <w:tab/>
        </w:r>
        <w:r w:rsidR="00DE566A">
          <w:rPr>
            <w:noProof/>
            <w:webHidden/>
          </w:rPr>
          <w:fldChar w:fldCharType="begin"/>
        </w:r>
        <w:r w:rsidR="00DE566A">
          <w:rPr>
            <w:noProof/>
            <w:webHidden/>
          </w:rPr>
          <w:instrText xml:space="preserve"> PAGEREF _Toc45610659 \h </w:instrText>
        </w:r>
        <w:r w:rsidR="00DE566A">
          <w:rPr>
            <w:noProof/>
            <w:webHidden/>
          </w:rPr>
        </w:r>
        <w:r w:rsidR="00DE566A">
          <w:rPr>
            <w:noProof/>
            <w:webHidden/>
          </w:rPr>
          <w:fldChar w:fldCharType="separate"/>
        </w:r>
        <w:r w:rsidR="00DE566A">
          <w:rPr>
            <w:noProof/>
            <w:webHidden/>
          </w:rPr>
          <w:t>12</w:t>
        </w:r>
        <w:r w:rsidR="00DE566A">
          <w:rPr>
            <w:noProof/>
            <w:webHidden/>
          </w:rPr>
          <w:fldChar w:fldCharType="end"/>
        </w:r>
      </w:hyperlink>
    </w:p>
    <w:p w14:paraId="06B0E4CE" w14:textId="7ECD9927" w:rsidR="00DE566A" w:rsidRDefault="002E5D5C">
      <w:pPr>
        <w:pStyle w:val="TOC1"/>
        <w:rPr>
          <w:rFonts w:asciiTheme="minorHAnsi" w:eastAsiaTheme="minorEastAsia" w:hAnsiTheme="minorHAnsi" w:cstheme="minorBidi"/>
          <w:b w:val="0"/>
          <w:noProof/>
          <w:sz w:val="22"/>
          <w:szCs w:val="22"/>
          <w:lang w:val="da-DK" w:eastAsia="da-DK"/>
        </w:rPr>
      </w:pPr>
      <w:hyperlink w:anchor="_Toc45610660" w:history="1">
        <w:r w:rsidR="00DE566A" w:rsidRPr="00DD21D6">
          <w:rPr>
            <w:rStyle w:val="Hyperlink"/>
            <w:noProof/>
          </w:rPr>
          <w:t>5</w:t>
        </w:r>
        <w:r w:rsidR="00DE566A">
          <w:rPr>
            <w:rFonts w:asciiTheme="minorHAnsi" w:eastAsiaTheme="minorEastAsia" w:hAnsiTheme="minorHAnsi" w:cstheme="minorBidi"/>
            <w:b w:val="0"/>
            <w:noProof/>
            <w:sz w:val="22"/>
            <w:szCs w:val="22"/>
            <w:lang w:val="da-DK" w:eastAsia="da-DK"/>
          </w:rPr>
          <w:tab/>
        </w:r>
        <w:r w:rsidR="00DE566A" w:rsidRPr="00DD21D6">
          <w:rPr>
            <w:rStyle w:val="Hyperlink"/>
            <w:noProof/>
          </w:rPr>
          <w:t>Conclusions</w:t>
        </w:r>
        <w:r w:rsidR="00DE566A">
          <w:rPr>
            <w:noProof/>
            <w:webHidden/>
          </w:rPr>
          <w:tab/>
        </w:r>
        <w:r w:rsidR="00DE566A">
          <w:rPr>
            <w:noProof/>
            <w:webHidden/>
          </w:rPr>
          <w:fldChar w:fldCharType="begin"/>
        </w:r>
        <w:r w:rsidR="00DE566A">
          <w:rPr>
            <w:noProof/>
            <w:webHidden/>
          </w:rPr>
          <w:instrText xml:space="preserve"> PAGEREF _Toc45610660 \h </w:instrText>
        </w:r>
        <w:r w:rsidR="00DE566A">
          <w:rPr>
            <w:noProof/>
            <w:webHidden/>
          </w:rPr>
        </w:r>
        <w:r w:rsidR="00DE566A">
          <w:rPr>
            <w:noProof/>
            <w:webHidden/>
          </w:rPr>
          <w:fldChar w:fldCharType="separate"/>
        </w:r>
        <w:r w:rsidR="00DE566A">
          <w:rPr>
            <w:noProof/>
            <w:webHidden/>
          </w:rPr>
          <w:t>13</w:t>
        </w:r>
        <w:r w:rsidR="00DE566A">
          <w:rPr>
            <w:noProof/>
            <w:webHidden/>
          </w:rPr>
          <w:fldChar w:fldCharType="end"/>
        </w:r>
      </w:hyperlink>
    </w:p>
    <w:p w14:paraId="4B4659A6" w14:textId="156A6731" w:rsidR="00DE566A" w:rsidRDefault="002E5D5C">
      <w:pPr>
        <w:pStyle w:val="TOC2"/>
        <w:rPr>
          <w:rFonts w:asciiTheme="minorHAnsi" w:eastAsiaTheme="minorEastAsia" w:hAnsiTheme="minorHAnsi" w:cstheme="minorBidi"/>
          <w:bCs w:val="0"/>
          <w:sz w:val="22"/>
          <w:szCs w:val="22"/>
          <w:lang w:val="da-DK" w:eastAsia="da-DK"/>
        </w:rPr>
      </w:pPr>
      <w:hyperlink w:anchor="_Toc45610661" w:history="1">
        <w:r w:rsidR="00DE566A" w:rsidRPr="00DD21D6">
          <w:rPr>
            <w:rStyle w:val="Hyperlink"/>
          </w:rPr>
          <w:t>5.1</w:t>
        </w:r>
        <w:r w:rsidR="00DE566A">
          <w:rPr>
            <w:rFonts w:asciiTheme="minorHAnsi" w:eastAsiaTheme="minorEastAsia" w:hAnsiTheme="minorHAnsi" w:cstheme="minorBidi"/>
            <w:bCs w:val="0"/>
            <w:sz w:val="22"/>
            <w:szCs w:val="22"/>
            <w:lang w:val="da-DK" w:eastAsia="da-DK"/>
          </w:rPr>
          <w:tab/>
        </w:r>
        <w:r w:rsidR="00DE566A" w:rsidRPr="00DD21D6">
          <w:rPr>
            <w:rStyle w:val="Hyperlink"/>
          </w:rPr>
          <w:t>EESS/SRS earth stations</w:t>
        </w:r>
        <w:r w:rsidR="00DE566A">
          <w:rPr>
            <w:webHidden/>
          </w:rPr>
          <w:tab/>
        </w:r>
        <w:r w:rsidR="00DE566A">
          <w:rPr>
            <w:webHidden/>
          </w:rPr>
          <w:fldChar w:fldCharType="begin"/>
        </w:r>
        <w:r w:rsidR="00DE566A">
          <w:rPr>
            <w:webHidden/>
          </w:rPr>
          <w:instrText xml:space="preserve"> PAGEREF _Toc45610661 \h </w:instrText>
        </w:r>
        <w:r w:rsidR="00DE566A">
          <w:rPr>
            <w:webHidden/>
          </w:rPr>
        </w:r>
        <w:r w:rsidR="00DE566A">
          <w:rPr>
            <w:webHidden/>
          </w:rPr>
          <w:fldChar w:fldCharType="separate"/>
        </w:r>
        <w:r w:rsidR="00DE566A">
          <w:rPr>
            <w:webHidden/>
          </w:rPr>
          <w:t>13</w:t>
        </w:r>
        <w:r w:rsidR="00DE566A">
          <w:rPr>
            <w:webHidden/>
          </w:rPr>
          <w:fldChar w:fldCharType="end"/>
        </w:r>
      </w:hyperlink>
    </w:p>
    <w:p w14:paraId="64EA1297" w14:textId="26871AA9" w:rsidR="00DE566A" w:rsidRDefault="002E5D5C">
      <w:pPr>
        <w:pStyle w:val="TOC2"/>
        <w:rPr>
          <w:rFonts w:asciiTheme="minorHAnsi" w:eastAsiaTheme="minorEastAsia" w:hAnsiTheme="minorHAnsi" w:cstheme="minorBidi"/>
          <w:bCs w:val="0"/>
          <w:sz w:val="22"/>
          <w:szCs w:val="22"/>
          <w:lang w:val="da-DK" w:eastAsia="da-DK"/>
        </w:rPr>
      </w:pPr>
      <w:hyperlink w:anchor="_Toc45610662" w:history="1">
        <w:r w:rsidR="00DE566A" w:rsidRPr="00DD21D6">
          <w:rPr>
            <w:rStyle w:val="Hyperlink"/>
          </w:rPr>
          <w:t>5.2</w:t>
        </w:r>
        <w:r w:rsidR="00DE566A">
          <w:rPr>
            <w:rFonts w:asciiTheme="minorHAnsi" w:eastAsiaTheme="minorEastAsia" w:hAnsiTheme="minorHAnsi" w:cstheme="minorBidi"/>
            <w:bCs w:val="0"/>
            <w:sz w:val="22"/>
            <w:szCs w:val="22"/>
            <w:lang w:val="da-DK" w:eastAsia="da-DK"/>
          </w:rPr>
          <w:tab/>
        </w:r>
        <w:r w:rsidR="00DE566A" w:rsidRPr="00DD21D6">
          <w:rPr>
            <w:rStyle w:val="Hyperlink"/>
          </w:rPr>
          <w:t>Transmitting FSS earth stations</w:t>
        </w:r>
        <w:r w:rsidR="00DE566A">
          <w:rPr>
            <w:webHidden/>
          </w:rPr>
          <w:tab/>
        </w:r>
        <w:r w:rsidR="00DE566A">
          <w:rPr>
            <w:webHidden/>
          </w:rPr>
          <w:fldChar w:fldCharType="begin"/>
        </w:r>
        <w:r w:rsidR="00DE566A">
          <w:rPr>
            <w:webHidden/>
          </w:rPr>
          <w:instrText xml:space="preserve"> PAGEREF _Toc45610662 \h </w:instrText>
        </w:r>
        <w:r w:rsidR="00DE566A">
          <w:rPr>
            <w:webHidden/>
          </w:rPr>
        </w:r>
        <w:r w:rsidR="00DE566A">
          <w:rPr>
            <w:webHidden/>
          </w:rPr>
          <w:fldChar w:fldCharType="separate"/>
        </w:r>
        <w:r w:rsidR="00DE566A">
          <w:rPr>
            <w:webHidden/>
          </w:rPr>
          <w:t>14</w:t>
        </w:r>
        <w:r w:rsidR="00DE566A">
          <w:rPr>
            <w:webHidden/>
          </w:rPr>
          <w:fldChar w:fldCharType="end"/>
        </w:r>
      </w:hyperlink>
    </w:p>
    <w:p w14:paraId="02D80A2B" w14:textId="426F555A" w:rsidR="00DE566A" w:rsidRDefault="002E5D5C">
      <w:pPr>
        <w:pStyle w:val="TOC2"/>
        <w:rPr>
          <w:rFonts w:asciiTheme="minorHAnsi" w:eastAsiaTheme="minorEastAsia" w:hAnsiTheme="minorHAnsi" w:cstheme="minorBidi"/>
          <w:bCs w:val="0"/>
          <w:sz w:val="22"/>
          <w:szCs w:val="22"/>
          <w:lang w:val="da-DK" w:eastAsia="da-DK"/>
        </w:rPr>
      </w:pPr>
      <w:hyperlink w:anchor="_Toc45610663" w:history="1">
        <w:r w:rsidR="00DE566A" w:rsidRPr="00DD21D6">
          <w:rPr>
            <w:rStyle w:val="Hyperlink"/>
          </w:rPr>
          <w:t>5.3</w:t>
        </w:r>
        <w:r w:rsidR="00DE566A">
          <w:rPr>
            <w:rFonts w:asciiTheme="minorHAnsi" w:eastAsiaTheme="minorEastAsia" w:hAnsiTheme="minorHAnsi" w:cstheme="minorBidi"/>
            <w:bCs w:val="0"/>
            <w:sz w:val="22"/>
            <w:szCs w:val="22"/>
            <w:lang w:val="da-DK" w:eastAsia="da-DK"/>
          </w:rPr>
          <w:tab/>
        </w:r>
        <w:r w:rsidR="00DE566A" w:rsidRPr="00DD21D6">
          <w:rPr>
            <w:rStyle w:val="Hyperlink"/>
          </w:rPr>
          <w:t>Fixed services</w:t>
        </w:r>
        <w:r w:rsidR="00DE566A">
          <w:rPr>
            <w:webHidden/>
          </w:rPr>
          <w:tab/>
        </w:r>
        <w:r w:rsidR="00DE566A">
          <w:rPr>
            <w:webHidden/>
          </w:rPr>
          <w:fldChar w:fldCharType="begin"/>
        </w:r>
        <w:r w:rsidR="00DE566A">
          <w:rPr>
            <w:webHidden/>
          </w:rPr>
          <w:instrText xml:space="preserve"> PAGEREF _Toc45610663 \h </w:instrText>
        </w:r>
        <w:r w:rsidR="00DE566A">
          <w:rPr>
            <w:webHidden/>
          </w:rPr>
        </w:r>
        <w:r w:rsidR="00DE566A">
          <w:rPr>
            <w:webHidden/>
          </w:rPr>
          <w:fldChar w:fldCharType="separate"/>
        </w:r>
        <w:r w:rsidR="00DE566A">
          <w:rPr>
            <w:webHidden/>
          </w:rPr>
          <w:t>14</w:t>
        </w:r>
        <w:r w:rsidR="00DE566A">
          <w:rPr>
            <w:webHidden/>
          </w:rPr>
          <w:fldChar w:fldCharType="end"/>
        </w:r>
      </w:hyperlink>
    </w:p>
    <w:p w14:paraId="350AC8E5" w14:textId="47554767" w:rsidR="00DE566A" w:rsidRDefault="002E5D5C">
      <w:pPr>
        <w:pStyle w:val="TOC2"/>
        <w:rPr>
          <w:rFonts w:asciiTheme="minorHAnsi" w:eastAsiaTheme="minorEastAsia" w:hAnsiTheme="minorHAnsi" w:cstheme="minorBidi"/>
          <w:bCs w:val="0"/>
          <w:sz w:val="22"/>
          <w:szCs w:val="22"/>
          <w:lang w:val="da-DK" w:eastAsia="da-DK"/>
        </w:rPr>
      </w:pPr>
      <w:hyperlink w:anchor="_Toc45610664" w:history="1">
        <w:r w:rsidR="00DE566A" w:rsidRPr="00DD21D6">
          <w:rPr>
            <w:rStyle w:val="Hyperlink"/>
          </w:rPr>
          <w:t>5.4</w:t>
        </w:r>
        <w:r w:rsidR="00DE566A">
          <w:rPr>
            <w:rFonts w:asciiTheme="minorHAnsi" w:eastAsiaTheme="minorEastAsia" w:hAnsiTheme="minorHAnsi" w:cstheme="minorBidi"/>
            <w:bCs w:val="0"/>
            <w:sz w:val="22"/>
            <w:szCs w:val="22"/>
            <w:lang w:val="da-DK" w:eastAsia="da-DK"/>
          </w:rPr>
          <w:tab/>
        </w:r>
        <w:r w:rsidR="00DE566A" w:rsidRPr="00DD21D6">
          <w:rPr>
            <w:rStyle w:val="Hyperlink"/>
          </w:rPr>
          <w:t>FSS satellites and Data Relay Satellite systems</w:t>
        </w:r>
        <w:r w:rsidR="00DE566A">
          <w:rPr>
            <w:webHidden/>
          </w:rPr>
          <w:tab/>
        </w:r>
        <w:r w:rsidR="00DE566A">
          <w:rPr>
            <w:webHidden/>
          </w:rPr>
          <w:fldChar w:fldCharType="begin"/>
        </w:r>
        <w:r w:rsidR="00DE566A">
          <w:rPr>
            <w:webHidden/>
          </w:rPr>
          <w:instrText xml:space="preserve"> PAGEREF _Toc45610664 \h </w:instrText>
        </w:r>
        <w:r w:rsidR="00DE566A">
          <w:rPr>
            <w:webHidden/>
          </w:rPr>
        </w:r>
        <w:r w:rsidR="00DE566A">
          <w:rPr>
            <w:webHidden/>
          </w:rPr>
          <w:fldChar w:fldCharType="separate"/>
        </w:r>
        <w:r w:rsidR="00DE566A">
          <w:rPr>
            <w:webHidden/>
          </w:rPr>
          <w:t>14</w:t>
        </w:r>
        <w:r w:rsidR="00DE566A">
          <w:rPr>
            <w:webHidden/>
          </w:rPr>
          <w:fldChar w:fldCharType="end"/>
        </w:r>
      </w:hyperlink>
    </w:p>
    <w:p w14:paraId="79C9D8A6" w14:textId="208152E2" w:rsidR="00DE566A" w:rsidRDefault="002E5D5C">
      <w:pPr>
        <w:pStyle w:val="TOC2"/>
        <w:rPr>
          <w:rFonts w:asciiTheme="minorHAnsi" w:eastAsiaTheme="minorEastAsia" w:hAnsiTheme="minorHAnsi" w:cstheme="minorBidi"/>
          <w:bCs w:val="0"/>
          <w:sz w:val="22"/>
          <w:szCs w:val="22"/>
          <w:lang w:val="da-DK" w:eastAsia="da-DK"/>
        </w:rPr>
      </w:pPr>
      <w:hyperlink w:anchor="_Toc45610665" w:history="1">
        <w:r w:rsidR="00DE566A" w:rsidRPr="00DD21D6">
          <w:rPr>
            <w:rStyle w:val="Hyperlink"/>
          </w:rPr>
          <w:t>5.5</w:t>
        </w:r>
        <w:r w:rsidR="00DE566A">
          <w:rPr>
            <w:rFonts w:asciiTheme="minorHAnsi" w:eastAsiaTheme="minorEastAsia" w:hAnsiTheme="minorHAnsi" w:cstheme="minorBidi"/>
            <w:bCs w:val="0"/>
            <w:sz w:val="22"/>
            <w:szCs w:val="22"/>
            <w:lang w:val="da-DK" w:eastAsia="da-DK"/>
          </w:rPr>
          <w:tab/>
        </w:r>
        <w:r w:rsidR="00DE566A" w:rsidRPr="00DD21D6">
          <w:rPr>
            <w:rStyle w:val="Hyperlink"/>
          </w:rPr>
          <w:t>Passive services</w:t>
        </w:r>
        <w:r w:rsidR="00DE566A">
          <w:rPr>
            <w:webHidden/>
          </w:rPr>
          <w:tab/>
        </w:r>
        <w:r w:rsidR="00DE566A">
          <w:rPr>
            <w:webHidden/>
          </w:rPr>
          <w:fldChar w:fldCharType="begin"/>
        </w:r>
        <w:r w:rsidR="00DE566A">
          <w:rPr>
            <w:webHidden/>
          </w:rPr>
          <w:instrText xml:space="preserve"> PAGEREF _Toc45610665 \h </w:instrText>
        </w:r>
        <w:r w:rsidR="00DE566A">
          <w:rPr>
            <w:webHidden/>
          </w:rPr>
        </w:r>
        <w:r w:rsidR="00DE566A">
          <w:rPr>
            <w:webHidden/>
          </w:rPr>
          <w:fldChar w:fldCharType="separate"/>
        </w:r>
        <w:r w:rsidR="00DE566A">
          <w:rPr>
            <w:webHidden/>
          </w:rPr>
          <w:t>14</w:t>
        </w:r>
        <w:r w:rsidR="00DE566A">
          <w:rPr>
            <w:webHidden/>
          </w:rPr>
          <w:fldChar w:fldCharType="end"/>
        </w:r>
      </w:hyperlink>
    </w:p>
    <w:p w14:paraId="4F8958E2" w14:textId="7DCA9C04" w:rsidR="00DE566A" w:rsidRDefault="002E5D5C">
      <w:pPr>
        <w:pStyle w:val="TOC3"/>
        <w:rPr>
          <w:rFonts w:asciiTheme="minorHAnsi" w:eastAsiaTheme="minorEastAsia" w:hAnsiTheme="minorHAnsi" w:cstheme="minorBidi"/>
          <w:sz w:val="22"/>
          <w:szCs w:val="22"/>
          <w:lang w:val="da-DK" w:eastAsia="da-DK"/>
        </w:rPr>
      </w:pPr>
      <w:hyperlink w:anchor="_Toc45610666" w:history="1">
        <w:r w:rsidR="00DE566A" w:rsidRPr="00DD21D6">
          <w:rPr>
            <w:rStyle w:val="Hyperlink"/>
          </w:rPr>
          <w:t>5.5.1</w:t>
        </w:r>
        <w:r w:rsidR="00DE566A">
          <w:rPr>
            <w:rFonts w:asciiTheme="minorHAnsi" w:eastAsiaTheme="minorEastAsia" w:hAnsiTheme="minorHAnsi" w:cstheme="minorBidi"/>
            <w:sz w:val="22"/>
            <w:szCs w:val="22"/>
            <w:lang w:val="da-DK" w:eastAsia="da-DK"/>
          </w:rPr>
          <w:tab/>
        </w:r>
        <w:r w:rsidR="00DE566A" w:rsidRPr="00DD21D6">
          <w:rPr>
            <w:rStyle w:val="Hyperlink"/>
          </w:rPr>
          <w:t>EESS (passive)</w:t>
        </w:r>
        <w:r w:rsidR="00DE566A">
          <w:rPr>
            <w:webHidden/>
          </w:rPr>
          <w:tab/>
        </w:r>
        <w:r w:rsidR="00DE566A">
          <w:rPr>
            <w:webHidden/>
          </w:rPr>
          <w:fldChar w:fldCharType="begin"/>
        </w:r>
        <w:r w:rsidR="00DE566A">
          <w:rPr>
            <w:webHidden/>
          </w:rPr>
          <w:instrText xml:space="preserve"> PAGEREF _Toc45610666 \h </w:instrText>
        </w:r>
        <w:r w:rsidR="00DE566A">
          <w:rPr>
            <w:webHidden/>
          </w:rPr>
        </w:r>
        <w:r w:rsidR="00DE566A">
          <w:rPr>
            <w:webHidden/>
          </w:rPr>
          <w:fldChar w:fldCharType="separate"/>
        </w:r>
        <w:r w:rsidR="00DE566A">
          <w:rPr>
            <w:webHidden/>
          </w:rPr>
          <w:t>14</w:t>
        </w:r>
        <w:r w:rsidR="00DE566A">
          <w:rPr>
            <w:webHidden/>
          </w:rPr>
          <w:fldChar w:fldCharType="end"/>
        </w:r>
      </w:hyperlink>
    </w:p>
    <w:p w14:paraId="6323A440" w14:textId="63B054E1" w:rsidR="00DE566A" w:rsidRDefault="002E5D5C">
      <w:pPr>
        <w:pStyle w:val="TOC3"/>
        <w:rPr>
          <w:rFonts w:asciiTheme="minorHAnsi" w:eastAsiaTheme="minorEastAsia" w:hAnsiTheme="minorHAnsi" w:cstheme="minorBidi"/>
          <w:sz w:val="22"/>
          <w:szCs w:val="22"/>
          <w:lang w:val="da-DK" w:eastAsia="da-DK"/>
        </w:rPr>
      </w:pPr>
      <w:hyperlink w:anchor="_Toc45610667" w:history="1">
        <w:r w:rsidR="00DE566A" w:rsidRPr="00DD21D6">
          <w:rPr>
            <w:rStyle w:val="Hyperlink"/>
          </w:rPr>
          <w:t>5.5.2</w:t>
        </w:r>
        <w:r w:rsidR="00DE566A">
          <w:rPr>
            <w:rFonts w:asciiTheme="minorHAnsi" w:eastAsiaTheme="minorEastAsia" w:hAnsiTheme="minorHAnsi" w:cstheme="minorBidi"/>
            <w:sz w:val="22"/>
            <w:szCs w:val="22"/>
            <w:lang w:val="da-DK" w:eastAsia="da-DK"/>
          </w:rPr>
          <w:tab/>
        </w:r>
        <w:r w:rsidR="00DE566A" w:rsidRPr="00DD21D6">
          <w:rPr>
            <w:rStyle w:val="Hyperlink"/>
          </w:rPr>
          <w:t>Radio Astronomy</w:t>
        </w:r>
        <w:r w:rsidR="00DE566A">
          <w:rPr>
            <w:webHidden/>
          </w:rPr>
          <w:tab/>
        </w:r>
        <w:r w:rsidR="00DE566A">
          <w:rPr>
            <w:webHidden/>
          </w:rPr>
          <w:fldChar w:fldCharType="begin"/>
        </w:r>
        <w:r w:rsidR="00DE566A">
          <w:rPr>
            <w:webHidden/>
          </w:rPr>
          <w:instrText xml:space="preserve"> PAGEREF _Toc45610667 \h </w:instrText>
        </w:r>
        <w:r w:rsidR="00DE566A">
          <w:rPr>
            <w:webHidden/>
          </w:rPr>
        </w:r>
        <w:r w:rsidR="00DE566A">
          <w:rPr>
            <w:webHidden/>
          </w:rPr>
          <w:fldChar w:fldCharType="separate"/>
        </w:r>
        <w:r w:rsidR="00DE566A">
          <w:rPr>
            <w:webHidden/>
          </w:rPr>
          <w:t>14</w:t>
        </w:r>
        <w:r w:rsidR="00DE566A">
          <w:rPr>
            <w:webHidden/>
          </w:rPr>
          <w:fldChar w:fldCharType="end"/>
        </w:r>
      </w:hyperlink>
    </w:p>
    <w:p w14:paraId="69611665" w14:textId="214B00C3" w:rsidR="00DE566A" w:rsidRDefault="002E5D5C">
      <w:pPr>
        <w:pStyle w:val="TOC2"/>
        <w:rPr>
          <w:rFonts w:asciiTheme="minorHAnsi" w:eastAsiaTheme="minorEastAsia" w:hAnsiTheme="minorHAnsi" w:cstheme="minorBidi"/>
          <w:bCs w:val="0"/>
          <w:sz w:val="22"/>
          <w:szCs w:val="22"/>
          <w:lang w:val="da-DK" w:eastAsia="da-DK"/>
        </w:rPr>
      </w:pPr>
      <w:hyperlink w:anchor="_Toc45610668" w:history="1">
        <w:r w:rsidR="00DE566A" w:rsidRPr="00DD21D6">
          <w:rPr>
            <w:rStyle w:val="Hyperlink"/>
          </w:rPr>
          <w:t>5.6</w:t>
        </w:r>
        <w:r w:rsidR="00DE566A">
          <w:rPr>
            <w:rFonts w:asciiTheme="minorHAnsi" w:eastAsiaTheme="minorEastAsia" w:hAnsiTheme="minorHAnsi" w:cstheme="minorBidi"/>
            <w:bCs w:val="0"/>
            <w:sz w:val="22"/>
            <w:szCs w:val="22"/>
            <w:lang w:val="da-DK" w:eastAsia="da-DK"/>
          </w:rPr>
          <w:tab/>
        </w:r>
        <w:r w:rsidR="00DE566A" w:rsidRPr="00DD21D6">
          <w:rPr>
            <w:rStyle w:val="Hyperlink"/>
          </w:rPr>
          <w:t>MFCN</w:t>
        </w:r>
        <w:r w:rsidR="00DE566A">
          <w:rPr>
            <w:webHidden/>
          </w:rPr>
          <w:tab/>
        </w:r>
        <w:r w:rsidR="00DE566A">
          <w:rPr>
            <w:webHidden/>
          </w:rPr>
          <w:fldChar w:fldCharType="begin"/>
        </w:r>
        <w:r w:rsidR="00DE566A">
          <w:rPr>
            <w:webHidden/>
          </w:rPr>
          <w:instrText xml:space="preserve"> PAGEREF _Toc45610668 \h </w:instrText>
        </w:r>
        <w:r w:rsidR="00DE566A">
          <w:rPr>
            <w:webHidden/>
          </w:rPr>
        </w:r>
        <w:r w:rsidR="00DE566A">
          <w:rPr>
            <w:webHidden/>
          </w:rPr>
          <w:fldChar w:fldCharType="separate"/>
        </w:r>
        <w:r w:rsidR="00DE566A">
          <w:rPr>
            <w:webHidden/>
          </w:rPr>
          <w:t>15</w:t>
        </w:r>
        <w:r w:rsidR="00DE566A">
          <w:rPr>
            <w:webHidden/>
          </w:rPr>
          <w:fldChar w:fldCharType="end"/>
        </w:r>
      </w:hyperlink>
    </w:p>
    <w:p w14:paraId="4CA51727" w14:textId="228098E2" w:rsidR="00DE566A" w:rsidRDefault="002E5D5C">
      <w:pPr>
        <w:pStyle w:val="TOC1"/>
        <w:rPr>
          <w:rFonts w:asciiTheme="minorHAnsi" w:eastAsiaTheme="minorEastAsia" w:hAnsiTheme="minorHAnsi" w:cstheme="minorBidi"/>
          <w:b w:val="0"/>
          <w:noProof/>
          <w:sz w:val="22"/>
          <w:szCs w:val="22"/>
          <w:lang w:val="da-DK" w:eastAsia="da-DK"/>
        </w:rPr>
      </w:pPr>
      <w:hyperlink w:anchor="_Toc45610669" w:history="1">
        <w:r w:rsidR="00DE566A" w:rsidRPr="00DD21D6">
          <w:rPr>
            <w:rStyle w:val="Hyperlink"/>
            <w:noProof/>
          </w:rPr>
          <w:t>ANNEX 1: Examples of national approaches using AuthorIsation Regimes other than individual rights</w:t>
        </w:r>
        <w:r w:rsidR="00DE566A">
          <w:rPr>
            <w:noProof/>
            <w:webHidden/>
          </w:rPr>
          <w:tab/>
        </w:r>
        <w:r w:rsidR="00DE566A">
          <w:rPr>
            <w:noProof/>
            <w:webHidden/>
          </w:rPr>
          <w:fldChar w:fldCharType="begin"/>
        </w:r>
        <w:r w:rsidR="00DE566A">
          <w:rPr>
            <w:noProof/>
            <w:webHidden/>
          </w:rPr>
          <w:instrText xml:space="preserve"> PAGEREF _Toc45610669 \h </w:instrText>
        </w:r>
        <w:r w:rsidR="00DE566A">
          <w:rPr>
            <w:noProof/>
            <w:webHidden/>
          </w:rPr>
        </w:r>
        <w:r w:rsidR="00DE566A">
          <w:rPr>
            <w:noProof/>
            <w:webHidden/>
          </w:rPr>
          <w:fldChar w:fldCharType="separate"/>
        </w:r>
        <w:r w:rsidR="00DE566A">
          <w:rPr>
            <w:noProof/>
            <w:webHidden/>
          </w:rPr>
          <w:t>16</w:t>
        </w:r>
        <w:r w:rsidR="00DE566A">
          <w:rPr>
            <w:noProof/>
            <w:webHidden/>
          </w:rPr>
          <w:fldChar w:fldCharType="end"/>
        </w:r>
      </w:hyperlink>
    </w:p>
    <w:p w14:paraId="747613AC" w14:textId="11A9EF63" w:rsidR="00DE566A" w:rsidRDefault="002E5D5C">
      <w:pPr>
        <w:pStyle w:val="TOC1"/>
        <w:rPr>
          <w:rFonts w:asciiTheme="minorHAnsi" w:eastAsiaTheme="minorEastAsia" w:hAnsiTheme="minorHAnsi" w:cstheme="minorBidi"/>
          <w:b w:val="0"/>
          <w:noProof/>
          <w:sz w:val="22"/>
          <w:szCs w:val="22"/>
          <w:lang w:val="da-DK" w:eastAsia="da-DK"/>
        </w:rPr>
      </w:pPr>
      <w:hyperlink w:anchor="_Toc45610670" w:history="1">
        <w:r w:rsidR="00DE566A" w:rsidRPr="00DD21D6">
          <w:rPr>
            <w:rStyle w:val="Hyperlink"/>
            <w:noProof/>
          </w:rPr>
          <w:t>ANNEX 2: List of References</w:t>
        </w:r>
        <w:r w:rsidR="00DE566A">
          <w:rPr>
            <w:noProof/>
            <w:webHidden/>
          </w:rPr>
          <w:tab/>
        </w:r>
        <w:r w:rsidR="00DE566A">
          <w:rPr>
            <w:noProof/>
            <w:webHidden/>
          </w:rPr>
          <w:fldChar w:fldCharType="begin"/>
        </w:r>
        <w:r w:rsidR="00DE566A">
          <w:rPr>
            <w:noProof/>
            <w:webHidden/>
          </w:rPr>
          <w:instrText xml:space="preserve"> PAGEREF _Toc45610670 \h </w:instrText>
        </w:r>
        <w:r w:rsidR="00DE566A">
          <w:rPr>
            <w:noProof/>
            <w:webHidden/>
          </w:rPr>
        </w:r>
        <w:r w:rsidR="00DE566A">
          <w:rPr>
            <w:noProof/>
            <w:webHidden/>
          </w:rPr>
          <w:fldChar w:fldCharType="separate"/>
        </w:r>
        <w:r w:rsidR="00DE566A">
          <w:rPr>
            <w:noProof/>
            <w:webHidden/>
          </w:rPr>
          <w:t>18</w:t>
        </w:r>
        <w:r w:rsidR="00DE566A">
          <w:rPr>
            <w:noProof/>
            <w:webHidden/>
          </w:rPr>
          <w:fldChar w:fldCharType="end"/>
        </w:r>
      </w:hyperlink>
    </w:p>
    <w:p w14:paraId="3D11F89B" w14:textId="5AD2CAF8" w:rsidR="00120A17" w:rsidRPr="00742FDE" w:rsidRDefault="00A90997" w:rsidP="00264464">
      <w:pPr>
        <w:rPr>
          <w:rStyle w:val="ECCParagraph"/>
        </w:rPr>
      </w:pPr>
      <w:r w:rsidRPr="00742FDE">
        <w:rPr>
          <w:rStyle w:val="ECCParagraph"/>
          <w:b/>
          <w:szCs w:val="20"/>
        </w:rPr>
        <w:fldChar w:fldCharType="end"/>
      </w:r>
    </w:p>
    <w:p w14:paraId="757B1FDC" w14:textId="77777777" w:rsidR="00791AAC" w:rsidRPr="00742FDE" w:rsidRDefault="00791AAC" w:rsidP="00264464">
      <w:pPr>
        <w:rPr>
          <w:rStyle w:val="ECCParagraph"/>
        </w:rPr>
      </w:pPr>
      <w:r w:rsidRPr="00742FDE">
        <w:rPr>
          <w:rStyle w:val="ECCParagraph"/>
        </w:rPr>
        <w:br w:type="page"/>
      </w:r>
    </w:p>
    <w:p w14:paraId="0F822BB1" w14:textId="77777777" w:rsidR="008A54FC" w:rsidRPr="00742FDE" w:rsidRDefault="008A54FC" w:rsidP="00AC2686">
      <w:pPr>
        <w:pStyle w:val="coverpageTableofContent"/>
        <w:rPr>
          <w:noProof w:val="0"/>
          <w:lang w:val="en-GB"/>
        </w:rPr>
      </w:pPr>
    </w:p>
    <w:p w14:paraId="0FD2E704" w14:textId="77777777" w:rsidR="008A54FC" w:rsidRPr="00742FDE" w:rsidRDefault="00DF2C67" w:rsidP="00E2303A">
      <w:pPr>
        <w:pStyle w:val="coverpageTableofContent"/>
        <w:rPr>
          <w:noProof w:val="0"/>
          <w:lang w:val="en-GB"/>
        </w:rPr>
      </w:pPr>
      <w:r w:rsidRPr="00742FDE">
        <w:rPr>
          <w:lang w:val="en-GB"/>
        </w:rPr>
        <mc:AlternateContent>
          <mc:Choice Requires="wps">
            <w:drawing>
              <wp:anchor distT="0" distB="0" distL="114300" distR="114300" simplePos="0" relativeHeight="251659264" behindDoc="1" locked="1" layoutInCell="1" allowOverlap="1" wp14:anchorId="40A05AC5" wp14:editId="62C6FFDF">
                <wp:simplePos x="0" y="0"/>
                <wp:positionH relativeFrom="page">
                  <wp:align>center</wp:align>
                </wp:positionH>
                <wp:positionV relativeFrom="page">
                  <wp:posOffset>900430</wp:posOffset>
                </wp:positionV>
                <wp:extent cx="7560000" cy="720000"/>
                <wp:effectExtent l="0" t="0" r="3175" b="4445"/>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72000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858F1"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" fillcolor="#b0a696" stroked="f">
                <w10:wrap anchorx="page" anchory="page"/>
                <w10:anchorlock/>
              </v:rect>
            </w:pict>
          </mc:Fallback>
        </mc:AlternateContent>
      </w:r>
      <w:r w:rsidR="008A54FC" w:rsidRPr="00742FDE">
        <w:rPr>
          <w:noProof w:val="0"/>
          <w:lang w:val="en-GB"/>
        </w:rPr>
        <w:t>LIST OF ABBREVIATIONS</w:t>
      </w:r>
    </w:p>
    <w:p w14:paraId="28F54365" w14:textId="77777777" w:rsidR="008A54FC" w:rsidRPr="00742FDE"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38205F" w:rsidRPr="00742FDE" w14:paraId="706F3245" w14:textId="77777777" w:rsidTr="00F7797A">
        <w:trPr>
          <w:cnfStyle w:val="100000000000" w:firstRow="1" w:lastRow="0" w:firstColumn="0" w:lastColumn="0" w:oddVBand="0" w:evenVBand="0" w:oddHBand="0" w:evenHBand="0" w:firstRowFirstColumn="0" w:firstRowLastColumn="0" w:lastRowFirstColumn="0" w:lastRowLastColumn="0"/>
          <w:trHeight w:val="76"/>
        </w:trPr>
        <w:tc>
          <w:tcPr>
            <w:tcW w:w="2077" w:type="dxa"/>
          </w:tcPr>
          <w:p w14:paraId="64274358" w14:textId="77777777" w:rsidR="0038205F" w:rsidRPr="00742FDE" w:rsidRDefault="0038205F" w:rsidP="0038205F">
            <w:pPr>
              <w:pStyle w:val="ECCTableHeaderredfont"/>
            </w:pPr>
            <w:r w:rsidRPr="00742FDE">
              <w:t>Abbreviation</w:t>
            </w:r>
          </w:p>
        </w:tc>
        <w:tc>
          <w:tcPr>
            <w:tcW w:w="7562" w:type="dxa"/>
          </w:tcPr>
          <w:p w14:paraId="514F7603" w14:textId="48DEB779" w:rsidR="0038205F" w:rsidRPr="00742FDE" w:rsidRDefault="0038205F" w:rsidP="0038205F">
            <w:pPr>
              <w:pStyle w:val="ECCTableHeaderredfont"/>
            </w:pPr>
            <w:r w:rsidRPr="00742FDE">
              <w:t>Explanation</w:t>
            </w:r>
          </w:p>
        </w:tc>
      </w:tr>
      <w:tr w:rsidR="007E6F04" w:rsidRPr="00742FDE" w14:paraId="2F43B632" w14:textId="77777777" w:rsidTr="00F7797A">
        <w:trPr>
          <w:trHeight w:val="317"/>
        </w:trPr>
        <w:tc>
          <w:tcPr>
            <w:tcW w:w="2077" w:type="dxa"/>
          </w:tcPr>
          <w:p w14:paraId="74E87175" w14:textId="77777777" w:rsidR="007E6F04" w:rsidRPr="00742FDE" w:rsidRDefault="007E6F04" w:rsidP="0038205F">
            <w:pPr>
              <w:pStyle w:val="ECCTabletext"/>
              <w:rPr>
                <w:rStyle w:val="ECCHLbold"/>
              </w:rPr>
            </w:pPr>
            <w:r w:rsidRPr="00742FDE">
              <w:rPr>
                <w:rStyle w:val="ECCHLbold"/>
              </w:rPr>
              <w:t>5G</w:t>
            </w:r>
          </w:p>
        </w:tc>
        <w:tc>
          <w:tcPr>
            <w:tcW w:w="7562" w:type="dxa"/>
          </w:tcPr>
          <w:p w14:paraId="14558107" w14:textId="75F56161" w:rsidR="007E6F04" w:rsidRPr="00742FDE" w:rsidRDefault="0021291B" w:rsidP="008711D1">
            <w:pPr>
              <w:pStyle w:val="ECCTabletext"/>
            </w:pPr>
            <w:r w:rsidRPr="00742FDE">
              <w:t>F</w:t>
            </w:r>
            <w:r w:rsidR="00D13DAE" w:rsidRPr="00742FDE">
              <w:t>ifth generation wireless technology for digital cellular networks</w:t>
            </w:r>
          </w:p>
        </w:tc>
      </w:tr>
      <w:tr w:rsidR="007C3850" w:rsidRPr="00742FDE" w14:paraId="2D9376C7" w14:textId="77777777" w:rsidTr="00F7797A">
        <w:trPr>
          <w:trHeight w:val="317"/>
        </w:trPr>
        <w:tc>
          <w:tcPr>
            <w:tcW w:w="2077" w:type="dxa"/>
          </w:tcPr>
          <w:p w14:paraId="33452A1F" w14:textId="7EBE1A81" w:rsidR="007C3850" w:rsidRPr="00742FDE" w:rsidRDefault="007C3850" w:rsidP="0038205F">
            <w:pPr>
              <w:pStyle w:val="ECCTabletext"/>
              <w:rPr>
                <w:rStyle w:val="ECCHLbold"/>
              </w:rPr>
            </w:pPr>
            <w:r w:rsidRPr="00742FDE">
              <w:rPr>
                <w:rStyle w:val="ECCHLbold"/>
              </w:rPr>
              <w:t>BS</w:t>
            </w:r>
          </w:p>
        </w:tc>
        <w:tc>
          <w:tcPr>
            <w:tcW w:w="7562" w:type="dxa"/>
          </w:tcPr>
          <w:p w14:paraId="7F6DAD04" w14:textId="7A9CD4A2" w:rsidR="007C3850" w:rsidRPr="00742FDE" w:rsidRDefault="007C3850" w:rsidP="0038205F">
            <w:pPr>
              <w:pStyle w:val="ECCTabletext"/>
            </w:pPr>
            <w:r w:rsidRPr="00742FDE">
              <w:t>Base Station</w:t>
            </w:r>
          </w:p>
        </w:tc>
      </w:tr>
      <w:tr w:rsidR="0038205F" w:rsidRPr="00742FDE" w14:paraId="107378D5" w14:textId="77777777" w:rsidTr="00F7797A">
        <w:trPr>
          <w:trHeight w:val="317"/>
        </w:trPr>
        <w:tc>
          <w:tcPr>
            <w:tcW w:w="2077" w:type="dxa"/>
          </w:tcPr>
          <w:p w14:paraId="53B16F09" w14:textId="77777777" w:rsidR="0038205F" w:rsidRPr="00742FDE" w:rsidRDefault="0038205F" w:rsidP="0038205F">
            <w:pPr>
              <w:pStyle w:val="ECCTabletext"/>
              <w:rPr>
                <w:rStyle w:val="ECCHLbold"/>
              </w:rPr>
            </w:pPr>
            <w:r w:rsidRPr="00742FDE">
              <w:rPr>
                <w:rStyle w:val="ECCHLbold"/>
              </w:rPr>
              <w:t>CEPT</w:t>
            </w:r>
          </w:p>
        </w:tc>
        <w:tc>
          <w:tcPr>
            <w:tcW w:w="7562" w:type="dxa"/>
          </w:tcPr>
          <w:p w14:paraId="58FD8210" w14:textId="77777777" w:rsidR="0038205F" w:rsidRPr="00742FDE" w:rsidRDefault="0038205F" w:rsidP="0038205F">
            <w:pPr>
              <w:pStyle w:val="ECCTabletext"/>
            </w:pPr>
            <w:r w:rsidRPr="00742FDE">
              <w:t>European Conference of Postal and Telecommunications Administrations</w:t>
            </w:r>
          </w:p>
        </w:tc>
      </w:tr>
      <w:tr w:rsidR="007C3850" w:rsidRPr="00742FDE" w14:paraId="0D33B17A" w14:textId="77777777" w:rsidTr="00F7797A">
        <w:trPr>
          <w:trHeight w:val="317"/>
        </w:trPr>
        <w:tc>
          <w:tcPr>
            <w:tcW w:w="2077" w:type="dxa"/>
          </w:tcPr>
          <w:p w14:paraId="4EAFD9FE" w14:textId="2802487A" w:rsidR="007C3850" w:rsidRPr="00742FDE" w:rsidRDefault="007C3850" w:rsidP="0038205F">
            <w:pPr>
              <w:pStyle w:val="ECCTabletext"/>
              <w:rPr>
                <w:rStyle w:val="ECCHLbold"/>
              </w:rPr>
            </w:pPr>
            <w:r w:rsidRPr="00742FDE">
              <w:rPr>
                <w:rStyle w:val="ECCHLbold"/>
              </w:rPr>
              <w:t>EC</w:t>
            </w:r>
          </w:p>
        </w:tc>
        <w:tc>
          <w:tcPr>
            <w:tcW w:w="7562" w:type="dxa"/>
          </w:tcPr>
          <w:p w14:paraId="4B4ABCA4" w14:textId="6F59692B" w:rsidR="007C3850" w:rsidRPr="00742FDE" w:rsidRDefault="007C3850" w:rsidP="0038205F">
            <w:pPr>
              <w:pStyle w:val="ECCTabletext"/>
            </w:pPr>
            <w:r w:rsidRPr="00742FDE">
              <w:t>European Commission</w:t>
            </w:r>
          </w:p>
        </w:tc>
      </w:tr>
      <w:tr w:rsidR="0038205F" w:rsidRPr="00742FDE" w14:paraId="53D6A1A1" w14:textId="77777777" w:rsidTr="00F7797A">
        <w:trPr>
          <w:trHeight w:val="317"/>
        </w:trPr>
        <w:tc>
          <w:tcPr>
            <w:tcW w:w="2077" w:type="dxa"/>
          </w:tcPr>
          <w:p w14:paraId="38EF2EC3" w14:textId="77777777" w:rsidR="0038205F" w:rsidRPr="00742FDE" w:rsidRDefault="0038205F" w:rsidP="0038205F">
            <w:pPr>
              <w:pStyle w:val="ECCTabletext"/>
              <w:rPr>
                <w:rStyle w:val="ECCHLbold"/>
              </w:rPr>
            </w:pPr>
            <w:r w:rsidRPr="00742FDE">
              <w:rPr>
                <w:rStyle w:val="ECCHLbold"/>
              </w:rPr>
              <w:t>ECC</w:t>
            </w:r>
          </w:p>
        </w:tc>
        <w:tc>
          <w:tcPr>
            <w:tcW w:w="7562" w:type="dxa"/>
          </w:tcPr>
          <w:p w14:paraId="4AE1CF33" w14:textId="77777777" w:rsidR="0038205F" w:rsidRPr="00742FDE" w:rsidRDefault="0038205F" w:rsidP="0038205F">
            <w:pPr>
              <w:pStyle w:val="ECCTabletext"/>
            </w:pPr>
            <w:r w:rsidRPr="00742FDE">
              <w:t>Electronic Communications Committee</w:t>
            </w:r>
          </w:p>
        </w:tc>
      </w:tr>
      <w:tr w:rsidR="007C3850" w:rsidRPr="00742FDE" w14:paraId="5DB3ECB8" w14:textId="77777777" w:rsidTr="00F7797A">
        <w:trPr>
          <w:trHeight w:val="317"/>
        </w:trPr>
        <w:tc>
          <w:tcPr>
            <w:tcW w:w="2077" w:type="dxa"/>
          </w:tcPr>
          <w:p w14:paraId="00B464E8" w14:textId="26D004AD" w:rsidR="007C3850" w:rsidRPr="00742FDE" w:rsidRDefault="007C3850" w:rsidP="0038205F">
            <w:pPr>
              <w:pStyle w:val="ECCTabletext"/>
              <w:rPr>
                <w:rStyle w:val="ECCHLbold"/>
              </w:rPr>
            </w:pPr>
            <w:r w:rsidRPr="00742FDE">
              <w:rPr>
                <w:rStyle w:val="ECCHLbold"/>
              </w:rPr>
              <w:t>EESS</w:t>
            </w:r>
          </w:p>
        </w:tc>
        <w:tc>
          <w:tcPr>
            <w:tcW w:w="7562" w:type="dxa"/>
          </w:tcPr>
          <w:p w14:paraId="238FC637" w14:textId="57928B9D" w:rsidR="007C3850" w:rsidRPr="00742FDE" w:rsidRDefault="007C3850" w:rsidP="0038205F">
            <w:pPr>
              <w:pStyle w:val="ECCTabletext"/>
            </w:pPr>
            <w:r w:rsidRPr="00742FDE">
              <w:t>Earth Exploration-Satellite Service</w:t>
            </w:r>
          </w:p>
        </w:tc>
      </w:tr>
      <w:tr w:rsidR="007C3850" w:rsidRPr="00742FDE" w14:paraId="7D6D65AA" w14:textId="77777777" w:rsidTr="00F7797A">
        <w:trPr>
          <w:trHeight w:val="317"/>
        </w:trPr>
        <w:tc>
          <w:tcPr>
            <w:tcW w:w="2077" w:type="dxa"/>
          </w:tcPr>
          <w:p w14:paraId="301A40BE" w14:textId="68804B1D" w:rsidR="007C3850" w:rsidRPr="00742FDE" w:rsidRDefault="007C3850" w:rsidP="0038205F">
            <w:pPr>
              <w:pStyle w:val="ECCTabletext"/>
              <w:rPr>
                <w:rStyle w:val="ECCHLbold"/>
              </w:rPr>
            </w:pPr>
            <w:r w:rsidRPr="00742FDE">
              <w:rPr>
                <w:rStyle w:val="ECCHLbold"/>
              </w:rPr>
              <w:t>ETSI</w:t>
            </w:r>
          </w:p>
        </w:tc>
        <w:tc>
          <w:tcPr>
            <w:tcW w:w="7562" w:type="dxa"/>
          </w:tcPr>
          <w:p w14:paraId="7A327989" w14:textId="6312D5F5" w:rsidR="007C3850" w:rsidRPr="00742FDE" w:rsidRDefault="007C3850" w:rsidP="0038205F">
            <w:pPr>
              <w:pStyle w:val="ECCTabletext"/>
            </w:pPr>
            <w:r w:rsidRPr="00742FDE">
              <w:t>European Telecommunications Standard</w:t>
            </w:r>
            <w:r w:rsidR="007F0C0A" w:rsidRPr="00742FDE">
              <w:t>s</w:t>
            </w:r>
            <w:r w:rsidRPr="00742FDE">
              <w:t xml:space="preserve"> Institute</w:t>
            </w:r>
          </w:p>
        </w:tc>
      </w:tr>
      <w:tr w:rsidR="00531468" w:rsidRPr="00742FDE" w14:paraId="17D057EF" w14:textId="77777777" w:rsidTr="00F7797A">
        <w:trPr>
          <w:trHeight w:val="317"/>
        </w:trPr>
        <w:tc>
          <w:tcPr>
            <w:tcW w:w="2077" w:type="dxa"/>
          </w:tcPr>
          <w:p w14:paraId="6C038FFA" w14:textId="77777777" w:rsidR="00531468" w:rsidRPr="00742FDE" w:rsidRDefault="00531468" w:rsidP="0038205F">
            <w:pPr>
              <w:pStyle w:val="ECCTabletext"/>
              <w:rPr>
                <w:rStyle w:val="ECCHLbold"/>
              </w:rPr>
            </w:pPr>
            <w:r w:rsidRPr="00742FDE">
              <w:rPr>
                <w:rStyle w:val="ECCHLbold"/>
              </w:rPr>
              <w:t>FS</w:t>
            </w:r>
          </w:p>
        </w:tc>
        <w:tc>
          <w:tcPr>
            <w:tcW w:w="7562" w:type="dxa"/>
          </w:tcPr>
          <w:p w14:paraId="5FB758A3" w14:textId="77777777" w:rsidR="00531468" w:rsidRPr="00742FDE" w:rsidRDefault="00531468" w:rsidP="0038205F">
            <w:pPr>
              <w:pStyle w:val="ECCTabletext"/>
            </w:pPr>
            <w:r w:rsidRPr="00742FDE">
              <w:t>Fixed Service</w:t>
            </w:r>
          </w:p>
        </w:tc>
      </w:tr>
      <w:tr w:rsidR="00531468" w:rsidRPr="00742FDE" w14:paraId="66036A31" w14:textId="77777777" w:rsidTr="00F7797A">
        <w:trPr>
          <w:trHeight w:val="317"/>
        </w:trPr>
        <w:tc>
          <w:tcPr>
            <w:tcW w:w="2077" w:type="dxa"/>
          </w:tcPr>
          <w:p w14:paraId="2ECA22D3" w14:textId="77777777" w:rsidR="00531468" w:rsidRPr="00742FDE" w:rsidRDefault="00531468" w:rsidP="0038205F">
            <w:pPr>
              <w:pStyle w:val="ECCTabletext"/>
              <w:rPr>
                <w:rStyle w:val="ECCHLbold"/>
              </w:rPr>
            </w:pPr>
            <w:r w:rsidRPr="00742FDE">
              <w:rPr>
                <w:rStyle w:val="ECCHLbold"/>
              </w:rPr>
              <w:t>FSS</w:t>
            </w:r>
          </w:p>
        </w:tc>
        <w:tc>
          <w:tcPr>
            <w:tcW w:w="7562" w:type="dxa"/>
          </w:tcPr>
          <w:p w14:paraId="1BA6B892" w14:textId="77777777" w:rsidR="00531468" w:rsidRPr="00742FDE" w:rsidRDefault="00531468" w:rsidP="00531468">
            <w:pPr>
              <w:pStyle w:val="ECCTabletext"/>
            </w:pPr>
            <w:r w:rsidRPr="00742FDE">
              <w:t>Fixed Satellite Service</w:t>
            </w:r>
          </w:p>
        </w:tc>
      </w:tr>
      <w:tr w:rsidR="007C3850" w:rsidRPr="00742FDE" w14:paraId="4A08E5CE" w14:textId="77777777" w:rsidTr="00F7797A">
        <w:trPr>
          <w:trHeight w:val="317"/>
        </w:trPr>
        <w:tc>
          <w:tcPr>
            <w:tcW w:w="2077" w:type="dxa"/>
          </w:tcPr>
          <w:p w14:paraId="654859B7" w14:textId="75B563ED" w:rsidR="007C3850" w:rsidRPr="00742FDE" w:rsidRDefault="007C3850" w:rsidP="0038205F">
            <w:pPr>
              <w:pStyle w:val="ECCTabletext"/>
              <w:rPr>
                <w:rStyle w:val="ECCHLbold"/>
              </w:rPr>
            </w:pPr>
            <w:r w:rsidRPr="00742FDE">
              <w:rPr>
                <w:rStyle w:val="ECCHLbold"/>
              </w:rPr>
              <w:t>IMT</w:t>
            </w:r>
          </w:p>
        </w:tc>
        <w:tc>
          <w:tcPr>
            <w:tcW w:w="7562" w:type="dxa"/>
          </w:tcPr>
          <w:p w14:paraId="23A69E05" w14:textId="4D0B7DC5" w:rsidR="007C3850" w:rsidRPr="00742FDE" w:rsidRDefault="007C3850" w:rsidP="007E6F04">
            <w:pPr>
              <w:pStyle w:val="ECCTabletext"/>
            </w:pPr>
            <w:r w:rsidRPr="00742FDE">
              <w:t>International Mobile Telecommunications</w:t>
            </w:r>
          </w:p>
        </w:tc>
      </w:tr>
      <w:tr w:rsidR="007E6F04" w:rsidRPr="00742FDE" w14:paraId="3B93C3E5" w14:textId="77777777" w:rsidTr="00F7797A">
        <w:trPr>
          <w:trHeight w:val="317"/>
        </w:trPr>
        <w:tc>
          <w:tcPr>
            <w:tcW w:w="2077" w:type="dxa"/>
          </w:tcPr>
          <w:p w14:paraId="2C0DB9A3" w14:textId="77777777" w:rsidR="007E6F04" w:rsidRPr="00742FDE" w:rsidRDefault="007E6F04" w:rsidP="0038205F">
            <w:pPr>
              <w:pStyle w:val="ECCTabletext"/>
              <w:rPr>
                <w:rStyle w:val="ECCHLbold"/>
              </w:rPr>
            </w:pPr>
            <w:r w:rsidRPr="00742FDE">
              <w:rPr>
                <w:rStyle w:val="ECCHLbold"/>
              </w:rPr>
              <w:t>LRTC</w:t>
            </w:r>
          </w:p>
        </w:tc>
        <w:tc>
          <w:tcPr>
            <w:tcW w:w="7562" w:type="dxa"/>
          </w:tcPr>
          <w:p w14:paraId="259761E8" w14:textId="77777777" w:rsidR="007E6F04" w:rsidRPr="00742FDE" w:rsidRDefault="007E6F04" w:rsidP="007E6F04">
            <w:pPr>
              <w:pStyle w:val="ECCTabletext"/>
            </w:pPr>
            <w:r w:rsidRPr="00742FDE">
              <w:t>Least Restrictive Technical Conditions</w:t>
            </w:r>
          </w:p>
        </w:tc>
      </w:tr>
      <w:tr w:rsidR="0038205F" w:rsidRPr="00742FDE" w14:paraId="13649C5A" w14:textId="77777777" w:rsidTr="00F7797A">
        <w:trPr>
          <w:trHeight w:val="317"/>
        </w:trPr>
        <w:tc>
          <w:tcPr>
            <w:tcW w:w="2077" w:type="dxa"/>
          </w:tcPr>
          <w:p w14:paraId="2ECEEE07" w14:textId="77777777" w:rsidR="0038205F" w:rsidRPr="00742FDE" w:rsidRDefault="0038205F" w:rsidP="0038205F">
            <w:pPr>
              <w:pStyle w:val="ECCTabletext"/>
              <w:rPr>
                <w:rStyle w:val="ECCHLbold"/>
              </w:rPr>
            </w:pPr>
            <w:r w:rsidRPr="00742FDE">
              <w:rPr>
                <w:rStyle w:val="ECCHLbold"/>
              </w:rPr>
              <w:t>MNO</w:t>
            </w:r>
          </w:p>
        </w:tc>
        <w:tc>
          <w:tcPr>
            <w:tcW w:w="7562" w:type="dxa"/>
          </w:tcPr>
          <w:p w14:paraId="538E411B" w14:textId="233183E9" w:rsidR="0038205F" w:rsidRPr="00742FDE" w:rsidRDefault="0038205F" w:rsidP="00815E8A">
            <w:pPr>
              <w:pStyle w:val="ECCTabletext"/>
            </w:pPr>
            <w:r w:rsidRPr="00742FDE">
              <w:t>Mobile Network Operator</w:t>
            </w:r>
            <w:r w:rsidR="00815E8A" w:rsidRPr="00742FDE">
              <w:t xml:space="preserve"> </w:t>
            </w:r>
          </w:p>
        </w:tc>
      </w:tr>
      <w:tr w:rsidR="0038205F" w:rsidRPr="00742FDE" w14:paraId="1F46EE65" w14:textId="77777777" w:rsidTr="00F7797A">
        <w:trPr>
          <w:trHeight w:val="317"/>
        </w:trPr>
        <w:tc>
          <w:tcPr>
            <w:tcW w:w="2077" w:type="dxa"/>
          </w:tcPr>
          <w:p w14:paraId="15CEDF9F" w14:textId="77777777" w:rsidR="0038205F" w:rsidRPr="00742FDE" w:rsidRDefault="0038205F" w:rsidP="0038205F">
            <w:pPr>
              <w:pStyle w:val="ECCTabletext"/>
              <w:rPr>
                <w:rStyle w:val="ECCHLbold"/>
              </w:rPr>
            </w:pPr>
            <w:r w:rsidRPr="00742FDE">
              <w:rPr>
                <w:rStyle w:val="ECCHLbold"/>
              </w:rPr>
              <w:t>MFCN</w:t>
            </w:r>
          </w:p>
        </w:tc>
        <w:tc>
          <w:tcPr>
            <w:tcW w:w="7562" w:type="dxa"/>
          </w:tcPr>
          <w:p w14:paraId="3C658FB5" w14:textId="77777777" w:rsidR="0038205F" w:rsidRPr="00742FDE" w:rsidRDefault="0038205F" w:rsidP="0038205F">
            <w:pPr>
              <w:pStyle w:val="ECCTabletext"/>
            </w:pPr>
            <w:r w:rsidRPr="00742FDE">
              <w:t>Mobile/Fixed Communications Networks</w:t>
            </w:r>
          </w:p>
        </w:tc>
      </w:tr>
      <w:tr w:rsidR="007E6F04" w:rsidRPr="00742FDE" w14:paraId="4BD61F83" w14:textId="77777777" w:rsidTr="00F7797A">
        <w:trPr>
          <w:trHeight w:val="317"/>
        </w:trPr>
        <w:tc>
          <w:tcPr>
            <w:tcW w:w="2077" w:type="dxa"/>
          </w:tcPr>
          <w:p w14:paraId="7F3451C9" w14:textId="77777777" w:rsidR="007E6F04" w:rsidRPr="00742FDE" w:rsidRDefault="007E6F04" w:rsidP="0038205F">
            <w:pPr>
              <w:pStyle w:val="ECCTabletext"/>
              <w:rPr>
                <w:rStyle w:val="ECCHLbold"/>
              </w:rPr>
            </w:pPr>
            <w:r w:rsidRPr="00742FDE">
              <w:rPr>
                <w:rStyle w:val="ECCHLbold"/>
              </w:rPr>
              <w:t>RAS</w:t>
            </w:r>
          </w:p>
        </w:tc>
        <w:tc>
          <w:tcPr>
            <w:tcW w:w="7562" w:type="dxa"/>
          </w:tcPr>
          <w:p w14:paraId="15327599" w14:textId="250AFBED" w:rsidR="007E6F04" w:rsidRPr="00742FDE" w:rsidRDefault="007E6F04" w:rsidP="0038205F">
            <w:pPr>
              <w:pStyle w:val="ECCTabletext"/>
            </w:pPr>
            <w:r w:rsidRPr="00742FDE">
              <w:t>Radio</w:t>
            </w:r>
            <w:r w:rsidR="00372B45" w:rsidRPr="00742FDE">
              <w:t xml:space="preserve"> A</w:t>
            </w:r>
            <w:r w:rsidRPr="00742FDE">
              <w:t>stronomy Service</w:t>
            </w:r>
          </w:p>
        </w:tc>
      </w:tr>
      <w:tr w:rsidR="007C3850" w:rsidRPr="00742FDE" w14:paraId="128CEB0C" w14:textId="77777777" w:rsidTr="00F7797A">
        <w:trPr>
          <w:trHeight w:val="317"/>
        </w:trPr>
        <w:tc>
          <w:tcPr>
            <w:tcW w:w="2077" w:type="dxa"/>
          </w:tcPr>
          <w:p w14:paraId="4643C093" w14:textId="2232CB65" w:rsidR="007C3850" w:rsidRPr="00742FDE" w:rsidRDefault="007C3850" w:rsidP="0038205F">
            <w:pPr>
              <w:pStyle w:val="ECCTabletext"/>
              <w:rPr>
                <w:rStyle w:val="ECCHLbold"/>
              </w:rPr>
            </w:pPr>
            <w:r w:rsidRPr="00742FDE">
              <w:rPr>
                <w:rStyle w:val="ECCHLbold"/>
              </w:rPr>
              <w:t>SRS</w:t>
            </w:r>
          </w:p>
        </w:tc>
        <w:tc>
          <w:tcPr>
            <w:tcW w:w="7562" w:type="dxa"/>
          </w:tcPr>
          <w:p w14:paraId="303F96E7" w14:textId="60228DC0" w:rsidR="007C3850" w:rsidRPr="00742FDE" w:rsidRDefault="007C3850" w:rsidP="0038205F">
            <w:pPr>
              <w:pStyle w:val="ECCTabletext"/>
            </w:pPr>
            <w:r w:rsidRPr="00742FDE">
              <w:t>Space Research Service</w:t>
            </w:r>
          </w:p>
        </w:tc>
      </w:tr>
      <w:tr w:rsidR="0038205F" w:rsidRPr="00742FDE" w14:paraId="7231F712" w14:textId="77777777" w:rsidTr="00F7797A">
        <w:trPr>
          <w:trHeight w:val="317"/>
        </w:trPr>
        <w:tc>
          <w:tcPr>
            <w:tcW w:w="2077" w:type="dxa"/>
          </w:tcPr>
          <w:p w14:paraId="7083AF84" w14:textId="77777777" w:rsidR="0038205F" w:rsidRPr="00742FDE" w:rsidRDefault="0038205F" w:rsidP="0038205F">
            <w:pPr>
              <w:pStyle w:val="ECCTabletext"/>
              <w:rPr>
                <w:rStyle w:val="ECCHLbold"/>
              </w:rPr>
            </w:pPr>
            <w:r w:rsidRPr="00742FDE">
              <w:rPr>
                <w:rStyle w:val="ECCHLbold"/>
              </w:rPr>
              <w:t>TRP</w:t>
            </w:r>
          </w:p>
        </w:tc>
        <w:tc>
          <w:tcPr>
            <w:tcW w:w="7562" w:type="dxa"/>
          </w:tcPr>
          <w:p w14:paraId="06F14D5F" w14:textId="77777777" w:rsidR="0038205F" w:rsidRPr="00742FDE" w:rsidRDefault="0038205F" w:rsidP="0038205F">
            <w:pPr>
              <w:pStyle w:val="ECCTabletext"/>
            </w:pPr>
            <w:r w:rsidRPr="00742FDE">
              <w:t>Total Radiated Power</w:t>
            </w:r>
          </w:p>
        </w:tc>
      </w:tr>
      <w:tr w:rsidR="0038205F" w:rsidRPr="00742FDE" w14:paraId="4A32E5D8" w14:textId="77777777" w:rsidTr="00F7797A">
        <w:trPr>
          <w:trHeight w:val="317"/>
        </w:trPr>
        <w:tc>
          <w:tcPr>
            <w:tcW w:w="2077" w:type="dxa"/>
          </w:tcPr>
          <w:p w14:paraId="4DF6884E" w14:textId="4D78274E" w:rsidR="0038205F" w:rsidRPr="00742FDE" w:rsidRDefault="007C3850" w:rsidP="0038205F">
            <w:pPr>
              <w:pStyle w:val="ECCTabletext"/>
              <w:rPr>
                <w:rStyle w:val="ECCHLbold"/>
              </w:rPr>
            </w:pPr>
            <w:r w:rsidRPr="00742FDE">
              <w:rPr>
                <w:rStyle w:val="ECCHLbold"/>
              </w:rPr>
              <w:t>WRC</w:t>
            </w:r>
          </w:p>
        </w:tc>
        <w:tc>
          <w:tcPr>
            <w:tcW w:w="7562" w:type="dxa"/>
          </w:tcPr>
          <w:p w14:paraId="05D7FDDE" w14:textId="1588C5A9" w:rsidR="0038205F" w:rsidRPr="00742FDE" w:rsidRDefault="007C3850" w:rsidP="0038205F">
            <w:pPr>
              <w:pStyle w:val="ECCTabletext"/>
            </w:pPr>
            <w:r w:rsidRPr="00742FDE">
              <w:t>World Radiocommunication Conference</w:t>
            </w:r>
          </w:p>
        </w:tc>
      </w:tr>
    </w:tbl>
    <w:p w14:paraId="0206FA13" w14:textId="77777777" w:rsidR="0038205F" w:rsidRPr="00742FDE" w:rsidRDefault="0038205F" w:rsidP="00AC2686">
      <w:pPr>
        <w:pStyle w:val="coverpageTableofContent"/>
        <w:rPr>
          <w:noProof w:val="0"/>
          <w:lang w:val="en-GB"/>
        </w:rPr>
      </w:pPr>
    </w:p>
    <w:p w14:paraId="60B456BC" w14:textId="65A721B6" w:rsidR="00797D4C" w:rsidRPr="00742FDE"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Ref32245964"/>
      <w:bookmarkStart w:id="30" w:name="_Toc37256353"/>
      <w:bookmarkStart w:id="31" w:name="_Toc32403300"/>
      <w:bookmarkStart w:id="32" w:name="_Toc45610641"/>
      <w:r w:rsidRPr="00742FDE">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54899B26" w14:textId="0A82BD3E" w:rsidR="00B5758E" w:rsidRPr="00742FDE" w:rsidRDefault="005E4ABA" w:rsidP="005E4ABA">
      <w:pPr>
        <w:rPr>
          <w:rStyle w:val="ECCParagraph"/>
        </w:rPr>
      </w:pPr>
      <w:r w:rsidRPr="00742FDE">
        <w:t xml:space="preserve">This </w:t>
      </w:r>
      <w:r w:rsidR="00E80513" w:rsidRPr="00742FDE">
        <w:t>R</w:t>
      </w:r>
      <w:r w:rsidRPr="00742FDE">
        <w:t xml:space="preserve">eport provides information to assist administrations who are considering authorisation regimes for 24.25-27.5 GHz other than </w:t>
      </w:r>
      <w:r w:rsidR="00B50956" w:rsidRPr="00742FDE">
        <w:t>individual rights of use</w:t>
      </w:r>
      <w:r w:rsidR="0011499B" w:rsidRPr="00742FDE">
        <w:t xml:space="preserve"> </w:t>
      </w:r>
      <w:r w:rsidR="00B50956" w:rsidRPr="00742FDE">
        <w:t xml:space="preserve">(including national authorisation regimes) </w:t>
      </w:r>
      <w:r w:rsidR="001104A8" w:rsidRPr="00742FDE">
        <w:t xml:space="preserve">which may be based on </w:t>
      </w:r>
      <w:r w:rsidR="0011499B" w:rsidRPr="00742FDE">
        <w:t xml:space="preserve">radio licenses and/or </w:t>
      </w:r>
      <w:r w:rsidR="00510792" w:rsidRPr="00742FDE">
        <w:t xml:space="preserve">spectrum </w:t>
      </w:r>
      <w:r w:rsidR="0011499B" w:rsidRPr="00742FDE">
        <w:t>R</w:t>
      </w:r>
      <w:r w:rsidRPr="00742FDE">
        <w:t xml:space="preserve">ights of </w:t>
      </w:r>
      <w:r w:rsidR="0011499B" w:rsidRPr="00742FDE">
        <w:t>U</w:t>
      </w:r>
      <w:r w:rsidRPr="00742FDE">
        <w:t>se and guidance to</w:t>
      </w:r>
      <w:r w:rsidRPr="00742FDE">
        <w:rPr>
          <w:rStyle w:val="ECCParagraph"/>
        </w:rPr>
        <w:t xml:space="preserve"> administrations </w:t>
      </w:r>
      <w:r w:rsidRPr="00742FDE">
        <w:t>particularly in relation to ensure coexistence with radio services</w:t>
      </w:r>
      <w:r w:rsidR="004534E4" w:rsidRPr="00742FDE">
        <w:t xml:space="preserve"> (adjacent</w:t>
      </w:r>
      <w:r w:rsidR="00271D8B" w:rsidRPr="00742FDE">
        <w:t xml:space="preserve"> and in the band) in accordance with harmonised technical conditions </w:t>
      </w:r>
      <w:r w:rsidR="00413E40" w:rsidRPr="00742FDE">
        <w:t xml:space="preserve">contained in </w:t>
      </w:r>
      <w:r w:rsidR="00271D8B" w:rsidRPr="00742FDE">
        <w:t>ECC Decision (18)06</w:t>
      </w:r>
      <w:r w:rsidR="00413E40" w:rsidRPr="00742FDE">
        <w:t xml:space="preserve"> </w:t>
      </w:r>
      <w:r w:rsidR="00413E40" w:rsidRPr="00742FDE">
        <w:fldChar w:fldCharType="begin"/>
      </w:r>
      <w:r w:rsidR="00413E40" w:rsidRPr="00742FDE">
        <w:instrText xml:space="preserve"> REF _Ref32245228 \r \h </w:instrText>
      </w:r>
      <w:r w:rsidR="00413E40" w:rsidRPr="00742FDE">
        <w:fldChar w:fldCharType="separate"/>
      </w:r>
      <w:r w:rsidR="00DE566A">
        <w:t>[1]</w:t>
      </w:r>
      <w:r w:rsidR="00413E40" w:rsidRPr="00742FDE">
        <w:fldChar w:fldCharType="end"/>
      </w:r>
      <w:r w:rsidR="00271D8B" w:rsidRPr="00742FDE">
        <w:t>.</w:t>
      </w:r>
    </w:p>
    <w:p w14:paraId="0E5B1F83" w14:textId="04AFFE3C" w:rsidR="00596CCA" w:rsidRPr="00742FDE" w:rsidRDefault="00767A0F" w:rsidP="0091568B">
      <w:pPr>
        <w:rPr>
          <w:highlight w:val="yellow"/>
        </w:rPr>
      </w:pPr>
      <w:r w:rsidRPr="00742FDE">
        <w:rPr>
          <w:rStyle w:val="ECCParagraph"/>
        </w:rPr>
        <w:t xml:space="preserve">This </w:t>
      </w:r>
      <w:r w:rsidR="00FF6F3C" w:rsidRPr="00742FDE">
        <w:rPr>
          <w:rStyle w:val="ECCParagraph"/>
        </w:rPr>
        <w:t>R</w:t>
      </w:r>
      <w:r w:rsidRPr="00742FDE">
        <w:rPr>
          <w:rStyle w:val="ECCParagraph"/>
        </w:rPr>
        <w:t xml:space="preserve">eport looks at different </w:t>
      </w:r>
      <w:r w:rsidR="00271D8B" w:rsidRPr="00742FDE">
        <w:rPr>
          <w:rStyle w:val="ECCParagraph"/>
        </w:rPr>
        <w:t xml:space="preserve">authorisation </w:t>
      </w:r>
      <w:r w:rsidR="000E474F" w:rsidRPr="00742FDE">
        <w:rPr>
          <w:rStyle w:val="ECCParagraph"/>
        </w:rPr>
        <w:t xml:space="preserve">regimes </w:t>
      </w:r>
      <w:r w:rsidR="00271D8B" w:rsidRPr="00742FDE">
        <w:t>(</w:t>
      </w:r>
      <w:r w:rsidR="00D377AD" w:rsidRPr="00742FDE">
        <w:t>e.g.</w:t>
      </w:r>
      <w:r w:rsidR="00271D8B" w:rsidRPr="00742FDE">
        <w:t xml:space="preserve"> local licences, light licences, </w:t>
      </w:r>
      <w:r w:rsidR="00434849" w:rsidRPr="00742FDE">
        <w:t xml:space="preserve">nationwide </w:t>
      </w:r>
      <w:r w:rsidR="00271D8B" w:rsidRPr="00742FDE">
        <w:t xml:space="preserve">general authorisation and local general authorisation) </w:t>
      </w:r>
      <w:r w:rsidRPr="00742FDE">
        <w:rPr>
          <w:rStyle w:val="ECCParagraph"/>
        </w:rPr>
        <w:t xml:space="preserve">from the traditional method of authorising MFCN </w:t>
      </w:r>
      <w:r w:rsidR="00522206" w:rsidRPr="00742FDE">
        <w:t xml:space="preserve">(i.e. national </w:t>
      </w:r>
      <w:r w:rsidR="00125E1F" w:rsidRPr="00742FDE">
        <w:rPr>
          <w:rStyle w:val="ECCParagraph"/>
        </w:rPr>
        <w:t xml:space="preserve">authorisation regimes </w:t>
      </w:r>
      <w:r w:rsidR="001104A8" w:rsidRPr="00742FDE">
        <w:rPr>
          <w:rStyle w:val="ECCParagraph"/>
        </w:rPr>
        <w:t xml:space="preserve">which may be based on </w:t>
      </w:r>
      <w:r w:rsidR="00125E1F" w:rsidRPr="00742FDE">
        <w:rPr>
          <w:rStyle w:val="ECCParagraph"/>
        </w:rPr>
        <w:t xml:space="preserve">radio </w:t>
      </w:r>
      <w:r w:rsidRPr="00742FDE">
        <w:t>licences</w:t>
      </w:r>
      <w:r w:rsidR="00125E1F" w:rsidRPr="00742FDE">
        <w:t xml:space="preserve"> and/or </w:t>
      </w:r>
      <w:r w:rsidR="00510792" w:rsidRPr="00742FDE">
        <w:t xml:space="preserve">spectrum </w:t>
      </w:r>
      <w:r w:rsidR="00125E1F" w:rsidRPr="00742FDE">
        <w:t>Rights of Use</w:t>
      </w:r>
      <w:r w:rsidRPr="00742FDE">
        <w:t>)</w:t>
      </w:r>
      <w:r w:rsidR="00271D8B" w:rsidRPr="00742FDE">
        <w:t xml:space="preserve">. </w:t>
      </w:r>
      <w:r w:rsidRPr="00742FDE">
        <w:t xml:space="preserve">Some of these licence types may be envisaged to be used for verticals </w:t>
      </w:r>
      <w:r w:rsidR="003A048F" w:rsidRPr="00742FDE">
        <w:t>by different industry sectors</w:t>
      </w:r>
      <w:r w:rsidRPr="00742FDE">
        <w:t xml:space="preserve"> (e.g. </w:t>
      </w:r>
      <w:r w:rsidR="00074F6D" w:rsidRPr="00742FDE">
        <w:t>transportation, M2M/IoT, industrial automation, PPDR, smart homes, smart grids, healthcare and media/entertainment</w:t>
      </w:r>
      <w:r w:rsidRPr="00742FDE">
        <w:t xml:space="preserve"> at particular locations).</w:t>
      </w:r>
      <w:r w:rsidR="00CD26C7" w:rsidRPr="00742FDE">
        <w:t xml:space="preserve"> </w:t>
      </w:r>
      <w:r w:rsidR="00CD26C7" w:rsidRPr="00742FDE">
        <w:rPr>
          <w:rStyle w:val="ECCParagraph"/>
        </w:rPr>
        <w:t xml:space="preserve">In this </w:t>
      </w:r>
      <w:r w:rsidR="00E80513" w:rsidRPr="00742FDE">
        <w:rPr>
          <w:rStyle w:val="ECCParagraph"/>
        </w:rPr>
        <w:t>R</w:t>
      </w:r>
      <w:r w:rsidR="00CD26C7" w:rsidRPr="00742FDE">
        <w:rPr>
          <w:rStyle w:val="ECCParagraph"/>
        </w:rPr>
        <w:t>eport, Mobile Network Operator (MNO) means either a public MNO, vertical MNO or any other MNO (neutral host, etc.).</w:t>
      </w:r>
    </w:p>
    <w:p w14:paraId="58D48EEC" w14:textId="5AEEA544" w:rsidR="001D2CAC" w:rsidRPr="00742FDE" w:rsidRDefault="001D2CAC" w:rsidP="00E2343B">
      <w:r w:rsidRPr="00742FDE">
        <w:t xml:space="preserve">The following ECC Reports and Recommendations </w:t>
      </w:r>
      <w:r w:rsidR="0087356C" w:rsidRPr="00742FDE">
        <w:t>provide guidance</w:t>
      </w:r>
      <w:r w:rsidR="005A4F3E" w:rsidRPr="00742FDE">
        <w:t xml:space="preserve"> and information</w:t>
      </w:r>
      <w:r w:rsidR="0087356C" w:rsidRPr="00742FDE">
        <w:t xml:space="preserve"> to administra</w:t>
      </w:r>
      <w:r w:rsidR="00596CCA" w:rsidRPr="00742FDE">
        <w:t>t</w:t>
      </w:r>
      <w:r w:rsidR="0087356C" w:rsidRPr="00742FDE">
        <w:t>ions</w:t>
      </w:r>
      <w:r w:rsidR="009E513F" w:rsidRPr="00742FDE">
        <w:t xml:space="preserve"> </w:t>
      </w:r>
      <w:r w:rsidR="009A5C84" w:rsidRPr="00742FDE">
        <w:t xml:space="preserve">when considering </w:t>
      </w:r>
      <w:r w:rsidR="00741926" w:rsidRPr="00742FDE">
        <w:t>different</w:t>
      </w:r>
      <w:r w:rsidR="007240F2" w:rsidRPr="00742FDE">
        <w:t xml:space="preserve"> authorisation </w:t>
      </w:r>
      <w:r w:rsidR="00DD6E82" w:rsidRPr="00742FDE">
        <w:t>regimes</w:t>
      </w:r>
      <w:r w:rsidR="00E2343B" w:rsidRPr="00742FDE">
        <w:t>:</w:t>
      </w:r>
    </w:p>
    <w:p w14:paraId="6D7BE59F" w14:textId="595D2DBC" w:rsidR="0081659E" w:rsidRPr="00742FDE" w:rsidRDefault="0087356C" w:rsidP="00EC6D68">
      <w:pPr>
        <w:pStyle w:val="ECCBulletsLv1"/>
      </w:pPr>
      <w:r w:rsidRPr="00742FDE">
        <w:t>ECC</w:t>
      </w:r>
      <w:r w:rsidR="00413E40" w:rsidRPr="00742FDE">
        <w:t xml:space="preserve"> Recommendation </w:t>
      </w:r>
      <w:r w:rsidRPr="00742FDE">
        <w:t>(19)01</w:t>
      </w:r>
      <w:r w:rsidR="00B57C76" w:rsidRPr="00742FDE">
        <w:t xml:space="preserve"> </w:t>
      </w:r>
      <w:r w:rsidRPr="00742FDE">
        <w:t>“ECC Recommendation of 8 March 2019 on technical toolkit to support the introduction of 5G while ensuring, in a proportionate way, the use of existing and planned EESS/SRS receiving earth stations in the 26 GHz band and the possibility for future deployment of these earth stations</w:t>
      </w:r>
      <w:r w:rsidR="0081659E" w:rsidRPr="00742FDE">
        <w:t>"</w:t>
      </w:r>
      <w:r w:rsidR="00FF61D2" w:rsidRPr="00742FDE">
        <w:t xml:space="preserve"> </w:t>
      </w:r>
      <w:r w:rsidR="00FF61D2" w:rsidRPr="00742FDE">
        <w:fldChar w:fldCharType="begin"/>
      </w:r>
      <w:r w:rsidR="00FF61D2" w:rsidRPr="00742FDE">
        <w:instrText xml:space="preserve"> REF _Ref32245247 \r \h </w:instrText>
      </w:r>
      <w:r w:rsidR="00FF61D2" w:rsidRPr="00742FDE">
        <w:fldChar w:fldCharType="separate"/>
      </w:r>
      <w:r w:rsidR="00DE566A">
        <w:t>[4]</w:t>
      </w:r>
      <w:r w:rsidR="00FF61D2" w:rsidRPr="00742FDE">
        <w:fldChar w:fldCharType="end"/>
      </w:r>
      <w:r w:rsidR="00E80513" w:rsidRPr="00742FDE">
        <w:t>;</w:t>
      </w:r>
    </w:p>
    <w:p w14:paraId="45250890" w14:textId="2CAD0848" w:rsidR="0087356C" w:rsidRPr="00742FDE" w:rsidRDefault="0087356C" w:rsidP="00EC6D68">
      <w:pPr>
        <w:pStyle w:val="ECCBulletsLv1"/>
      </w:pPr>
      <w:r w:rsidRPr="00742FDE">
        <w:t>ECC Recommendation (20)01 “Guidelines to support the introduction of 5G while ensuring, in a proportionate way, the use of existing and planned FSS transmitting earth stations in the frequency band 24.65-25.25</w:t>
      </w:r>
      <w:r w:rsidR="0081659E" w:rsidRPr="00742FDE">
        <w:t> </w:t>
      </w:r>
      <w:r w:rsidRPr="00742FDE">
        <w:t>GHz and the possibility for future deployment of these earth stations”</w:t>
      </w:r>
      <w:r w:rsidR="00FF61D2" w:rsidRPr="00742FDE">
        <w:t xml:space="preserve"> </w:t>
      </w:r>
      <w:r w:rsidR="00FF61D2" w:rsidRPr="00742FDE">
        <w:fldChar w:fldCharType="begin"/>
      </w:r>
      <w:r w:rsidR="00FF61D2" w:rsidRPr="00742FDE">
        <w:instrText xml:space="preserve"> REF _Ref32245251 \r \h </w:instrText>
      </w:r>
      <w:r w:rsidR="00FF61D2" w:rsidRPr="00742FDE">
        <w:fldChar w:fldCharType="separate"/>
      </w:r>
      <w:r w:rsidR="00DE566A">
        <w:t>[5]</w:t>
      </w:r>
      <w:r w:rsidR="00FF61D2" w:rsidRPr="00742FDE">
        <w:fldChar w:fldCharType="end"/>
      </w:r>
      <w:r w:rsidR="00E80513" w:rsidRPr="00742FDE">
        <w:t>;</w:t>
      </w:r>
    </w:p>
    <w:p w14:paraId="49C0E36F" w14:textId="0523875B" w:rsidR="00B57C76" w:rsidRPr="00742FDE" w:rsidRDefault="0087356C" w:rsidP="001A4731">
      <w:pPr>
        <w:pStyle w:val="ECCBulletsLv1"/>
      </w:pPr>
      <w:r w:rsidRPr="00742FDE">
        <w:t>ECC Report 303 "Guidance to administrations for Coexistence between 5G and Fixed Links in the 26 GHz band ("Toolbox")"</w:t>
      </w:r>
      <w:r w:rsidR="00DD55D5" w:rsidRPr="00742FDE">
        <w:t xml:space="preserve"> </w:t>
      </w:r>
      <w:r w:rsidR="00FF61D2" w:rsidRPr="00742FDE">
        <w:rPr>
          <w:rStyle w:val="ECCHLyellow"/>
          <w:shd w:val="clear" w:color="auto" w:fill="auto"/>
        </w:rPr>
        <w:fldChar w:fldCharType="begin"/>
      </w:r>
      <w:r w:rsidR="00FF61D2" w:rsidRPr="00742FDE">
        <w:rPr>
          <w:rStyle w:val="ECCHLyellow"/>
          <w:shd w:val="clear" w:color="auto" w:fill="auto"/>
        </w:rPr>
        <w:instrText xml:space="preserve"> REF _Ref32245256 \r \h </w:instrText>
      </w:r>
      <w:r w:rsidR="00920B9B" w:rsidRPr="00742FDE">
        <w:rPr>
          <w:rStyle w:val="ECCHLyellow"/>
          <w:shd w:val="clear" w:color="auto" w:fill="auto"/>
        </w:rPr>
        <w:instrText xml:space="preserve"> \* MERGEFORMAT </w:instrText>
      </w:r>
      <w:r w:rsidR="00FF61D2" w:rsidRPr="00742FDE">
        <w:rPr>
          <w:rStyle w:val="ECCHLyellow"/>
          <w:shd w:val="clear" w:color="auto" w:fill="auto"/>
        </w:rPr>
      </w:r>
      <w:r w:rsidR="00FF61D2" w:rsidRPr="00742FDE">
        <w:rPr>
          <w:rStyle w:val="ECCHLyellow"/>
          <w:shd w:val="clear" w:color="auto" w:fill="auto"/>
        </w:rPr>
        <w:fldChar w:fldCharType="separate"/>
      </w:r>
      <w:r w:rsidR="00DE566A">
        <w:rPr>
          <w:rStyle w:val="ECCHLyellow"/>
          <w:shd w:val="clear" w:color="auto" w:fill="auto"/>
        </w:rPr>
        <w:t>[6]</w:t>
      </w:r>
      <w:r w:rsidR="00FF61D2" w:rsidRPr="00742FDE">
        <w:rPr>
          <w:rStyle w:val="ECCHLyellow"/>
          <w:shd w:val="clear" w:color="auto" w:fill="auto"/>
        </w:rPr>
        <w:fldChar w:fldCharType="end"/>
      </w:r>
      <w:r w:rsidR="001A4731" w:rsidRPr="00742FDE">
        <w:t>;</w:t>
      </w:r>
    </w:p>
    <w:p w14:paraId="38C64345" w14:textId="589ACADA" w:rsidR="0087356C" w:rsidRPr="00742FDE" w:rsidRDefault="00AB2B4F" w:rsidP="00F7797A">
      <w:pPr>
        <w:pStyle w:val="ECCBulletsLv2"/>
      </w:pPr>
      <w:r w:rsidRPr="00742FDE">
        <w:t>Although t</w:t>
      </w:r>
      <w:r w:rsidR="00DD55D5" w:rsidRPr="00742FDE">
        <w:t xml:space="preserve">his </w:t>
      </w:r>
      <w:r w:rsidR="00E80513" w:rsidRPr="00742FDE">
        <w:t>R</w:t>
      </w:r>
      <w:r w:rsidR="00DD55D5" w:rsidRPr="00742FDE">
        <w:t xml:space="preserve">eport </w:t>
      </w:r>
      <w:r w:rsidR="00413E40" w:rsidRPr="00742FDE">
        <w:t>was</w:t>
      </w:r>
      <w:r w:rsidR="00DD55D5" w:rsidRPr="00742FDE">
        <w:t xml:space="preserve"> developed under the assumption of an individual authorisation framework for 5G MFCN</w:t>
      </w:r>
      <w:r w:rsidRPr="00742FDE">
        <w:t xml:space="preserve">, it can provide some </w:t>
      </w:r>
      <w:r w:rsidR="008A5FD7" w:rsidRPr="00742FDE">
        <w:t xml:space="preserve">useful </w:t>
      </w:r>
      <w:r w:rsidR="00C73BA1" w:rsidRPr="00742FDE">
        <w:t>information</w:t>
      </w:r>
      <w:r w:rsidRPr="00742FDE">
        <w:t xml:space="preserve"> if other</w:t>
      </w:r>
      <w:r w:rsidR="005451B4" w:rsidRPr="00742FDE">
        <w:t xml:space="preserve"> authorisation </w:t>
      </w:r>
      <w:r w:rsidR="00D27223" w:rsidRPr="00742FDE">
        <w:t>regimes</w:t>
      </w:r>
      <w:r w:rsidR="005451B4" w:rsidRPr="00742FDE">
        <w:t xml:space="preserve"> </w:t>
      </w:r>
      <w:r w:rsidR="00FF61D2" w:rsidRPr="00742FDE">
        <w:t xml:space="preserve">are </w:t>
      </w:r>
      <w:r w:rsidR="005451B4" w:rsidRPr="00742FDE">
        <w:t>to be considered.</w:t>
      </w:r>
      <w:r w:rsidR="00DD55D5" w:rsidRPr="00742FDE">
        <w:t xml:space="preserve"> Knowledge of the locations and parameters of the 5G </w:t>
      </w:r>
      <w:r w:rsidR="00C12619" w:rsidRPr="00742FDE">
        <w:t xml:space="preserve">MFCN </w:t>
      </w:r>
      <w:r w:rsidR="00DD55D5" w:rsidRPr="00742FDE">
        <w:t xml:space="preserve">base stations is </w:t>
      </w:r>
      <w:r w:rsidR="00AA6A11" w:rsidRPr="00742FDE">
        <w:t xml:space="preserve">nevertheless </w:t>
      </w:r>
      <w:r w:rsidR="00DD55D5" w:rsidRPr="00742FDE">
        <w:t xml:space="preserve">necessary </w:t>
      </w:r>
      <w:r w:rsidR="00D766F1" w:rsidRPr="00742FDE">
        <w:t xml:space="preserve">if </w:t>
      </w:r>
      <w:r w:rsidR="00DD55D5" w:rsidRPr="00742FDE">
        <w:t>coordination with fixed services</w:t>
      </w:r>
      <w:r w:rsidR="00644EFD" w:rsidRPr="00742FDE">
        <w:t xml:space="preserve"> </w:t>
      </w:r>
      <w:r w:rsidR="00413E40" w:rsidRPr="00742FDE">
        <w:t xml:space="preserve">is to be managed </w:t>
      </w:r>
      <w:r w:rsidR="00644EFD" w:rsidRPr="00742FDE">
        <w:t>on a national basis</w:t>
      </w:r>
      <w:r w:rsidR="00E80513" w:rsidRPr="00742FDE">
        <w:t>;</w:t>
      </w:r>
    </w:p>
    <w:p w14:paraId="402B3CB7" w14:textId="3F0C4F54" w:rsidR="00B57C76" w:rsidRPr="00742FDE" w:rsidRDefault="0087356C" w:rsidP="00676574">
      <w:pPr>
        <w:pStyle w:val="ECCBulletsLv1"/>
        <w:rPr>
          <w:rStyle w:val="ECCParagraph"/>
        </w:rPr>
      </w:pPr>
      <w:r w:rsidRPr="00742FDE">
        <w:t>ECC Report 307 “Toolbox for the most appropriate synchronisation regulatory framework including coexistence of MFCN in 24.25-27.5 GHz in unsynchronised and semi-synchronised mode”</w:t>
      </w:r>
      <w:r w:rsidR="00FF61D2" w:rsidRPr="00742FDE">
        <w:t xml:space="preserve"> </w:t>
      </w:r>
      <w:r w:rsidR="00FF61D2" w:rsidRPr="00742FDE">
        <w:fldChar w:fldCharType="begin"/>
      </w:r>
      <w:r w:rsidR="00FF61D2" w:rsidRPr="00742FDE">
        <w:instrText xml:space="preserve"> REF _Ref32245273 \r \h </w:instrText>
      </w:r>
      <w:r w:rsidR="00FF61D2" w:rsidRPr="00742FDE">
        <w:fldChar w:fldCharType="separate"/>
      </w:r>
      <w:r w:rsidR="00DE566A">
        <w:t>[7]</w:t>
      </w:r>
      <w:r w:rsidR="00FF61D2" w:rsidRPr="00742FDE">
        <w:fldChar w:fldCharType="end"/>
      </w:r>
      <w:r w:rsidR="00F7797A" w:rsidRPr="00742FDE">
        <w:t>;</w:t>
      </w:r>
    </w:p>
    <w:p w14:paraId="290F886F" w14:textId="35F62D0E" w:rsidR="0087356C" w:rsidRPr="00742FDE" w:rsidRDefault="00DD55D5" w:rsidP="00F7797A">
      <w:pPr>
        <w:pStyle w:val="ECCBulletsLv2"/>
      </w:pPr>
      <w:r w:rsidRPr="00742FDE">
        <w:rPr>
          <w:rStyle w:val="ECCParagraph"/>
        </w:rPr>
        <w:t xml:space="preserve">In this Report, an </w:t>
      </w:r>
      <w:r w:rsidR="00413E40" w:rsidRPr="00742FDE">
        <w:rPr>
          <w:rStyle w:val="ECCParagraph"/>
        </w:rPr>
        <w:t xml:space="preserve">authorisation </w:t>
      </w:r>
      <w:r w:rsidRPr="00742FDE">
        <w:rPr>
          <w:rStyle w:val="ECCParagraph"/>
        </w:rPr>
        <w:t xml:space="preserve">regime where the base station locations are planned and well known </w:t>
      </w:r>
      <w:r w:rsidR="00413E40" w:rsidRPr="00742FDE">
        <w:rPr>
          <w:rStyle w:val="ECCParagraph"/>
        </w:rPr>
        <w:t>was</w:t>
      </w:r>
      <w:r w:rsidRPr="00742FDE">
        <w:rPr>
          <w:rStyle w:val="ECCParagraph"/>
        </w:rPr>
        <w:t xml:space="preserve"> assumed</w:t>
      </w:r>
      <w:r w:rsidR="00767A0F" w:rsidRPr="00742FDE">
        <w:rPr>
          <w:rStyle w:val="ECCParagraph"/>
        </w:rPr>
        <w:t xml:space="preserve">. </w:t>
      </w:r>
      <w:r w:rsidR="00767A0F" w:rsidRPr="00742FDE">
        <w:rPr>
          <w:rStyle w:val="ECCHLyellow"/>
          <w:shd w:val="clear" w:color="auto" w:fill="auto"/>
        </w:rPr>
        <w:t xml:space="preserve">Additional studies would be required in order to extrapolate the conclusions of </w:t>
      </w:r>
      <w:r w:rsidR="0071647F" w:rsidRPr="00742FDE">
        <w:rPr>
          <w:rStyle w:val="ECCHLyellow"/>
          <w:shd w:val="clear" w:color="auto" w:fill="auto"/>
        </w:rPr>
        <w:t xml:space="preserve">ECC Report 307 </w:t>
      </w:r>
      <w:r w:rsidR="00767A0F" w:rsidRPr="00742FDE">
        <w:rPr>
          <w:rStyle w:val="ECCHLyellow"/>
          <w:shd w:val="clear" w:color="auto" w:fill="auto"/>
        </w:rPr>
        <w:t xml:space="preserve">to a different </w:t>
      </w:r>
      <w:r w:rsidR="00FF61D2" w:rsidRPr="00742FDE">
        <w:rPr>
          <w:rStyle w:val="ECCHLyellow"/>
          <w:shd w:val="clear" w:color="auto" w:fill="auto"/>
        </w:rPr>
        <w:t xml:space="preserve">authorisation </w:t>
      </w:r>
      <w:r w:rsidR="00767A0F" w:rsidRPr="00742FDE">
        <w:rPr>
          <w:rStyle w:val="ECCHLyellow"/>
          <w:shd w:val="clear" w:color="auto" w:fill="auto"/>
        </w:rPr>
        <w:t>regime with unplanned deployments</w:t>
      </w:r>
      <w:r w:rsidRPr="00742FDE">
        <w:rPr>
          <w:rStyle w:val="ECCHLyellow"/>
          <w:shd w:val="clear" w:color="auto" w:fill="auto"/>
        </w:rPr>
        <w:t>.</w:t>
      </w:r>
    </w:p>
    <w:p w14:paraId="53F1C00C" w14:textId="4F4184ED" w:rsidR="00C4780E" w:rsidRPr="00742FDE" w:rsidRDefault="00F7338B" w:rsidP="007219FF">
      <w:pPr>
        <w:rPr>
          <w:lang w:eastAsia="de-DE"/>
        </w:rPr>
      </w:pPr>
      <w:r w:rsidRPr="00742FDE">
        <w:rPr>
          <w:lang w:eastAsia="de-DE"/>
        </w:rPr>
        <w:t xml:space="preserve">The above ECC deliverables have been developed under the assumption of individual authorisation regime (traditional method of </w:t>
      </w:r>
      <w:r w:rsidR="00413E40" w:rsidRPr="00742FDE">
        <w:rPr>
          <w:lang w:eastAsia="de-DE"/>
        </w:rPr>
        <w:t>authori</w:t>
      </w:r>
      <w:r w:rsidR="00413E40" w:rsidRPr="00742FDE">
        <w:t>s</w:t>
      </w:r>
      <w:r w:rsidR="00413E40" w:rsidRPr="00742FDE">
        <w:rPr>
          <w:lang w:eastAsia="de-DE"/>
        </w:rPr>
        <w:t xml:space="preserve">ing </w:t>
      </w:r>
      <w:r w:rsidRPr="00742FDE">
        <w:rPr>
          <w:lang w:eastAsia="de-DE"/>
        </w:rPr>
        <w:t>MFCN (i.e. national</w:t>
      </w:r>
      <w:r w:rsidR="0071222E" w:rsidRPr="00742FDE">
        <w:t xml:space="preserve"> </w:t>
      </w:r>
      <w:r w:rsidR="00D179F0" w:rsidRPr="00742FDE">
        <w:t xml:space="preserve">authorisation regimes </w:t>
      </w:r>
      <w:r w:rsidR="001104A8" w:rsidRPr="00742FDE">
        <w:t xml:space="preserve">which may be based on </w:t>
      </w:r>
      <w:r w:rsidR="00D179F0" w:rsidRPr="00742FDE">
        <w:t>radio</w:t>
      </w:r>
      <w:r w:rsidRPr="00742FDE">
        <w:rPr>
          <w:lang w:eastAsia="de-DE"/>
        </w:rPr>
        <w:t xml:space="preserve"> </w:t>
      </w:r>
      <w:r w:rsidR="0081659E" w:rsidRPr="00742FDE">
        <w:rPr>
          <w:lang w:eastAsia="de-DE"/>
        </w:rPr>
        <w:t>licen</w:t>
      </w:r>
      <w:r w:rsidR="00413E40" w:rsidRPr="00742FDE">
        <w:t>c</w:t>
      </w:r>
      <w:r w:rsidR="0081659E" w:rsidRPr="00742FDE">
        <w:rPr>
          <w:lang w:eastAsia="de-DE"/>
        </w:rPr>
        <w:t>es</w:t>
      </w:r>
      <w:r w:rsidR="00D179F0" w:rsidRPr="00742FDE">
        <w:t xml:space="preserve"> and/or </w:t>
      </w:r>
      <w:r w:rsidR="00510792" w:rsidRPr="00742FDE">
        <w:t xml:space="preserve">spectrum </w:t>
      </w:r>
      <w:r w:rsidR="00D179F0" w:rsidRPr="00742FDE">
        <w:t>Rights of Use</w:t>
      </w:r>
      <w:r w:rsidRPr="00742FDE">
        <w:rPr>
          <w:lang w:eastAsia="de-DE"/>
        </w:rPr>
        <w:t>)) in line with ECC Dec</w:t>
      </w:r>
      <w:r w:rsidR="0081659E" w:rsidRPr="00742FDE">
        <w:t>ision </w:t>
      </w:r>
      <w:r w:rsidRPr="00742FDE">
        <w:rPr>
          <w:lang w:eastAsia="de-DE"/>
        </w:rPr>
        <w:t xml:space="preserve">(18)06. When considering those </w:t>
      </w:r>
      <w:r w:rsidR="00B57C76" w:rsidRPr="00742FDE">
        <w:rPr>
          <w:lang w:eastAsia="de-DE"/>
        </w:rPr>
        <w:t>ECC R</w:t>
      </w:r>
      <w:r w:rsidRPr="00742FDE">
        <w:rPr>
          <w:lang w:eastAsia="de-DE"/>
        </w:rPr>
        <w:t xml:space="preserve">ecommendations and </w:t>
      </w:r>
      <w:r w:rsidR="00B57C76" w:rsidRPr="00742FDE">
        <w:rPr>
          <w:lang w:eastAsia="de-DE"/>
        </w:rPr>
        <w:t>ECC R</w:t>
      </w:r>
      <w:r w:rsidRPr="00742FDE">
        <w:rPr>
          <w:lang w:eastAsia="de-DE"/>
        </w:rPr>
        <w:t xml:space="preserve">eports, administrations should also take into consideration this </w:t>
      </w:r>
      <w:r w:rsidR="00413E40" w:rsidRPr="00742FDE">
        <w:t>R</w:t>
      </w:r>
      <w:r w:rsidR="00413E40" w:rsidRPr="00742FDE">
        <w:rPr>
          <w:lang w:eastAsia="de-DE"/>
        </w:rPr>
        <w:t xml:space="preserve">eport </w:t>
      </w:r>
      <w:r w:rsidRPr="00742FDE">
        <w:rPr>
          <w:lang w:eastAsia="de-DE"/>
        </w:rPr>
        <w:t xml:space="preserve">on the impact of different </w:t>
      </w:r>
      <w:r w:rsidR="00413E40" w:rsidRPr="00742FDE">
        <w:rPr>
          <w:lang w:eastAsia="de-DE"/>
        </w:rPr>
        <w:t>authori</w:t>
      </w:r>
      <w:r w:rsidR="00413E40" w:rsidRPr="00742FDE">
        <w:t>s</w:t>
      </w:r>
      <w:r w:rsidR="00413E40" w:rsidRPr="00742FDE">
        <w:rPr>
          <w:lang w:eastAsia="de-DE"/>
        </w:rPr>
        <w:t xml:space="preserve">ation </w:t>
      </w:r>
      <w:r w:rsidR="000E474F" w:rsidRPr="00742FDE">
        <w:t>regimes</w:t>
      </w:r>
      <w:r w:rsidR="000E474F" w:rsidRPr="00742FDE">
        <w:rPr>
          <w:lang w:eastAsia="de-DE"/>
        </w:rPr>
        <w:t xml:space="preserve"> </w:t>
      </w:r>
      <w:r w:rsidRPr="00742FDE">
        <w:rPr>
          <w:lang w:eastAsia="de-DE"/>
        </w:rPr>
        <w:t>from the traditional method of authorising MFCN.</w:t>
      </w:r>
    </w:p>
    <w:p w14:paraId="488E2FF0" w14:textId="1495CB04" w:rsidR="008A54FC" w:rsidRPr="00742FDE" w:rsidRDefault="00045848" w:rsidP="009465E0">
      <w:pPr>
        <w:pStyle w:val="Heading1"/>
        <w:rPr>
          <w:lang w:val="en-GB"/>
        </w:rPr>
      </w:pPr>
      <w:bookmarkStart w:id="33" w:name="_Toc37256354"/>
      <w:bookmarkStart w:id="34" w:name="_Toc32403301"/>
      <w:bookmarkStart w:id="35" w:name="_Toc45610642"/>
      <w:r w:rsidRPr="00742FDE">
        <w:rPr>
          <w:lang w:val="en-GB"/>
        </w:rPr>
        <w:lastRenderedPageBreak/>
        <w:t xml:space="preserve">Authorisation </w:t>
      </w:r>
      <w:r w:rsidR="000E474F" w:rsidRPr="00742FDE">
        <w:rPr>
          <w:lang w:val="en-GB"/>
        </w:rPr>
        <w:t xml:space="preserve">regimes </w:t>
      </w:r>
      <w:r w:rsidRPr="00742FDE">
        <w:rPr>
          <w:lang w:val="en-GB"/>
        </w:rPr>
        <w:t xml:space="preserve">available to administrations </w:t>
      </w:r>
      <w:r w:rsidR="00CE48EE" w:rsidRPr="00742FDE">
        <w:rPr>
          <w:lang w:val="en-GB"/>
        </w:rPr>
        <w:t xml:space="preserve">for </w:t>
      </w:r>
      <w:r w:rsidR="006C3D0A" w:rsidRPr="00742FDE">
        <w:rPr>
          <w:lang w:val="en-GB"/>
        </w:rPr>
        <w:t>MFCN in 26 GHz</w:t>
      </w:r>
      <w:bookmarkEnd w:id="33"/>
      <w:bookmarkEnd w:id="34"/>
      <w:bookmarkEnd w:id="35"/>
      <w:r w:rsidR="006C3D0A" w:rsidRPr="00742FDE">
        <w:rPr>
          <w:lang w:val="en-GB"/>
        </w:rPr>
        <w:t xml:space="preserve"> </w:t>
      </w:r>
    </w:p>
    <w:p w14:paraId="11D1F0FE" w14:textId="564C15DE" w:rsidR="00C4181C" w:rsidRPr="00742FDE" w:rsidRDefault="003F5701" w:rsidP="00C4181C">
      <w:r w:rsidRPr="00742FDE">
        <w:rPr>
          <w:rStyle w:val="ECCParagraph"/>
        </w:rPr>
        <w:t xml:space="preserve">This </w:t>
      </w:r>
      <w:r w:rsidR="00FF6F3C" w:rsidRPr="00742FDE">
        <w:rPr>
          <w:rStyle w:val="ECCParagraph"/>
        </w:rPr>
        <w:t>R</w:t>
      </w:r>
      <w:r w:rsidRPr="00742FDE">
        <w:rPr>
          <w:rStyle w:val="ECCParagraph"/>
        </w:rPr>
        <w:t xml:space="preserve">eport has been developed </w:t>
      </w:r>
      <w:r w:rsidR="009154EE" w:rsidRPr="00742FDE">
        <w:rPr>
          <w:rStyle w:val="ECCParagraph"/>
        </w:rPr>
        <w:t xml:space="preserve">considering </w:t>
      </w:r>
      <w:r w:rsidRPr="00742FDE">
        <w:rPr>
          <w:rStyle w:val="ECCParagraph"/>
        </w:rPr>
        <w:t xml:space="preserve">the various authorisation </w:t>
      </w:r>
      <w:r w:rsidR="000E474F" w:rsidRPr="00742FDE">
        <w:rPr>
          <w:rStyle w:val="ECCParagraph"/>
        </w:rPr>
        <w:t xml:space="preserve">regimes </w:t>
      </w:r>
      <w:r w:rsidRPr="00742FDE">
        <w:rPr>
          <w:rStyle w:val="ECCParagraph"/>
        </w:rPr>
        <w:t xml:space="preserve">described in ECC </w:t>
      </w:r>
      <w:r w:rsidR="00413E40" w:rsidRPr="00742FDE">
        <w:rPr>
          <w:rStyle w:val="ECCParagraph"/>
        </w:rPr>
        <w:t>R</w:t>
      </w:r>
      <w:r w:rsidRPr="00742FDE">
        <w:rPr>
          <w:rStyle w:val="ECCParagraph"/>
        </w:rPr>
        <w:t>eport 132</w:t>
      </w:r>
      <w:r w:rsidR="00FF61D2" w:rsidRPr="00742FDE">
        <w:rPr>
          <w:rStyle w:val="ECCParagraph"/>
        </w:rPr>
        <w:t xml:space="preserve"> </w:t>
      </w:r>
      <w:r w:rsidR="00FF61D2" w:rsidRPr="00742FDE">
        <w:rPr>
          <w:rStyle w:val="ECCParagraph"/>
        </w:rPr>
        <w:fldChar w:fldCharType="begin"/>
      </w:r>
      <w:r w:rsidR="00FF61D2" w:rsidRPr="00742FDE">
        <w:rPr>
          <w:rStyle w:val="ECCParagraph"/>
        </w:rPr>
        <w:instrText xml:space="preserve"> REF _Ref32245294 \r \h </w:instrText>
      </w:r>
      <w:r w:rsidR="00FF61D2" w:rsidRPr="00742FDE">
        <w:rPr>
          <w:rStyle w:val="ECCParagraph"/>
        </w:rPr>
      </w:r>
      <w:r w:rsidR="00FF61D2" w:rsidRPr="00742FDE">
        <w:rPr>
          <w:rStyle w:val="ECCParagraph"/>
        </w:rPr>
        <w:fldChar w:fldCharType="separate"/>
      </w:r>
      <w:r w:rsidR="00DE566A">
        <w:rPr>
          <w:rStyle w:val="ECCParagraph"/>
        </w:rPr>
        <w:t>[8]</w:t>
      </w:r>
      <w:r w:rsidR="00FF61D2" w:rsidRPr="00742FDE">
        <w:rPr>
          <w:rStyle w:val="ECCParagraph"/>
        </w:rPr>
        <w:fldChar w:fldCharType="end"/>
      </w:r>
      <w:r w:rsidR="0021291B" w:rsidRPr="00742FDE">
        <w:rPr>
          <w:rStyle w:val="ECCParagraph"/>
        </w:rPr>
        <w:t>,</w:t>
      </w:r>
      <w:r w:rsidRPr="00742FDE">
        <w:rPr>
          <w:rStyle w:val="ECCParagraph"/>
        </w:rPr>
        <w:t xml:space="preserve"> which had </w:t>
      </w:r>
      <w:r w:rsidR="00C4181C" w:rsidRPr="00742FDE">
        <w:t>review</w:t>
      </w:r>
      <w:r w:rsidRPr="00742FDE">
        <w:t>ed</w:t>
      </w:r>
      <w:r w:rsidR="00C4181C" w:rsidRPr="00742FDE">
        <w:t xml:space="preserve"> the various terminologies that are</w:t>
      </w:r>
      <w:r w:rsidRPr="00742FDE">
        <w:t xml:space="preserve"> still</w:t>
      </w:r>
      <w:r w:rsidR="00C4181C" w:rsidRPr="00742FDE">
        <w:t xml:space="preserve"> commonly used to qualify the type of “regulatory regime” or “licensing regime” that is applied when regulating the use of a radio application. Reference terminologies shown below are extracted from the report.</w:t>
      </w:r>
    </w:p>
    <w:p w14:paraId="4889E505" w14:textId="66C27917" w:rsidR="00413E40" w:rsidRPr="00742FDE" w:rsidRDefault="00413E40" w:rsidP="00A83412">
      <w:pPr>
        <w:pStyle w:val="Caption"/>
        <w:keepNext/>
        <w:rPr>
          <w:lang w:val="en-GB"/>
        </w:rPr>
      </w:pPr>
      <w:r w:rsidRPr="00742FDE">
        <w:rPr>
          <w:lang w:val="en-GB"/>
        </w:rPr>
        <w:t xml:space="preserve">Table </w:t>
      </w:r>
      <w:r w:rsidRPr="00742FDE">
        <w:rPr>
          <w:lang w:val="en-GB"/>
        </w:rPr>
        <w:fldChar w:fldCharType="begin"/>
      </w:r>
      <w:r w:rsidRPr="00742FDE">
        <w:rPr>
          <w:lang w:val="en-GB"/>
        </w:rPr>
        <w:instrText xml:space="preserve"> SEQ Table \* ARABIC </w:instrText>
      </w:r>
      <w:r w:rsidRPr="00742FDE">
        <w:rPr>
          <w:lang w:val="en-GB"/>
        </w:rPr>
        <w:fldChar w:fldCharType="separate"/>
      </w:r>
      <w:r w:rsidR="00DE566A">
        <w:rPr>
          <w:noProof/>
          <w:lang w:val="en-GB"/>
        </w:rPr>
        <w:t>1</w:t>
      </w:r>
      <w:r w:rsidRPr="00742FDE">
        <w:rPr>
          <w:lang w:val="en-GB"/>
        </w:rPr>
        <w:fldChar w:fldCharType="end"/>
      </w:r>
      <w:r w:rsidRPr="00742FDE">
        <w:rPr>
          <w:lang w:val="en-GB"/>
        </w:rPr>
        <w:t xml:space="preserve">: Summary of authorisation </w:t>
      </w:r>
      <w:r w:rsidR="000A1B57" w:rsidRPr="00742FDE">
        <w:rPr>
          <w:lang w:val="en-GB"/>
        </w:rPr>
        <w:t xml:space="preserve">regimes </w:t>
      </w:r>
      <w:r w:rsidRPr="00742FDE">
        <w:rPr>
          <w:lang w:val="en-GB"/>
        </w:rPr>
        <w:t>from ECC Report 132</w:t>
      </w:r>
      <w:r w:rsidR="00FF61D2" w:rsidRPr="00742FDE">
        <w:rPr>
          <w:lang w:val="en-GB"/>
        </w:rPr>
        <w:t xml:space="preserve"> </w:t>
      </w:r>
      <w:r w:rsidR="00FF61D2" w:rsidRPr="00742FDE">
        <w:rPr>
          <w:lang w:val="en-GB"/>
        </w:rPr>
        <w:fldChar w:fldCharType="begin"/>
      </w:r>
      <w:r w:rsidR="00FF61D2" w:rsidRPr="00742FDE">
        <w:rPr>
          <w:lang w:val="en-GB"/>
        </w:rPr>
        <w:instrText xml:space="preserve"> REF _Ref32245294 \r \h </w:instrText>
      </w:r>
      <w:r w:rsidR="00FF61D2" w:rsidRPr="00742FDE">
        <w:rPr>
          <w:lang w:val="en-GB"/>
        </w:rPr>
      </w:r>
      <w:r w:rsidR="00FF61D2" w:rsidRPr="00742FDE">
        <w:rPr>
          <w:lang w:val="en-GB"/>
        </w:rPr>
        <w:fldChar w:fldCharType="separate"/>
      </w:r>
      <w:r w:rsidR="00DE566A">
        <w:rPr>
          <w:lang w:val="en-GB"/>
        </w:rPr>
        <w:t>[8]</w:t>
      </w:r>
      <w:r w:rsidR="00FF61D2" w:rsidRPr="00742FDE">
        <w:rPr>
          <w:lang w:val="en-GB"/>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340"/>
        <w:gridCol w:w="2340"/>
        <w:gridCol w:w="2351"/>
      </w:tblGrid>
      <w:tr w:rsidR="00D10786" w:rsidRPr="00742FDE" w14:paraId="6977E22B" w14:textId="77777777" w:rsidTr="00F7797A">
        <w:trPr>
          <w:trHeight w:val="729"/>
          <w:jc w:val="center"/>
        </w:trPr>
        <w:tc>
          <w:tcPr>
            <w:tcW w:w="469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Pr>
          <w:p w14:paraId="1AB795F2" w14:textId="7F71D08C" w:rsidR="00D10786" w:rsidRPr="00742FDE" w:rsidRDefault="00D10786" w:rsidP="00F7797A">
            <w:pPr>
              <w:pStyle w:val="ECCFiguregraphcentered"/>
              <w:spacing w:before="120" w:after="120"/>
              <w:rPr>
                <w:noProof w:val="0"/>
                <w:color w:val="FFFFFF" w:themeColor="background1"/>
                <w:lang w:val="en-GB"/>
              </w:rPr>
            </w:pPr>
            <w:r w:rsidRPr="00742FDE">
              <w:rPr>
                <w:rStyle w:val="ECCHLbold"/>
                <w:noProof w:val="0"/>
                <w:color w:val="FFFFFF" w:themeColor="background1"/>
                <w:lang w:val="en-GB"/>
              </w:rPr>
              <w:t>Individual authorisation</w:t>
            </w:r>
            <w:r w:rsidR="002708CC" w:rsidRPr="00742FDE">
              <w:rPr>
                <w:rStyle w:val="ECCHLbold"/>
                <w:color w:val="FFFFFF" w:themeColor="background1"/>
                <w:lang w:val="en-GB"/>
              </w:rPr>
              <w:br/>
            </w:r>
            <w:r w:rsidRPr="00742FDE">
              <w:rPr>
                <w:noProof w:val="0"/>
                <w:color w:val="FFFFFF" w:themeColor="background1"/>
                <w:lang w:val="en-GB"/>
              </w:rPr>
              <w:t>(Individual rights of use)</w:t>
            </w:r>
          </w:p>
        </w:tc>
        <w:tc>
          <w:tcPr>
            <w:tcW w:w="4691"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22A23"/>
          </w:tcPr>
          <w:p w14:paraId="6E024E04" w14:textId="0B64784F" w:rsidR="00D10786" w:rsidRPr="00742FDE" w:rsidRDefault="00D10786" w:rsidP="00F7797A">
            <w:pPr>
              <w:pStyle w:val="ECCFiguregraphcentered"/>
              <w:spacing w:before="120" w:after="120"/>
              <w:rPr>
                <w:noProof w:val="0"/>
                <w:color w:val="FFFFFF" w:themeColor="background1"/>
                <w:lang w:val="en-GB"/>
              </w:rPr>
            </w:pPr>
            <w:r w:rsidRPr="00742FDE">
              <w:rPr>
                <w:rStyle w:val="ECCHLbold"/>
                <w:noProof w:val="0"/>
                <w:color w:val="FFFFFF" w:themeColor="background1"/>
                <w:lang w:val="en-GB"/>
              </w:rPr>
              <w:t>General authorisation</w:t>
            </w:r>
            <w:r w:rsidR="002708CC" w:rsidRPr="00742FDE">
              <w:rPr>
                <w:rStyle w:val="ECCHLbold"/>
                <w:color w:val="FFFFFF" w:themeColor="background1"/>
                <w:lang w:val="en-GB"/>
              </w:rPr>
              <w:br/>
            </w:r>
            <w:r w:rsidRPr="00742FDE">
              <w:rPr>
                <w:noProof w:val="0"/>
                <w:color w:val="FFFFFF" w:themeColor="background1"/>
                <w:lang w:val="en-GB"/>
              </w:rPr>
              <w:t>(No individual rights of use)</w:t>
            </w:r>
          </w:p>
        </w:tc>
      </w:tr>
      <w:tr w:rsidR="00D10786" w:rsidRPr="00742FDE" w14:paraId="5FE070A3" w14:textId="77777777" w:rsidTr="007E0DCD">
        <w:trPr>
          <w:jc w:val="center"/>
        </w:trPr>
        <w:tc>
          <w:tcPr>
            <w:tcW w:w="2358"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A23"/>
          </w:tcPr>
          <w:p w14:paraId="372C690F" w14:textId="369E8FCC" w:rsidR="00D10786" w:rsidRPr="00742FDE" w:rsidRDefault="00D10786" w:rsidP="00F7797A">
            <w:pPr>
              <w:pStyle w:val="ECCFiguregraphcentered"/>
              <w:spacing w:before="120" w:after="120"/>
              <w:rPr>
                <w:color w:val="FFFFFF" w:themeColor="background1"/>
                <w:lang w:val="en-GB"/>
              </w:rPr>
            </w:pPr>
            <w:r w:rsidRPr="00742FDE">
              <w:rPr>
                <w:rStyle w:val="ECCHLbold"/>
                <w:noProof w:val="0"/>
                <w:color w:val="FFFFFF" w:themeColor="background1"/>
                <w:lang w:val="en-GB"/>
              </w:rPr>
              <w:t>Individual licence</w:t>
            </w:r>
            <w:r w:rsidR="00621DAB" w:rsidRPr="00742FDE">
              <w:rPr>
                <w:rStyle w:val="ECCHLbold"/>
                <w:color w:val="FFFFFF" w:themeColor="background1"/>
                <w:lang w:val="en-GB"/>
              </w:rPr>
              <w:br/>
            </w:r>
            <w:r w:rsidR="00621DAB" w:rsidRPr="00742FDE">
              <w:rPr>
                <w:color w:val="FFFFFF" w:themeColor="background1"/>
                <w:lang w:val="en-GB"/>
              </w:rPr>
              <w:t>(Note 1)</w:t>
            </w:r>
          </w:p>
        </w:tc>
        <w:tc>
          <w:tcPr>
            <w:tcW w:w="4680" w:type="dxa"/>
            <w:gridSpan w:val="2"/>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A23"/>
          </w:tcPr>
          <w:p w14:paraId="3DC72B55" w14:textId="77777777" w:rsidR="00D10786" w:rsidRPr="00742FDE" w:rsidRDefault="00D10786" w:rsidP="00F7797A">
            <w:pPr>
              <w:pStyle w:val="ECCFiguregraphcentered"/>
              <w:spacing w:before="120" w:after="120"/>
              <w:rPr>
                <w:rStyle w:val="ECCHLbold"/>
                <w:noProof w:val="0"/>
                <w:color w:val="FFFFFF" w:themeColor="background1"/>
                <w:lang w:val="en-GB"/>
              </w:rPr>
            </w:pPr>
            <w:r w:rsidRPr="00742FDE">
              <w:rPr>
                <w:rStyle w:val="ECCHLbold"/>
                <w:noProof w:val="0"/>
                <w:color w:val="FFFFFF" w:themeColor="background1"/>
                <w:lang w:val="en-GB"/>
              </w:rPr>
              <w:t>Light-licensing</w:t>
            </w:r>
          </w:p>
        </w:tc>
        <w:tc>
          <w:tcPr>
            <w:tcW w:w="2351" w:type="dxa"/>
            <w:tcBorders>
              <w:top w:val="single" w:sz="4" w:space="0" w:color="FFFFFF" w:themeColor="background1"/>
              <w:left w:val="single" w:sz="4" w:space="0" w:color="FFFFFF" w:themeColor="background1"/>
              <w:bottom w:val="single" w:sz="4" w:space="0" w:color="D2232A"/>
              <w:right w:val="single" w:sz="4" w:space="0" w:color="FFFFFF" w:themeColor="background1"/>
            </w:tcBorders>
            <w:shd w:val="clear" w:color="auto" w:fill="D22A23"/>
          </w:tcPr>
          <w:p w14:paraId="1CD62F47" w14:textId="77777777" w:rsidR="00D10786" w:rsidRPr="00742FDE" w:rsidRDefault="00D10786" w:rsidP="00F7797A">
            <w:pPr>
              <w:pStyle w:val="ECCFiguregraphcentered"/>
              <w:spacing w:before="120" w:after="120"/>
              <w:rPr>
                <w:rStyle w:val="ECCHLbold"/>
                <w:noProof w:val="0"/>
                <w:color w:val="FFFFFF" w:themeColor="background1"/>
                <w:lang w:val="en-GB"/>
              </w:rPr>
            </w:pPr>
            <w:r w:rsidRPr="00742FDE">
              <w:rPr>
                <w:rStyle w:val="ECCHLbold"/>
                <w:noProof w:val="0"/>
                <w:color w:val="FFFFFF" w:themeColor="background1"/>
                <w:lang w:val="en-GB"/>
              </w:rPr>
              <w:t>Licence-exempt</w:t>
            </w:r>
          </w:p>
        </w:tc>
      </w:tr>
      <w:tr w:rsidR="00D10786" w:rsidRPr="00742FDE" w14:paraId="37008E7F" w14:textId="77777777" w:rsidTr="007E0DCD">
        <w:trPr>
          <w:jc w:val="center"/>
        </w:trPr>
        <w:tc>
          <w:tcPr>
            <w:tcW w:w="2358" w:type="dxa"/>
            <w:tcBorders>
              <w:top w:val="single" w:sz="4" w:space="0" w:color="D2232A"/>
              <w:left w:val="single" w:sz="4" w:space="0" w:color="D2232A"/>
              <w:bottom w:val="single" w:sz="4" w:space="0" w:color="D2232A"/>
              <w:right w:val="single" w:sz="4" w:space="0" w:color="D2232A"/>
            </w:tcBorders>
          </w:tcPr>
          <w:p w14:paraId="404DFFBF" w14:textId="56857C4B" w:rsidR="00D10786" w:rsidRPr="00742FDE" w:rsidRDefault="00D10786" w:rsidP="00F7797A">
            <w:pPr>
              <w:pStyle w:val="ECCTabletext"/>
              <w:jc w:val="left"/>
            </w:pPr>
            <w:r w:rsidRPr="00742FDE">
              <w:t>Individual frequency planning/coordination</w:t>
            </w:r>
          </w:p>
          <w:p w14:paraId="0B5916C2" w14:textId="77777777" w:rsidR="00D10786" w:rsidRPr="00742FDE" w:rsidRDefault="00D10786" w:rsidP="00F7797A">
            <w:pPr>
              <w:pStyle w:val="ECCTabletext"/>
              <w:jc w:val="left"/>
            </w:pPr>
            <w:r w:rsidRPr="00742FDE">
              <w:t>Traditional procedure for issuing licences</w:t>
            </w:r>
          </w:p>
        </w:tc>
        <w:tc>
          <w:tcPr>
            <w:tcW w:w="2340" w:type="dxa"/>
            <w:tcBorders>
              <w:top w:val="single" w:sz="4" w:space="0" w:color="D2232A"/>
              <w:left w:val="single" w:sz="4" w:space="0" w:color="D2232A"/>
              <w:bottom w:val="single" w:sz="4" w:space="0" w:color="D2232A"/>
              <w:right w:val="single" w:sz="4" w:space="0" w:color="D2232A"/>
            </w:tcBorders>
          </w:tcPr>
          <w:p w14:paraId="73CAD82E" w14:textId="15C681AE" w:rsidR="00D10786" w:rsidRPr="00742FDE" w:rsidRDefault="00D10786" w:rsidP="00F7797A">
            <w:pPr>
              <w:pStyle w:val="ECCTabletext"/>
              <w:jc w:val="left"/>
            </w:pPr>
            <w:r w:rsidRPr="00742FDE">
              <w:t>Individual frequency planning/coordination</w:t>
            </w:r>
          </w:p>
          <w:p w14:paraId="47D45665" w14:textId="77777777" w:rsidR="00D10786" w:rsidRPr="00742FDE" w:rsidRDefault="00D10786" w:rsidP="00F7797A">
            <w:pPr>
              <w:pStyle w:val="ECCTabletext"/>
              <w:jc w:val="left"/>
            </w:pPr>
            <w:r w:rsidRPr="00742FDE">
              <w:t>Simplified procedure compared to traditional procedure for issuing licences</w:t>
            </w:r>
          </w:p>
          <w:p w14:paraId="380339EF" w14:textId="77777777" w:rsidR="00D10786" w:rsidRPr="00742FDE" w:rsidRDefault="00D10786" w:rsidP="00F7797A">
            <w:pPr>
              <w:pStyle w:val="ECCTabletext"/>
              <w:jc w:val="left"/>
            </w:pPr>
            <w:r w:rsidRPr="00742FDE">
              <w:t>With limitations in the number of users</w:t>
            </w:r>
          </w:p>
        </w:tc>
        <w:tc>
          <w:tcPr>
            <w:tcW w:w="2340" w:type="dxa"/>
            <w:tcBorders>
              <w:top w:val="single" w:sz="4" w:space="0" w:color="D2232A"/>
              <w:left w:val="single" w:sz="4" w:space="0" w:color="D2232A"/>
              <w:bottom w:val="single" w:sz="4" w:space="0" w:color="D2232A"/>
              <w:right w:val="single" w:sz="4" w:space="0" w:color="D2232A"/>
            </w:tcBorders>
          </w:tcPr>
          <w:p w14:paraId="6ED2461C" w14:textId="1DD652D4" w:rsidR="00D10786" w:rsidRPr="00742FDE" w:rsidRDefault="00D10786" w:rsidP="00F7797A">
            <w:pPr>
              <w:pStyle w:val="ECCTabletext"/>
              <w:jc w:val="left"/>
            </w:pPr>
            <w:r w:rsidRPr="00742FDE">
              <w:t>No individual frequency planning/coordination</w:t>
            </w:r>
          </w:p>
          <w:p w14:paraId="13D89A88" w14:textId="77777777" w:rsidR="00D10786" w:rsidRPr="00742FDE" w:rsidRDefault="00D10786" w:rsidP="00F7797A">
            <w:pPr>
              <w:pStyle w:val="ECCTabletext"/>
              <w:jc w:val="left"/>
            </w:pPr>
            <w:r w:rsidRPr="00742FDE">
              <w:t>Registration and/or notification</w:t>
            </w:r>
          </w:p>
          <w:p w14:paraId="77AD1EB5" w14:textId="77777777" w:rsidR="00D10786" w:rsidRPr="00742FDE" w:rsidRDefault="00D10786" w:rsidP="00F7797A">
            <w:pPr>
              <w:pStyle w:val="ECCTabletext"/>
              <w:jc w:val="left"/>
            </w:pPr>
            <w:r w:rsidRPr="00742FDE">
              <w:t>No limitations in the number of users nor need for coordination</w:t>
            </w:r>
          </w:p>
        </w:tc>
        <w:tc>
          <w:tcPr>
            <w:tcW w:w="2351" w:type="dxa"/>
            <w:tcBorders>
              <w:top w:val="single" w:sz="4" w:space="0" w:color="D2232A"/>
              <w:left w:val="single" w:sz="4" w:space="0" w:color="D2232A"/>
              <w:bottom w:val="single" w:sz="4" w:space="0" w:color="D2232A"/>
              <w:right w:val="single" w:sz="4" w:space="0" w:color="D2232A"/>
            </w:tcBorders>
          </w:tcPr>
          <w:p w14:paraId="477FF4A6" w14:textId="6CA50DE3" w:rsidR="00D10786" w:rsidRPr="00742FDE" w:rsidRDefault="00D10786" w:rsidP="00F7797A">
            <w:pPr>
              <w:pStyle w:val="ECCTabletext"/>
              <w:jc w:val="left"/>
            </w:pPr>
            <w:r w:rsidRPr="00742FDE">
              <w:t>No individual frequency planning/coordination</w:t>
            </w:r>
          </w:p>
          <w:p w14:paraId="12D9578E" w14:textId="77777777" w:rsidR="00D10786" w:rsidRPr="00742FDE" w:rsidRDefault="00D10786" w:rsidP="00F7797A">
            <w:pPr>
              <w:pStyle w:val="ECCTabletext"/>
              <w:jc w:val="left"/>
            </w:pPr>
            <w:r w:rsidRPr="00742FDE">
              <w:t>No registration nor notification</w:t>
            </w:r>
          </w:p>
        </w:tc>
      </w:tr>
      <w:tr w:rsidR="00257715" w:rsidRPr="00742FDE" w14:paraId="1CDA234D" w14:textId="77777777" w:rsidTr="007E0DCD">
        <w:trPr>
          <w:jc w:val="center"/>
        </w:trPr>
        <w:tc>
          <w:tcPr>
            <w:tcW w:w="9389" w:type="dxa"/>
            <w:gridSpan w:val="4"/>
            <w:tcBorders>
              <w:top w:val="single" w:sz="4" w:space="0" w:color="D2232A"/>
              <w:left w:val="single" w:sz="4" w:space="0" w:color="D2232A"/>
              <w:bottom w:val="single" w:sz="4" w:space="0" w:color="D2232A"/>
              <w:right w:val="single" w:sz="4" w:space="0" w:color="D2232A"/>
            </w:tcBorders>
            <w:vAlign w:val="center"/>
          </w:tcPr>
          <w:p w14:paraId="41E22CB6" w14:textId="1A3692EA" w:rsidR="00257715" w:rsidRPr="00742FDE" w:rsidRDefault="00257715" w:rsidP="00F7797A">
            <w:pPr>
              <w:pStyle w:val="ECCTablenote"/>
            </w:pPr>
            <w:r w:rsidRPr="00742FDE">
              <w:t>Note 1: Sometimes also referred to as “traditional licensing</w:t>
            </w:r>
            <w:r w:rsidR="000A1B57" w:rsidRPr="00742FDE">
              <w:t>".</w:t>
            </w:r>
          </w:p>
        </w:tc>
      </w:tr>
    </w:tbl>
    <w:p w14:paraId="3FB1904D" w14:textId="60105B54" w:rsidR="00EE6858" w:rsidRPr="00742FDE" w:rsidRDefault="00EE6858" w:rsidP="00EE6858">
      <w:r w:rsidRPr="00742FDE">
        <w:t xml:space="preserve">The following authorisation regimes could be applicable either to the whole 26 GHz </w:t>
      </w:r>
      <w:r w:rsidR="001456CA" w:rsidRPr="00742FDE">
        <w:t xml:space="preserve">frequency band </w:t>
      </w:r>
      <w:r w:rsidRPr="00742FDE">
        <w:t>or parts of it.</w:t>
      </w:r>
      <w:r w:rsidR="0021291B" w:rsidRPr="00742FDE">
        <w:t xml:space="preserve"> T</w:t>
      </w:r>
      <w:r w:rsidR="00CE4F50" w:rsidRPr="00742FDE">
        <w:t xml:space="preserve">he procedure/method of allocation of rights of use does not impact the technical conditions for the usage of the band and </w:t>
      </w:r>
      <w:r w:rsidR="003F5701" w:rsidRPr="00742FDE">
        <w:t xml:space="preserve">is not addressed in this </w:t>
      </w:r>
      <w:r w:rsidR="00E80513" w:rsidRPr="00742FDE">
        <w:t>R</w:t>
      </w:r>
      <w:r w:rsidR="003F5701" w:rsidRPr="00742FDE">
        <w:t>eport</w:t>
      </w:r>
      <w:r w:rsidR="00CE4F50" w:rsidRPr="00742FDE">
        <w:t>.</w:t>
      </w:r>
    </w:p>
    <w:p w14:paraId="19F9B444" w14:textId="4A0EDE74" w:rsidR="00514DC7" w:rsidRPr="00742FDE" w:rsidRDefault="00514DC7" w:rsidP="00696488">
      <w:pPr>
        <w:pStyle w:val="Heading3"/>
        <w:rPr>
          <w:rStyle w:val="ECCParagraph"/>
        </w:rPr>
      </w:pPr>
      <w:bookmarkStart w:id="36" w:name="_Ref31716636"/>
      <w:bookmarkStart w:id="37" w:name="_Ref31716671"/>
      <w:bookmarkStart w:id="38" w:name="_Ref31716921"/>
      <w:bookmarkStart w:id="39" w:name="_Ref32245523"/>
      <w:bookmarkStart w:id="40" w:name="_Toc37256355"/>
      <w:bookmarkStart w:id="41" w:name="_Toc32403302"/>
      <w:bookmarkStart w:id="42" w:name="_Toc45610643"/>
      <w:r w:rsidRPr="00742FDE">
        <w:rPr>
          <w:rStyle w:val="ECCParagraph"/>
        </w:rPr>
        <w:t>National licence</w:t>
      </w:r>
      <w:bookmarkEnd w:id="36"/>
      <w:bookmarkEnd w:id="37"/>
      <w:bookmarkEnd w:id="38"/>
      <w:bookmarkEnd w:id="39"/>
      <w:bookmarkEnd w:id="40"/>
      <w:bookmarkEnd w:id="41"/>
      <w:bookmarkEnd w:id="42"/>
    </w:p>
    <w:p w14:paraId="6279C687" w14:textId="4DAC5054" w:rsidR="00F8677C" w:rsidRPr="00742FDE" w:rsidRDefault="00F8677C" w:rsidP="00F8677C">
      <w:pPr>
        <w:rPr>
          <w:rStyle w:val="ECCParagraph"/>
        </w:rPr>
      </w:pPr>
      <w:r w:rsidRPr="00742FDE">
        <w:rPr>
          <w:rStyle w:val="ECCParagraph"/>
        </w:rPr>
        <w:t xml:space="preserve">As </w:t>
      </w:r>
      <w:r w:rsidR="00FF61D2" w:rsidRPr="00742FDE">
        <w:rPr>
          <w:rStyle w:val="ECCParagraph"/>
        </w:rPr>
        <w:t>is the case</w:t>
      </w:r>
      <w:r w:rsidRPr="00742FDE">
        <w:rPr>
          <w:rStyle w:val="ECCParagraph"/>
        </w:rPr>
        <w:t xml:space="preserve"> for the other MFCN harmonised frequency bands, this approach mainly refers to </w:t>
      </w:r>
      <w:r w:rsidR="00C753EB" w:rsidRPr="00742FDE">
        <w:rPr>
          <w:rStyle w:val="ECCParagraph"/>
        </w:rPr>
        <w:t>a traditional method of authorising MFCN through</w:t>
      </w:r>
      <w:r w:rsidR="003D4D5D" w:rsidRPr="00742FDE">
        <w:rPr>
          <w:rStyle w:val="ECCParagraph"/>
        </w:rPr>
        <w:t xml:space="preserve"> </w:t>
      </w:r>
      <w:r w:rsidRPr="00742FDE">
        <w:rPr>
          <w:rStyle w:val="ECCParagraph"/>
        </w:rPr>
        <w:t>national licence</w:t>
      </w:r>
      <w:r w:rsidR="00C753EB" w:rsidRPr="00742FDE">
        <w:rPr>
          <w:rStyle w:val="ECCParagraph"/>
        </w:rPr>
        <w:t>s</w:t>
      </w:r>
      <w:r w:rsidRPr="00742FDE">
        <w:rPr>
          <w:rStyle w:val="ECCParagraph"/>
        </w:rPr>
        <w:t xml:space="preserve"> (under individual authorisation) granted to MNOs (see example in ECO </w:t>
      </w:r>
      <w:r w:rsidR="00AD32EB" w:rsidRPr="00742FDE">
        <w:rPr>
          <w:rStyle w:val="ECCParagraph"/>
        </w:rPr>
        <w:t>R</w:t>
      </w:r>
      <w:r w:rsidRPr="00742FDE">
        <w:rPr>
          <w:rStyle w:val="ECCParagraph"/>
        </w:rPr>
        <w:t>eport 03</w:t>
      </w:r>
      <w:r w:rsidR="00FF61D2" w:rsidRPr="00742FDE">
        <w:rPr>
          <w:rStyle w:val="ECCParagraph"/>
        </w:rPr>
        <w:t xml:space="preserve"> </w:t>
      </w:r>
      <w:r w:rsidR="00FF61D2" w:rsidRPr="00742FDE">
        <w:rPr>
          <w:rStyle w:val="ECCParagraph"/>
        </w:rPr>
        <w:fldChar w:fldCharType="begin"/>
      </w:r>
      <w:r w:rsidR="00FF61D2" w:rsidRPr="00742FDE">
        <w:rPr>
          <w:rStyle w:val="ECCParagraph"/>
        </w:rPr>
        <w:instrText xml:space="preserve"> REF _Ref32245353 \r \h </w:instrText>
      </w:r>
      <w:r w:rsidR="00FF61D2" w:rsidRPr="00742FDE">
        <w:rPr>
          <w:rStyle w:val="ECCParagraph"/>
        </w:rPr>
      </w:r>
      <w:r w:rsidR="00FF61D2" w:rsidRPr="00742FDE">
        <w:rPr>
          <w:rStyle w:val="ECCParagraph"/>
        </w:rPr>
        <w:fldChar w:fldCharType="separate"/>
      </w:r>
      <w:r w:rsidR="00DE566A">
        <w:rPr>
          <w:rStyle w:val="ECCParagraph"/>
        </w:rPr>
        <w:t>[9]</w:t>
      </w:r>
      <w:r w:rsidR="00FF61D2" w:rsidRPr="00742FDE">
        <w:rPr>
          <w:rStyle w:val="ECCParagraph"/>
        </w:rPr>
        <w:fldChar w:fldCharType="end"/>
      </w:r>
      <w:r w:rsidRPr="00742FDE">
        <w:rPr>
          <w:rStyle w:val="ECCParagraph"/>
        </w:rPr>
        <w:t>).</w:t>
      </w:r>
    </w:p>
    <w:p w14:paraId="74C21FE0" w14:textId="721367A8" w:rsidR="006C3D0A" w:rsidRPr="00742FDE" w:rsidRDefault="006C3D0A" w:rsidP="00696488">
      <w:pPr>
        <w:pStyle w:val="Heading3"/>
        <w:rPr>
          <w:rStyle w:val="ECCParagraph"/>
        </w:rPr>
      </w:pPr>
      <w:bookmarkStart w:id="43" w:name="_Ref31716556"/>
      <w:bookmarkStart w:id="44" w:name="_Ref32245529"/>
      <w:bookmarkStart w:id="45" w:name="_Toc37256356"/>
      <w:bookmarkStart w:id="46" w:name="_Toc32403303"/>
      <w:bookmarkStart w:id="47" w:name="_Toc45610644"/>
      <w:r w:rsidRPr="00742FDE">
        <w:rPr>
          <w:rStyle w:val="ECCParagraph"/>
        </w:rPr>
        <w:t>Local licences</w:t>
      </w:r>
      <w:bookmarkEnd w:id="43"/>
      <w:bookmarkEnd w:id="44"/>
      <w:bookmarkEnd w:id="45"/>
      <w:bookmarkEnd w:id="46"/>
      <w:bookmarkEnd w:id="47"/>
    </w:p>
    <w:p w14:paraId="564DD7B9" w14:textId="07C55B73" w:rsidR="000F6F15" w:rsidRPr="00742FDE" w:rsidRDefault="00FF61D2" w:rsidP="000F6F15">
      <w:r w:rsidRPr="00742FDE">
        <w:t>This approach refers to l</w:t>
      </w:r>
      <w:r w:rsidR="00C4181C" w:rsidRPr="00742FDE">
        <w:t>icences limited to individual local areas</w:t>
      </w:r>
      <w:r w:rsidR="00E80513" w:rsidRPr="00742FDE">
        <w:t>:</w:t>
      </w:r>
    </w:p>
    <w:p w14:paraId="0359BE16" w14:textId="3951FFD4" w:rsidR="000F6F15" w:rsidRPr="00742FDE" w:rsidRDefault="000F6F15" w:rsidP="000F6F15">
      <w:pPr>
        <w:pStyle w:val="ECCBulletsLv1"/>
      </w:pPr>
      <w:r w:rsidRPr="00742FDE">
        <w:t xml:space="preserve">In this section "local" refers to an area </w:t>
      </w:r>
      <w:r w:rsidR="00C4181C" w:rsidRPr="00742FDE">
        <w:t>identified</w:t>
      </w:r>
      <w:r w:rsidRPr="00742FDE">
        <w:t xml:space="preserve"> at national level with a limited geographical size</w:t>
      </w:r>
      <w:r w:rsidR="00E80513" w:rsidRPr="00742FDE">
        <w:t>;</w:t>
      </w:r>
    </w:p>
    <w:p w14:paraId="24DDF85C" w14:textId="6D978C9D" w:rsidR="000F6F15" w:rsidRPr="00742FDE" w:rsidRDefault="000F6F15" w:rsidP="000F6F15">
      <w:pPr>
        <w:pStyle w:val="ECCBulletsLv1"/>
        <w:rPr>
          <w:rStyle w:val="ECCParagraph"/>
        </w:rPr>
      </w:pPr>
      <w:r w:rsidRPr="00742FDE">
        <w:rPr>
          <w:rStyle w:val="ECCParagraph"/>
        </w:rPr>
        <w:t>The licence (individual authorisation) is granted to MNOs.</w:t>
      </w:r>
      <w:r w:rsidR="00C4181C" w:rsidRPr="00742FDE">
        <w:rPr>
          <w:rStyle w:val="ECCParagraph"/>
        </w:rPr>
        <w:t xml:space="preserve"> </w:t>
      </w:r>
      <w:r w:rsidRPr="00742FDE">
        <w:rPr>
          <w:rStyle w:val="ECCParagraph"/>
        </w:rPr>
        <w:t>The licence owners benefit from local rights of use in a given band subject to the authorisation.</w:t>
      </w:r>
    </w:p>
    <w:p w14:paraId="04B45658" w14:textId="7A44E03C" w:rsidR="0099183C" w:rsidRPr="00742FDE" w:rsidRDefault="00BC178E" w:rsidP="00516D78">
      <w:r w:rsidRPr="00742FDE">
        <w:rPr>
          <w:rStyle w:val="ECCParagraph"/>
        </w:rPr>
        <w:t xml:space="preserve">Local </w:t>
      </w:r>
      <w:r w:rsidR="00FF61D2" w:rsidRPr="00742FDE">
        <w:rPr>
          <w:rStyle w:val="ECCParagraph"/>
        </w:rPr>
        <w:t xml:space="preserve">licences </w:t>
      </w:r>
      <w:r w:rsidRPr="00742FDE">
        <w:rPr>
          <w:rStyle w:val="ECCParagraph"/>
        </w:rPr>
        <w:t>may be granted to indoor or outdoor networks.</w:t>
      </w:r>
    </w:p>
    <w:p w14:paraId="4A4CE416" w14:textId="049FC590" w:rsidR="00697AB6" w:rsidRPr="00742FDE" w:rsidRDefault="00697AB6" w:rsidP="00697AB6">
      <w:pPr>
        <w:pStyle w:val="Heading3"/>
        <w:rPr>
          <w:rStyle w:val="ECCParagraph"/>
        </w:rPr>
      </w:pPr>
      <w:bookmarkStart w:id="48" w:name="_Toc32403268"/>
      <w:bookmarkStart w:id="49" w:name="_Toc32403304"/>
      <w:bookmarkStart w:id="50" w:name="_Ref31716685"/>
      <w:bookmarkStart w:id="51" w:name="_Toc37256357"/>
      <w:bookmarkStart w:id="52" w:name="_Toc32403305"/>
      <w:bookmarkStart w:id="53" w:name="_Toc45610645"/>
      <w:bookmarkEnd w:id="48"/>
      <w:bookmarkEnd w:id="49"/>
      <w:r w:rsidRPr="00742FDE">
        <w:rPr>
          <w:rStyle w:val="ECCParagraph"/>
        </w:rPr>
        <w:t>Light Licensing</w:t>
      </w:r>
      <w:bookmarkEnd w:id="50"/>
      <w:bookmarkEnd w:id="51"/>
      <w:bookmarkEnd w:id="52"/>
      <w:bookmarkEnd w:id="53"/>
    </w:p>
    <w:p w14:paraId="02D6F963" w14:textId="19D03292" w:rsidR="000C5AD5" w:rsidRPr="00742FDE" w:rsidRDefault="000C5AD5" w:rsidP="000C5AD5">
      <w:r w:rsidRPr="00742FDE">
        <w:t>This authorisation regime refers to one of two possible options described hereafter:</w:t>
      </w:r>
    </w:p>
    <w:p w14:paraId="0C29F2D5" w14:textId="1353679B" w:rsidR="000C5AD5" w:rsidRPr="00742FDE" w:rsidRDefault="005C6B5E" w:rsidP="000C5AD5">
      <w:pPr>
        <w:pStyle w:val="ECCBulletsLv1"/>
      </w:pPr>
      <w:r w:rsidRPr="00742FDE">
        <w:t>Option 1</w:t>
      </w:r>
      <w:r w:rsidR="000C5AD5" w:rsidRPr="00742FDE">
        <w:t xml:space="preserve">: under individual authorisation, it refers to individual frequency planning/coordination with a simplified procedure compared to traditional procedure for issuing licences (as described in </w:t>
      </w:r>
      <w:r w:rsidR="00FF61D2" w:rsidRPr="00742FDE">
        <w:t xml:space="preserve">sections </w:t>
      </w:r>
      <w:r w:rsidR="00FF61D2" w:rsidRPr="00742FDE">
        <w:fldChar w:fldCharType="begin"/>
      </w:r>
      <w:r w:rsidR="00FF61D2" w:rsidRPr="00742FDE">
        <w:instrText xml:space="preserve"> REF _Ref32245523 \r \h </w:instrText>
      </w:r>
      <w:r w:rsidR="00FF61D2" w:rsidRPr="00742FDE">
        <w:fldChar w:fldCharType="separate"/>
      </w:r>
      <w:r w:rsidR="00DE566A">
        <w:t>2.1.1</w:t>
      </w:r>
      <w:r w:rsidR="00FF61D2" w:rsidRPr="00742FDE">
        <w:fldChar w:fldCharType="end"/>
      </w:r>
      <w:r w:rsidR="000C5AD5" w:rsidRPr="00742FDE">
        <w:t xml:space="preserve"> and </w:t>
      </w:r>
      <w:r w:rsidR="00FF61D2" w:rsidRPr="00742FDE">
        <w:fldChar w:fldCharType="begin"/>
      </w:r>
      <w:r w:rsidR="00FF61D2" w:rsidRPr="00742FDE">
        <w:instrText xml:space="preserve"> REF _Ref32245529 \r \h </w:instrText>
      </w:r>
      <w:r w:rsidR="00FF61D2" w:rsidRPr="00742FDE">
        <w:fldChar w:fldCharType="separate"/>
      </w:r>
      <w:r w:rsidR="00DE566A">
        <w:t>2.1.2</w:t>
      </w:r>
      <w:r w:rsidR="00FF61D2" w:rsidRPr="00742FDE">
        <w:fldChar w:fldCharType="end"/>
      </w:r>
      <w:r w:rsidR="000C5AD5" w:rsidRPr="00742FDE">
        <w:t>). This ensures a limitation in the number of possible licensees in a given location (mainly local with a limited size)</w:t>
      </w:r>
      <w:r w:rsidR="00E80513" w:rsidRPr="00742FDE">
        <w:t>;</w:t>
      </w:r>
    </w:p>
    <w:p w14:paraId="40557AC5" w14:textId="643F8F20" w:rsidR="000C5AD5" w:rsidRPr="00742FDE" w:rsidRDefault="005C6B5E" w:rsidP="000C5AD5">
      <w:pPr>
        <w:pStyle w:val="ECCBulletsLv1"/>
      </w:pPr>
      <w:r w:rsidRPr="00742FDE">
        <w:t>Option 2</w:t>
      </w:r>
      <w:r w:rsidR="000C5AD5" w:rsidRPr="00742FDE">
        <w:t xml:space="preserve">: under general authorisation, there is no individual frequency planning/coordination. </w:t>
      </w:r>
      <w:r w:rsidRPr="00742FDE">
        <w:t xml:space="preserve">There is a requirement for registration </w:t>
      </w:r>
      <w:r w:rsidR="00B005A0" w:rsidRPr="00742FDE">
        <w:t xml:space="preserve">of base station locations </w:t>
      </w:r>
      <w:r w:rsidRPr="00742FDE">
        <w:t xml:space="preserve">and/or notification </w:t>
      </w:r>
      <w:r w:rsidR="00F4784A" w:rsidRPr="00742FDE">
        <w:t xml:space="preserve">of base station locations </w:t>
      </w:r>
      <w:r w:rsidRPr="00742FDE">
        <w:t>that allows control of the deployment and use of the application</w:t>
      </w:r>
      <w:r w:rsidR="003F5701" w:rsidRPr="00742FDE">
        <w:t>.</w:t>
      </w:r>
      <w:r w:rsidRPr="00742FDE">
        <w:t xml:space="preserve"> There is no limitation in the number of users nor need for local coordination.</w:t>
      </w:r>
    </w:p>
    <w:p w14:paraId="3FE13501" w14:textId="65B33FC4" w:rsidR="005C6B5E" w:rsidRPr="00742FDE" w:rsidRDefault="000C5AD5" w:rsidP="00070C63">
      <w:pPr>
        <w:pStyle w:val="ECCBulletsLv1"/>
        <w:numPr>
          <w:ilvl w:val="0"/>
          <w:numId w:val="0"/>
        </w:numPr>
        <w:spacing w:before="240" w:after="60"/>
      </w:pPr>
      <w:r w:rsidRPr="00742FDE">
        <w:lastRenderedPageBreak/>
        <w:t>A combination of both above regimes refers to mixed approach as described</w:t>
      </w:r>
      <w:r w:rsidR="002D6D45" w:rsidRPr="00742FDE">
        <w:t xml:space="preserve"> in section </w:t>
      </w:r>
      <w:r w:rsidR="00FE35CC" w:rsidRPr="00742FDE">
        <w:fldChar w:fldCharType="begin"/>
      </w:r>
      <w:r w:rsidR="00FE35CC" w:rsidRPr="00742FDE">
        <w:instrText xml:space="preserve"> REF _Ref31716500 \r \h </w:instrText>
      </w:r>
      <w:r w:rsidR="00FE35CC" w:rsidRPr="00742FDE">
        <w:fldChar w:fldCharType="separate"/>
      </w:r>
      <w:r w:rsidR="00DE566A">
        <w:t>2.1.6</w:t>
      </w:r>
      <w:r w:rsidR="00FE35CC" w:rsidRPr="00742FDE">
        <w:fldChar w:fldCharType="end"/>
      </w:r>
      <w:r w:rsidR="002D6D45" w:rsidRPr="00742FDE">
        <w:t xml:space="preserve"> of this Report</w:t>
      </w:r>
      <w:r w:rsidRPr="00742FDE">
        <w:t>.</w:t>
      </w:r>
    </w:p>
    <w:p w14:paraId="7C991C97" w14:textId="5CCE9439" w:rsidR="006C3D0A" w:rsidRPr="00742FDE" w:rsidRDefault="00223B9C" w:rsidP="00FF1FE5">
      <w:pPr>
        <w:pStyle w:val="Heading3"/>
        <w:rPr>
          <w:rStyle w:val="ECCParagraph"/>
        </w:rPr>
      </w:pPr>
      <w:bookmarkStart w:id="54" w:name="_Toc32403271"/>
      <w:bookmarkStart w:id="55" w:name="_Toc32403307"/>
      <w:bookmarkStart w:id="56" w:name="_Toc32403272"/>
      <w:bookmarkStart w:id="57" w:name="_Toc32403308"/>
      <w:bookmarkStart w:id="58" w:name="_Toc32403273"/>
      <w:bookmarkStart w:id="59" w:name="_Toc32403309"/>
      <w:bookmarkStart w:id="60" w:name="_Toc32403274"/>
      <w:bookmarkStart w:id="61" w:name="_Toc32403310"/>
      <w:bookmarkStart w:id="62" w:name="_Ref31716657"/>
      <w:bookmarkStart w:id="63" w:name="_Toc37256358"/>
      <w:bookmarkStart w:id="64" w:name="_Toc32403311"/>
      <w:bookmarkStart w:id="65" w:name="_Toc45610646"/>
      <w:bookmarkEnd w:id="54"/>
      <w:bookmarkEnd w:id="55"/>
      <w:bookmarkEnd w:id="56"/>
      <w:bookmarkEnd w:id="57"/>
      <w:bookmarkEnd w:id="58"/>
      <w:bookmarkEnd w:id="59"/>
      <w:bookmarkEnd w:id="60"/>
      <w:bookmarkEnd w:id="61"/>
      <w:r w:rsidRPr="00742FDE">
        <w:rPr>
          <w:rStyle w:val="ECCParagraph"/>
        </w:rPr>
        <w:t>Nationwide g</w:t>
      </w:r>
      <w:r w:rsidR="00FF1FE5" w:rsidRPr="00742FDE">
        <w:rPr>
          <w:rStyle w:val="ECCParagraph"/>
        </w:rPr>
        <w:t>eneral authorisation</w:t>
      </w:r>
      <w:bookmarkEnd w:id="62"/>
      <w:bookmarkEnd w:id="63"/>
      <w:bookmarkEnd w:id="64"/>
      <w:bookmarkEnd w:id="65"/>
    </w:p>
    <w:p w14:paraId="18EAD6BA" w14:textId="44D64634" w:rsidR="00203E26" w:rsidRPr="00742FDE" w:rsidRDefault="00203E26" w:rsidP="00203E26">
      <w:r w:rsidRPr="00742FDE">
        <w:t xml:space="preserve">The regime implies no individual frequency planning/coordination and no registration or notification of </w:t>
      </w:r>
      <w:r w:rsidR="00C12619" w:rsidRPr="00742FDE">
        <w:t xml:space="preserve">MFCN </w:t>
      </w:r>
      <w:r w:rsidRPr="00742FDE">
        <w:t>base station</w:t>
      </w:r>
      <w:r w:rsidR="00C12619" w:rsidRPr="00742FDE">
        <w:t>s</w:t>
      </w:r>
      <w:r w:rsidRPr="00742FDE">
        <w:t xml:space="preserve">. </w:t>
      </w:r>
      <w:r w:rsidR="0056074C" w:rsidRPr="00742FDE">
        <w:t>This regime is nationwide and can include outdoor and indoor usage (same approach as 2.4 GHz "</w:t>
      </w:r>
      <w:r w:rsidR="007B778B" w:rsidRPr="00742FDE">
        <w:t>WAS/</w:t>
      </w:r>
      <w:r w:rsidR="0056074C" w:rsidRPr="00742FDE">
        <w:t>RLAN" authorisation regime).</w:t>
      </w:r>
    </w:p>
    <w:p w14:paraId="043C5971" w14:textId="7FA364EC" w:rsidR="005A3C29" w:rsidRPr="00742FDE" w:rsidRDefault="00091CF7" w:rsidP="00091CF7">
      <w:pPr>
        <w:pStyle w:val="Heading3"/>
        <w:rPr>
          <w:lang w:val="en-GB"/>
        </w:rPr>
      </w:pPr>
      <w:bookmarkStart w:id="66" w:name="_Toc37256359"/>
      <w:bookmarkStart w:id="67" w:name="_Toc32403312"/>
      <w:bookmarkStart w:id="68" w:name="_Toc45610647"/>
      <w:r w:rsidRPr="00742FDE">
        <w:rPr>
          <w:lang w:val="en-GB"/>
        </w:rPr>
        <w:t>Local general authorisation</w:t>
      </w:r>
      <w:bookmarkEnd w:id="66"/>
      <w:bookmarkEnd w:id="67"/>
      <w:bookmarkEnd w:id="68"/>
      <w:r w:rsidRPr="00742FDE">
        <w:rPr>
          <w:lang w:val="en-GB"/>
        </w:rPr>
        <w:t xml:space="preserve"> </w:t>
      </w:r>
    </w:p>
    <w:p w14:paraId="1A3FFC8D" w14:textId="7C89C6AF" w:rsidR="0084330B" w:rsidRPr="00742FDE" w:rsidRDefault="0084330B" w:rsidP="0084330B">
      <w:r w:rsidRPr="00742FDE">
        <w:t xml:space="preserve">The regime implies no individual frequency planning/coordination and no registration </w:t>
      </w:r>
      <w:r w:rsidRPr="00742FDE">
        <w:rPr>
          <w:rStyle w:val="ECCParagraph"/>
        </w:rPr>
        <w:t>or notification</w:t>
      </w:r>
      <w:r w:rsidR="001848C2" w:rsidRPr="00742FDE">
        <w:t xml:space="preserve"> of </w:t>
      </w:r>
      <w:r w:rsidR="00C12619" w:rsidRPr="00742FDE">
        <w:t xml:space="preserve">MFCN </w:t>
      </w:r>
      <w:r w:rsidR="001848C2" w:rsidRPr="00742FDE">
        <w:t>base station</w:t>
      </w:r>
      <w:r w:rsidR="00C12619" w:rsidRPr="00742FDE">
        <w:t>s</w:t>
      </w:r>
      <w:r w:rsidRPr="00742FDE">
        <w:t xml:space="preserve"> (same approach as "WAS/RLAN" authorisation regime). </w:t>
      </w:r>
      <w:r w:rsidRPr="00742FDE">
        <w:rPr>
          <w:rStyle w:val="ECCParagraph"/>
        </w:rPr>
        <w:t>In th</w:t>
      </w:r>
      <w:r w:rsidR="001848C2" w:rsidRPr="00742FDE">
        <w:rPr>
          <w:rStyle w:val="ECCParagraph"/>
        </w:rPr>
        <w:t>is section, "local" refers to a</w:t>
      </w:r>
      <w:r w:rsidRPr="00742FDE">
        <w:rPr>
          <w:rStyle w:val="ECCParagraph"/>
        </w:rPr>
        <w:t xml:space="preserve"> geographic area identified at national level with a limited geographical size </w:t>
      </w:r>
      <w:r w:rsidR="00261D7C" w:rsidRPr="00742FDE">
        <w:rPr>
          <w:rStyle w:val="ECCParagraph"/>
        </w:rPr>
        <w:t xml:space="preserve">(e.g. a city or regional area) </w:t>
      </w:r>
      <w:r w:rsidR="00A920A3" w:rsidRPr="00742FDE">
        <w:rPr>
          <w:rStyle w:val="ECCParagraph"/>
        </w:rPr>
        <w:t>and</w:t>
      </w:r>
      <w:r w:rsidR="0071222E" w:rsidRPr="00742FDE">
        <w:rPr>
          <w:rStyle w:val="ECCParagraph"/>
        </w:rPr>
        <w:t xml:space="preserve"> </w:t>
      </w:r>
      <w:r w:rsidR="00223B9C" w:rsidRPr="00742FDE">
        <w:rPr>
          <w:rStyle w:val="ECCParagraph"/>
        </w:rPr>
        <w:t xml:space="preserve">which </w:t>
      </w:r>
      <w:r w:rsidR="00261D7C" w:rsidRPr="00742FDE">
        <w:rPr>
          <w:rStyle w:val="ECCParagraph"/>
        </w:rPr>
        <w:t xml:space="preserve">can </w:t>
      </w:r>
      <w:r w:rsidRPr="00742FDE">
        <w:rPr>
          <w:rStyle w:val="ECCParagraph"/>
        </w:rPr>
        <w:t>includ</w:t>
      </w:r>
      <w:r w:rsidR="00261D7C" w:rsidRPr="00742FDE">
        <w:rPr>
          <w:rStyle w:val="ECCParagraph"/>
        </w:rPr>
        <w:t xml:space="preserve">e </w:t>
      </w:r>
      <w:r w:rsidR="00A920A3" w:rsidRPr="00742FDE">
        <w:rPr>
          <w:rStyle w:val="ECCParagraph"/>
        </w:rPr>
        <w:t xml:space="preserve">outdoor and </w:t>
      </w:r>
      <w:r w:rsidRPr="00742FDE">
        <w:rPr>
          <w:rStyle w:val="ECCParagraph"/>
        </w:rPr>
        <w:t>indoor</w:t>
      </w:r>
      <w:r w:rsidR="00261D7C" w:rsidRPr="00742FDE">
        <w:rPr>
          <w:rStyle w:val="ECCParagraph"/>
        </w:rPr>
        <w:t xml:space="preserve"> </w:t>
      </w:r>
      <w:r w:rsidR="0071222E" w:rsidRPr="00742FDE">
        <w:rPr>
          <w:rStyle w:val="ECCParagraph"/>
        </w:rPr>
        <w:t>usage</w:t>
      </w:r>
      <w:r w:rsidRPr="00742FDE">
        <w:rPr>
          <w:rStyle w:val="ECCParagraph"/>
        </w:rPr>
        <w:t>.</w:t>
      </w:r>
    </w:p>
    <w:p w14:paraId="23C85F0D" w14:textId="7263CFD1" w:rsidR="00186C2A" w:rsidRPr="00742FDE" w:rsidRDefault="00186C2A" w:rsidP="00186C2A">
      <w:pPr>
        <w:pStyle w:val="Heading3"/>
        <w:rPr>
          <w:lang w:val="en-GB"/>
        </w:rPr>
      </w:pPr>
      <w:bookmarkStart w:id="69" w:name="_Ref31716500"/>
      <w:bookmarkStart w:id="70" w:name="_Toc37256360"/>
      <w:bookmarkStart w:id="71" w:name="_Toc32403313"/>
      <w:bookmarkStart w:id="72" w:name="_Toc45610648"/>
      <w:r w:rsidRPr="00742FDE">
        <w:rPr>
          <w:lang w:val="en-GB"/>
        </w:rPr>
        <w:t>Others (mixed approaches)</w:t>
      </w:r>
      <w:bookmarkEnd w:id="69"/>
      <w:bookmarkEnd w:id="70"/>
      <w:bookmarkEnd w:id="71"/>
      <w:bookmarkEnd w:id="72"/>
    </w:p>
    <w:p w14:paraId="58F3478B" w14:textId="6870DD6D" w:rsidR="00186C2A" w:rsidRPr="00742FDE" w:rsidRDefault="00186C2A" w:rsidP="00186C2A">
      <w:r w:rsidRPr="00742FDE">
        <w:t>For a given part of the band, the mixed approach refers to a combination of different authorisation regimes. For example:</w:t>
      </w:r>
    </w:p>
    <w:p w14:paraId="080C86D3" w14:textId="716AB484" w:rsidR="00186C2A" w:rsidRPr="00742FDE" w:rsidRDefault="00186C2A" w:rsidP="00186C2A">
      <w:pPr>
        <w:pStyle w:val="ECCBulletsLv1"/>
      </w:pPr>
      <w:r w:rsidRPr="00742FDE">
        <w:t>Outdoor national licence (</w:t>
      </w:r>
      <w:r w:rsidR="002D6D45" w:rsidRPr="00742FDE">
        <w:fldChar w:fldCharType="begin"/>
      </w:r>
      <w:r w:rsidR="002D6D45" w:rsidRPr="00742FDE">
        <w:instrText xml:space="preserve"> REF _Ref31716636 \r \h </w:instrText>
      </w:r>
      <w:r w:rsidR="002D6D45" w:rsidRPr="00742FDE">
        <w:fldChar w:fldCharType="separate"/>
      </w:r>
      <w:r w:rsidR="00DE566A">
        <w:t>2.1.1</w:t>
      </w:r>
      <w:r w:rsidR="002D6D45" w:rsidRPr="00742FDE">
        <w:fldChar w:fldCharType="end"/>
      </w:r>
      <w:r w:rsidRPr="00742FDE">
        <w:t>) and indoor general authorisation (</w:t>
      </w:r>
      <w:r w:rsidR="00DB3640" w:rsidRPr="00742FDE">
        <w:t>2.1.4</w:t>
      </w:r>
      <w:r w:rsidR="00B201FE" w:rsidRPr="00742FDE">
        <w:t>)</w:t>
      </w:r>
      <w:r w:rsidR="00E80513" w:rsidRPr="00742FDE">
        <w:t>;</w:t>
      </w:r>
    </w:p>
    <w:p w14:paraId="639D12A2" w14:textId="73B2C823" w:rsidR="00186C2A" w:rsidRPr="00742FDE" w:rsidRDefault="00186C2A" w:rsidP="00186C2A">
      <w:pPr>
        <w:pStyle w:val="ECCBulletsLv1"/>
      </w:pPr>
      <w:r w:rsidRPr="00742FDE">
        <w:t>Outdoor national licence (</w:t>
      </w:r>
      <w:r w:rsidR="002D6D45" w:rsidRPr="00742FDE">
        <w:fldChar w:fldCharType="begin"/>
      </w:r>
      <w:r w:rsidR="002D6D45" w:rsidRPr="00742FDE">
        <w:instrText xml:space="preserve"> REF _Ref31716671 \r \h </w:instrText>
      </w:r>
      <w:r w:rsidR="002D6D45" w:rsidRPr="00742FDE">
        <w:fldChar w:fldCharType="separate"/>
      </w:r>
      <w:r w:rsidR="00DE566A">
        <w:t>2.1.1</w:t>
      </w:r>
      <w:r w:rsidR="002D6D45" w:rsidRPr="00742FDE">
        <w:fldChar w:fldCharType="end"/>
      </w:r>
      <w:r w:rsidR="00D27223" w:rsidRPr="00742FDE">
        <w:t>) and indoor light licenc</w:t>
      </w:r>
      <w:r w:rsidRPr="00742FDE">
        <w:t>e (</w:t>
      </w:r>
      <w:r w:rsidR="00DB3640" w:rsidRPr="00742FDE">
        <w:t>2.1.3</w:t>
      </w:r>
      <w:r w:rsidR="00D27223" w:rsidRPr="00742FDE">
        <w:t xml:space="preserve"> </w:t>
      </w:r>
      <w:r w:rsidRPr="00742FDE">
        <w:t>- Option 2)</w:t>
      </w:r>
      <w:r w:rsidR="00E80513" w:rsidRPr="00742FDE">
        <w:t>.</w:t>
      </w:r>
    </w:p>
    <w:p w14:paraId="18C12EC8" w14:textId="7544F700" w:rsidR="001E3FFB" w:rsidRPr="00742FDE" w:rsidRDefault="0040694F" w:rsidP="00514DC7">
      <w:pPr>
        <w:pStyle w:val="Heading1"/>
        <w:rPr>
          <w:lang w:val="en-GB"/>
        </w:rPr>
      </w:pPr>
      <w:bookmarkStart w:id="73" w:name="_Toc37256361"/>
      <w:bookmarkStart w:id="74" w:name="_Toc32403314"/>
      <w:bookmarkStart w:id="75" w:name="_Toc45610649"/>
      <w:bookmarkStart w:id="76" w:name="_Toc380056507"/>
      <w:bookmarkStart w:id="77" w:name="_Toc380059757"/>
      <w:bookmarkStart w:id="78" w:name="_Toc380059795"/>
      <w:r w:rsidRPr="00742FDE">
        <w:rPr>
          <w:lang w:val="en-GB"/>
        </w:rPr>
        <w:lastRenderedPageBreak/>
        <w:t>Assessment of</w:t>
      </w:r>
      <w:r w:rsidR="00F77DA6" w:rsidRPr="00742FDE">
        <w:rPr>
          <w:lang w:val="en-GB"/>
        </w:rPr>
        <w:t xml:space="preserve"> </w:t>
      </w:r>
      <w:r w:rsidRPr="00742FDE">
        <w:rPr>
          <w:lang w:val="en-GB"/>
        </w:rPr>
        <w:t xml:space="preserve">the impact of the different authorisation </w:t>
      </w:r>
      <w:bookmarkEnd w:id="73"/>
      <w:bookmarkEnd w:id="74"/>
      <w:r w:rsidR="000E474F" w:rsidRPr="00742FDE">
        <w:rPr>
          <w:lang w:val="en-GB"/>
        </w:rPr>
        <w:t>regimes</w:t>
      </w:r>
      <w:bookmarkEnd w:id="75"/>
    </w:p>
    <w:p w14:paraId="305E7CC8" w14:textId="3181C8E9" w:rsidR="002476C9" w:rsidRPr="00742FDE" w:rsidRDefault="002476C9" w:rsidP="0055643D">
      <w:r w:rsidRPr="00742FDE">
        <w:t xml:space="preserve">This section assesses the impact of different authorisation </w:t>
      </w:r>
      <w:r w:rsidR="000E474F" w:rsidRPr="00742FDE">
        <w:t xml:space="preserve">regimes </w:t>
      </w:r>
      <w:r w:rsidR="00CE4F50" w:rsidRPr="00742FDE">
        <w:t>other than</w:t>
      </w:r>
      <w:r w:rsidR="00FF61D2" w:rsidRPr="00742FDE">
        <w:t xml:space="preserve"> the</w:t>
      </w:r>
      <w:r w:rsidR="00CE4F50" w:rsidRPr="00742FDE">
        <w:t xml:space="preserve"> national approach for MNOs as described</w:t>
      </w:r>
      <w:r w:rsidR="00AF40B6" w:rsidRPr="00742FDE">
        <w:t xml:space="preserve"> in </w:t>
      </w:r>
      <w:r w:rsidR="00AF40B6" w:rsidRPr="00742FDE">
        <w:fldChar w:fldCharType="begin"/>
      </w:r>
      <w:r w:rsidR="00AF40B6" w:rsidRPr="00742FDE">
        <w:instrText xml:space="preserve"> REF _Ref31716921 \r \h </w:instrText>
      </w:r>
      <w:r w:rsidR="00AF40B6" w:rsidRPr="00742FDE">
        <w:fldChar w:fldCharType="separate"/>
      </w:r>
      <w:r w:rsidR="00DE566A">
        <w:t>2.1.1</w:t>
      </w:r>
      <w:r w:rsidR="00AF40B6" w:rsidRPr="00742FDE">
        <w:fldChar w:fldCharType="end"/>
      </w:r>
      <w:r w:rsidRPr="00742FDE">
        <w:t>.</w:t>
      </w:r>
    </w:p>
    <w:p w14:paraId="17FE693F" w14:textId="48DB3569" w:rsidR="00F20838" w:rsidRPr="00742FDE" w:rsidRDefault="00A46EE9" w:rsidP="00F77DA6">
      <w:pPr>
        <w:pStyle w:val="Heading2"/>
        <w:rPr>
          <w:lang w:val="en-GB"/>
        </w:rPr>
      </w:pPr>
      <w:bookmarkStart w:id="79" w:name="_Toc32403279"/>
      <w:bookmarkStart w:id="80" w:name="_Toc32403315"/>
      <w:bookmarkStart w:id="81" w:name="_Toc32403280"/>
      <w:bookmarkStart w:id="82" w:name="_Toc32403316"/>
      <w:bookmarkStart w:id="83" w:name="_Toc32403281"/>
      <w:bookmarkStart w:id="84" w:name="_Toc32403317"/>
      <w:bookmarkStart w:id="85" w:name="_Toc37256362"/>
      <w:bookmarkStart w:id="86" w:name="_Toc32403318"/>
      <w:bookmarkStart w:id="87" w:name="_Toc45610650"/>
      <w:bookmarkEnd w:id="79"/>
      <w:bookmarkEnd w:id="80"/>
      <w:bookmarkEnd w:id="81"/>
      <w:bookmarkEnd w:id="82"/>
      <w:bookmarkEnd w:id="83"/>
      <w:bookmarkEnd w:id="84"/>
      <w:r w:rsidRPr="00742FDE">
        <w:rPr>
          <w:lang w:val="en-GB"/>
        </w:rPr>
        <w:t>EESS/SRS and</w:t>
      </w:r>
      <w:r w:rsidR="00CC0C51" w:rsidRPr="00742FDE">
        <w:rPr>
          <w:lang w:val="en-GB"/>
        </w:rPr>
        <w:t xml:space="preserve"> FSS e</w:t>
      </w:r>
      <w:r w:rsidRPr="00742FDE">
        <w:rPr>
          <w:lang w:val="en-GB"/>
        </w:rPr>
        <w:t>arth</w:t>
      </w:r>
      <w:r w:rsidR="00F20838" w:rsidRPr="00742FDE">
        <w:rPr>
          <w:lang w:val="en-GB"/>
        </w:rPr>
        <w:t xml:space="preserve"> </w:t>
      </w:r>
      <w:r w:rsidR="00CC0C51" w:rsidRPr="00742FDE">
        <w:rPr>
          <w:lang w:val="en-GB"/>
        </w:rPr>
        <w:t>s</w:t>
      </w:r>
      <w:r w:rsidRPr="00742FDE">
        <w:rPr>
          <w:lang w:val="en-GB"/>
        </w:rPr>
        <w:t>tations</w:t>
      </w:r>
      <w:bookmarkEnd w:id="85"/>
      <w:bookmarkEnd w:id="86"/>
      <w:bookmarkEnd w:id="87"/>
    </w:p>
    <w:p w14:paraId="16184638" w14:textId="77777777" w:rsidR="00F20838" w:rsidRPr="00742FDE" w:rsidRDefault="00CC0C51" w:rsidP="00F20838">
      <w:pPr>
        <w:pStyle w:val="Heading3"/>
        <w:rPr>
          <w:lang w:val="en-GB"/>
        </w:rPr>
      </w:pPr>
      <w:bookmarkStart w:id="88" w:name="_Toc37256363"/>
      <w:bookmarkStart w:id="89" w:name="_Toc32403319"/>
      <w:bookmarkStart w:id="90" w:name="_Toc45610651"/>
      <w:r w:rsidRPr="00742FDE">
        <w:rPr>
          <w:lang w:val="en-GB"/>
        </w:rPr>
        <w:t>EESS/SRS earth s</w:t>
      </w:r>
      <w:r w:rsidR="00F20838" w:rsidRPr="00742FDE">
        <w:rPr>
          <w:lang w:val="en-GB"/>
        </w:rPr>
        <w:t>tations</w:t>
      </w:r>
      <w:bookmarkEnd w:id="88"/>
      <w:bookmarkEnd w:id="89"/>
      <w:bookmarkEnd w:id="90"/>
    </w:p>
    <w:p w14:paraId="3C4A8BE4" w14:textId="669292B6" w:rsidR="003D291A" w:rsidRPr="00742FDE" w:rsidRDefault="003D291A" w:rsidP="00A93AEB">
      <w:r w:rsidRPr="00742FDE">
        <w:t>ECC Decision (18)06</w:t>
      </w:r>
      <w:r w:rsidR="00FF61D2" w:rsidRPr="00742FDE">
        <w:t xml:space="preserve"> </w:t>
      </w:r>
      <w:r w:rsidR="00FF61D2" w:rsidRPr="00742FDE">
        <w:fldChar w:fldCharType="begin"/>
      </w:r>
      <w:r w:rsidR="00FF61D2" w:rsidRPr="00742FDE">
        <w:instrText xml:space="preserve"> REF _Ref32245228 \r \h </w:instrText>
      </w:r>
      <w:r w:rsidR="00FF61D2" w:rsidRPr="00742FDE">
        <w:fldChar w:fldCharType="separate"/>
      </w:r>
      <w:r w:rsidR="00DE566A">
        <w:t>[1]</w:t>
      </w:r>
      <w:r w:rsidR="00FF61D2" w:rsidRPr="00742FDE">
        <w:fldChar w:fldCharType="end"/>
      </w:r>
      <w:r w:rsidR="00FF61D2" w:rsidRPr="00742FDE">
        <w:t xml:space="preserve"> contains appropriate provisions</w:t>
      </w:r>
      <w:r w:rsidRPr="00742FDE">
        <w:t xml:space="preserve"> to ensure </w:t>
      </w:r>
      <w:r w:rsidR="001D68AA" w:rsidRPr="00742FDE">
        <w:rPr>
          <w:rStyle w:val="ECCParagraph"/>
        </w:rPr>
        <w:t xml:space="preserve">the protection of </w:t>
      </w:r>
      <w:r w:rsidRPr="00742FDE">
        <w:t xml:space="preserve">existing EESS/SRS earth stations and the possibility for future deployment of EESS/SRS earth stations in this frequency band. ECC Recommendation (19)01 </w:t>
      </w:r>
      <w:r w:rsidR="00FF61D2" w:rsidRPr="00742FDE">
        <w:fldChar w:fldCharType="begin"/>
      </w:r>
      <w:r w:rsidR="00FF61D2" w:rsidRPr="00742FDE">
        <w:instrText xml:space="preserve"> REF _Ref32245247 \r \h </w:instrText>
      </w:r>
      <w:r w:rsidR="00FF61D2" w:rsidRPr="00742FDE">
        <w:fldChar w:fldCharType="separate"/>
      </w:r>
      <w:r w:rsidR="00DE566A">
        <w:t>[4]</w:t>
      </w:r>
      <w:r w:rsidR="00FF61D2" w:rsidRPr="00742FDE">
        <w:fldChar w:fldCharType="end"/>
      </w:r>
      <w:r w:rsidR="00FF61D2" w:rsidRPr="00742FDE">
        <w:t xml:space="preserve"> </w:t>
      </w:r>
      <w:r w:rsidRPr="00742FDE">
        <w:t>has been developed to support the introduction of 5G while ensuring, in a proportionate way, the use of existing and planned EESS/SRS receiving earth stations in the 25.5-</w:t>
      </w:r>
      <w:r w:rsidR="00F52257" w:rsidRPr="00742FDE">
        <w:t>27</w:t>
      </w:r>
      <w:r w:rsidRPr="00742FDE">
        <w:t xml:space="preserve"> GHz band by applying appropriate </w:t>
      </w:r>
      <w:r w:rsidR="00E308A4" w:rsidRPr="00742FDE">
        <w:t>co</w:t>
      </w:r>
      <w:r w:rsidR="009007E0" w:rsidRPr="00742FDE">
        <w:t>ordination zones</w:t>
      </w:r>
      <w:r w:rsidR="00A13136" w:rsidRPr="00742FDE">
        <w:t xml:space="preserve"> based on calculated coordination contours</w:t>
      </w:r>
      <w:r w:rsidR="00FA6DBD" w:rsidRPr="00742FDE">
        <w:t>.</w:t>
      </w:r>
      <w:r w:rsidRPr="00742FDE">
        <w:t xml:space="preserve"> The exact </w:t>
      </w:r>
      <w:r w:rsidR="009007E0" w:rsidRPr="00742FDE">
        <w:t>coordination zones</w:t>
      </w:r>
      <w:r w:rsidRPr="00742FDE">
        <w:t xml:space="preserve"> need to be analysed on a national basis</w:t>
      </w:r>
      <w:r w:rsidR="00E80513" w:rsidRPr="00742FDE">
        <w:t>:</w:t>
      </w:r>
    </w:p>
    <w:p w14:paraId="6B694920" w14:textId="7AF35A50" w:rsidR="003D291A" w:rsidRPr="00742FDE" w:rsidRDefault="003D291A" w:rsidP="00E964AC">
      <w:pPr>
        <w:pStyle w:val="ECCBulletsLv1"/>
        <w:rPr>
          <w:rStyle w:val="ECCParagraph"/>
        </w:rPr>
      </w:pPr>
      <w:r w:rsidRPr="00742FDE">
        <w:t xml:space="preserve">When the location of MFCN BS </w:t>
      </w:r>
      <w:r w:rsidRPr="00742FDE">
        <w:rPr>
          <w:rStyle w:val="ECCParagraph"/>
        </w:rPr>
        <w:t xml:space="preserve">is </w:t>
      </w:r>
      <w:r w:rsidR="00516D78" w:rsidRPr="00742FDE">
        <w:rPr>
          <w:rStyle w:val="ECCParagraph"/>
        </w:rPr>
        <w:t>known</w:t>
      </w:r>
      <w:r w:rsidRPr="00742FDE">
        <w:rPr>
          <w:rStyle w:val="ECCParagraph"/>
        </w:rPr>
        <w:t xml:space="preserve"> (local </w:t>
      </w:r>
      <w:r w:rsidR="00FF61D2" w:rsidRPr="00742FDE">
        <w:rPr>
          <w:rStyle w:val="ECCParagraph"/>
        </w:rPr>
        <w:t>licences</w:t>
      </w:r>
      <w:r w:rsidR="000D76A4" w:rsidRPr="00742FDE">
        <w:rPr>
          <w:rStyle w:val="ECCParagraph"/>
        </w:rPr>
        <w:t>, light licensing</w:t>
      </w:r>
      <w:r w:rsidRPr="00742FDE">
        <w:rPr>
          <w:rStyle w:val="ECCParagraph"/>
        </w:rPr>
        <w:t>, indoor licence), coexistence is manageable in the vicinity of the earth station inside the coordination zone</w:t>
      </w:r>
      <w:r w:rsidR="00B507A9" w:rsidRPr="00742FDE">
        <w:rPr>
          <w:rStyle w:val="ECCParagraph"/>
        </w:rPr>
        <w:t xml:space="preserve"> (</w:t>
      </w:r>
      <w:r w:rsidR="00823BA1" w:rsidRPr="00742FDE">
        <w:rPr>
          <w:rStyle w:val="ECCParagraph"/>
        </w:rPr>
        <w:t>in the order of</w:t>
      </w:r>
      <w:r w:rsidR="00D53130" w:rsidRPr="00742FDE">
        <w:rPr>
          <w:rStyle w:val="ECCParagraph"/>
        </w:rPr>
        <w:t xml:space="preserve"> </w:t>
      </w:r>
      <w:r w:rsidR="00931BD1" w:rsidRPr="00742FDE">
        <w:rPr>
          <w:rStyle w:val="ECCParagraph"/>
        </w:rPr>
        <w:t>4-70</w:t>
      </w:r>
      <w:r w:rsidR="00E80513" w:rsidRPr="00742FDE">
        <w:rPr>
          <w:rStyle w:val="ECCParagraph"/>
        </w:rPr>
        <w:t xml:space="preserve"> </w:t>
      </w:r>
      <w:r w:rsidR="00931BD1" w:rsidRPr="00742FDE">
        <w:rPr>
          <w:rStyle w:val="ECCParagraph"/>
        </w:rPr>
        <w:t>km with 48 dBm/200 MHz e.i.r.p.)</w:t>
      </w:r>
      <w:r w:rsidR="00FF6F3C" w:rsidRPr="00742FDE">
        <w:rPr>
          <w:rStyle w:val="ECCParagraph"/>
        </w:rPr>
        <w:t>;</w:t>
      </w:r>
    </w:p>
    <w:p w14:paraId="41273208" w14:textId="0167B397" w:rsidR="00E964AC" w:rsidRPr="00742FDE" w:rsidRDefault="003D291A" w:rsidP="00E964AC">
      <w:pPr>
        <w:pStyle w:val="ECCBulletsLv1"/>
      </w:pPr>
      <w:r w:rsidRPr="00742FDE">
        <w:rPr>
          <w:rStyle w:val="ECCParagraph"/>
        </w:rPr>
        <w:t xml:space="preserve">When the location of MFCN BS is not </w:t>
      </w:r>
      <w:r w:rsidR="00516D78" w:rsidRPr="00742FDE">
        <w:rPr>
          <w:rStyle w:val="ECCParagraph"/>
        </w:rPr>
        <w:t>known</w:t>
      </w:r>
      <w:r w:rsidRPr="00742FDE">
        <w:rPr>
          <w:rStyle w:val="ECCParagraph"/>
        </w:rPr>
        <w:t xml:space="preserve"> </w:t>
      </w:r>
      <w:r w:rsidRPr="00742FDE">
        <w:t>(general authorisation (including local general authorisation</w:t>
      </w:r>
      <w:r w:rsidR="00DB3640" w:rsidRPr="00742FDE">
        <w:t>)</w:t>
      </w:r>
      <w:r w:rsidRPr="00742FDE">
        <w:t xml:space="preserve">), </w:t>
      </w:r>
      <w:r w:rsidR="00DC447B" w:rsidRPr="00742FDE">
        <w:t>an</w:t>
      </w:r>
      <w:r w:rsidR="009F742C" w:rsidRPr="00742FDE">
        <w:t xml:space="preserve"> </w:t>
      </w:r>
      <w:r w:rsidRPr="00742FDE">
        <w:t>appropriate measure for ensuring the coexistence with EESS/SRS earth station is needed</w:t>
      </w:r>
      <w:r w:rsidRPr="00742FDE">
        <w:rPr>
          <w:rStyle w:val="ECCParagraph"/>
        </w:rPr>
        <w:t>.</w:t>
      </w:r>
      <w:r w:rsidR="0076393A" w:rsidRPr="00742FDE">
        <w:rPr>
          <w:rStyle w:val="ECCParagraph"/>
        </w:rPr>
        <w:t xml:space="preserve"> </w:t>
      </w:r>
      <w:r w:rsidRPr="00742FDE">
        <w:t>The following options could be considered</w:t>
      </w:r>
      <w:r w:rsidR="00E964AC" w:rsidRPr="00742FDE">
        <w:t>:</w:t>
      </w:r>
    </w:p>
    <w:p w14:paraId="6B7F8643" w14:textId="0261515F" w:rsidR="003D291A" w:rsidRPr="00742FDE" w:rsidRDefault="00273238" w:rsidP="00B41B64">
      <w:pPr>
        <w:pStyle w:val="ECCLetteredList"/>
        <w:rPr>
          <w:lang w:val="en-GB"/>
        </w:rPr>
      </w:pPr>
      <w:r w:rsidRPr="00742FDE">
        <w:rPr>
          <w:lang w:val="en-GB"/>
        </w:rPr>
        <w:t>A s</w:t>
      </w:r>
      <w:r w:rsidR="003D291A" w:rsidRPr="00742FDE">
        <w:rPr>
          <w:lang w:val="en-GB"/>
        </w:rPr>
        <w:t>haring solution</w:t>
      </w:r>
      <w:r w:rsidRPr="00742FDE">
        <w:rPr>
          <w:lang w:val="en-GB"/>
        </w:rPr>
        <w:t>, such as a cognitive solution with the use of database/geolocation</w:t>
      </w:r>
      <w:r w:rsidR="003D291A" w:rsidRPr="00742FDE">
        <w:rPr>
          <w:lang w:val="en-GB"/>
        </w:rPr>
        <w:t xml:space="preserve"> </w:t>
      </w:r>
      <w:r w:rsidR="00AE09B5" w:rsidRPr="00742FDE">
        <w:rPr>
          <w:lang w:val="en-GB"/>
        </w:rPr>
        <w:t>that ensure</w:t>
      </w:r>
      <w:r w:rsidR="00962C0C" w:rsidRPr="00742FDE">
        <w:rPr>
          <w:lang w:val="en-GB"/>
        </w:rPr>
        <w:t>s</w:t>
      </w:r>
      <w:r w:rsidR="0057132A" w:rsidRPr="00742FDE">
        <w:rPr>
          <w:lang w:val="en-GB"/>
        </w:rPr>
        <w:t xml:space="preserve"> that MFCN base stations are not within the coordination zones of EESS/SRS </w:t>
      </w:r>
      <w:r w:rsidR="00FB30DA" w:rsidRPr="00742FDE">
        <w:rPr>
          <w:lang w:val="en-GB"/>
        </w:rPr>
        <w:t>e</w:t>
      </w:r>
      <w:r w:rsidR="0057132A" w:rsidRPr="00742FDE">
        <w:rPr>
          <w:lang w:val="en-GB"/>
        </w:rPr>
        <w:t>arth stations</w:t>
      </w:r>
      <w:r w:rsidRPr="00742FDE">
        <w:rPr>
          <w:lang w:val="en-GB"/>
        </w:rPr>
        <w:t xml:space="preserve"> or that mitigations are applied,</w:t>
      </w:r>
      <w:r w:rsidR="0057132A" w:rsidRPr="00742FDE">
        <w:rPr>
          <w:lang w:val="en-GB"/>
        </w:rPr>
        <w:t xml:space="preserve"> </w:t>
      </w:r>
      <w:r w:rsidR="00173394" w:rsidRPr="00742FDE">
        <w:rPr>
          <w:lang w:val="en-GB"/>
        </w:rPr>
        <w:t>might be possible</w:t>
      </w:r>
      <w:r w:rsidR="003D291A" w:rsidRPr="00742FDE">
        <w:rPr>
          <w:lang w:val="en-GB"/>
        </w:rPr>
        <w:t>.</w:t>
      </w:r>
      <w:r w:rsidR="009F742C" w:rsidRPr="00742FDE">
        <w:rPr>
          <w:rStyle w:val="ECCParagraph"/>
        </w:rPr>
        <w:t xml:space="preserve"> Technical solutions to support implementation of database</w:t>
      </w:r>
      <w:r w:rsidR="00FF61D2" w:rsidRPr="00742FDE">
        <w:rPr>
          <w:rStyle w:val="ECCParagraph"/>
        </w:rPr>
        <w:t>s</w:t>
      </w:r>
      <w:r w:rsidR="009F742C" w:rsidRPr="00742FDE">
        <w:rPr>
          <w:rStyle w:val="ECCParagraph"/>
        </w:rPr>
        <w:t>/geolocation are emerging.</w:t>
      </w:r>
      <w:r w:rsidR="003B6FD7" w:rsidRPr="00742FDE">
        <w:rPr>
          <w:rStyle w:val="ECCParagraph"/>
        </w:rPr>
        <w:t xml:space="preserve"> However</w:t>
      </w:r>
      <w:r w:rsidR="009F742C" w:rsidRPr="00742FDE">
        <w:rPr>
          <w:rStyle w:val="ECCParagraph"/>
        </w:rPr>
        <w:t>, no studies</w:t>
      </w:r>
      <w:r w:rsidR="00FF61D2" w:rsidRPr="00742FDE">
        <w:rPr>
          <w:rStyle w:val="ECCParagraph"/>
        </w:rPr>
        <w:t xml:space="preserve"> or</w:t>
      </w:r>
      <w:r w:rsidR="009F742C" w:rsidRPr="00742FDE">
        <w:rPr>
          <w:rStyle w:val="ECCParagraph"/>
        </w:rPr>
        <w:t xml:space="preserve"> proposal</w:t>
      </w:r>
      <w:r w:rsidR="00FF61D2" w:rsidRPr="00742FDE">
        <w:rPr>
          <w:rStyle w:val="ECCParagraph"/>
        </w:rPr>
        <w:t>s</w:t>
      </w:r>
      <w:r w:rsidR="009F742C" w:rsidRPr="00742FDE">
        <w:rPr>
          <w:rStyle w:val="ECCParagraph"/>
        </w:rPr>
        <w:t xml:space="preserve"> </w:t>
      </w:r>
      <w:r w:rsidR="00FF61D2" w:rsidRPr="00742FDE">
        <w:rPr>
          <w:rStyle w:val="ECCParagraph"/>
        </w:rPr>
        <w:t>have</w:t>
      </w:r>
      <w:r w:rsidR="009F742C" w:rsidRPr="00742FDE">
        <w:rPr>
          <w:rStyle w:val="ECCParagraph"/>
        </w:rPr>
        <w:t xml:space="preserve"> been submitted in support </w:t>
      </w:r>
      <w:r w:rsidR="00FF61D2" w:rsidRPr="00742FDE">
        <w:rPr>
          <w:rStyle w:val="ECCParagraph"/>
        </w:rPr>
        <w:t>of</w:t>
      </w:r>
      <w:r w:rsidR="009F742C" w:rsidRPr="00742FDE">
        <w:rPr>
          <w:rStyle w:val="ECCParagraph"/>
        </w:rPr>
        <w:t xml:space="preserve"> this mode to access to spectrum</w:t>
      </w:r>
      <w:r w:rsidR="00384352" w:rsidRPr="00742FDE">
        <w:rPr>
          <w:rStyle w:val="ECCParagraph"/>
        </w:rPr>
        <w:t>.</w:t>
      </w:r>
    </w:p>
    <w:p w14:paraId="164EAC68" w14:textId="5C5180DC" w:rsidR="00CC05B3" w:rsidRPr="00742FDE" w:rsidRDefault="003D291A" w:rsidP="00B41B64">
      <w:pPr>
        <w:pStyle w:val="ECCLetteredList"/>
        <w:rPr>
          <w:lang w:val="en-GB"/>
        </w:rPr>
      </w:pPr>
      <w:r w:rsidRPr="00742FDE">
        <w:rPr>
          <w:lang w:val="en-GB"/>
        </w:rPr>
        <w:t xml:space="preserve">Limiting the general </w:t>
      </w:r>
      <w:bookmarkStart w:id="91" w:name="_Ref29957270"/>
      <w:r w:rsidR="00FF61D2" w:rsidRPr="00742FDE">
        <w:rPr>
          <w:lang w:val="en-GB"/>
        </w:rPr>
        <w:t>authorisation</w:t>
      </w:r>
      <w:r w:rsidRPr="00742FDE">
        <w:rPr>
          <w:rStyle w:val="FootnoteReference"/>
          <w:lang w:val="en-GB"/>
        </w:rPr>
        <w:footnoteReference w:id="2"/>
      </w:r>
      <w:bookmarkEnd w:id="91"/>
      <w:r w:rsidRPr="00742FDE">
        <w:rPr>
          <w:lang w:val="en-GB"/>
        </w:rPr>
        <w:t xml:space="preserve"> regime</w:t>
      </w:r>
      <w:r w:rsidR="006A0E6D" w:rsidRPr="00742FDE">
        <w:rPr>
          <w:lang w:val="en-GB"/>
        </w:rPr>
        <w:t xml:space="preserve"> to be used</w:t>
      </w:r>
      <w:r w:rsidRPr="00742FDE">
        <w:rPr>
          <w:lang w:val="en-GB"/>
        </w:rPr>
        <w:t xml:space="preserve"> outside the 25.5-27 GHz frequency band, where applicable. </w:t>
      </w:r>
    </w:p>
    <w:p w14:paraId="7A6136DB" w14:textId="59301F02" w:rsidR="008068F8" w:rsidRPr="00742FDE" w:rsidRDefault="00336183" w:rsidP="008200C4">
      <w:pPr>
        <w:rPr>
          <w:rStyle w:val="ECCParagraph"/>
        </w:rPr>
      </w:pPr>
      <w:r w:rsidRPr="00742FDE">
        <w:rPr>
          <w:rStyle w:val="ECCParagraph"/>
        </w:rPr>
        <w:t>In cases of interference</w:t>
      </w:r>
      <w:r w:rsidR="00962C0C" w:rsidRPr="00742FDE">
        <w:rPr>
          <w:rStyle w:val="ECCParagraph"/>
        </w:rPr>
        <w:t xml:space="preserve">, </w:t>
      </w:r>
      <w:r w:rsidR="008068F8" w:rsidRPr="00742FDE">
        <w:rPr>
          <w:rStyle w:val="ECCParagraph"/>
        </w:rPr>
        <w:t>mechanism</w:t>
      </w:r>
      <w:r w:rsidR="00962C0C" w:rsidRPr="00742FDE">
        <w:rPr>
          <w:rStyle w:val="ECCParagraph"/>
        </w:rPr>
        <w:t>s</w:t>
      </w:r>
      <w:r w:rsidR="008068F8" w:rsidRPr="00742FDE">
        <w:rPr>
          <w:rStyle w:val="ECCParagraph"/>
        </w:rPr>
        <w:t xml:space="preserve"> to change the technical operation of MFCN BS equipment (e.g. reduce transmit power or switch-off the base stations) in the vicinity of an earth station </w:t>
      </w:r>
      <w:r w:rsidR="00F93522" w:rsidRPr="00742FDE">
        <w:rPr>
          <w:rStyle w:val="ECCParagraph"/>
        </w:rPr>
        <w:t>could be implemented</w:t>
      </w:r>
      <w:r w:rsidR="008068F8" w:rsidRPr="00742FDE">
        <w:rPr>
          <w:rStyle w:val="ECCParagraph"/>
        </w:rPr>
        <w:t xml:space="preserve">. </w:t>
      </w:r>
      <w:r w:rsidR="00962C0C" w:rsidRPr="00742FDE">
        <w:rPr>
          <w:rStyle w:val="ECCParagraph"/>
        </w:rPr>
        <w:t xml:space="preserve">Such </w:t>
      </w:r>
      <w:r w:rsidR="008068F8" w:rsidRPr="00742FDE">
        <w:rPr>
          <w:rStyle w:val="ECCParagraph"/>
        </w:rPr>
        <w:t>mechanism</w:t>
      </w:r>
      <w:r w:rsidR="00962C0C" w:rsidRPr="00742FDE">
        <w:rPr>
          <w:rStyle w:val="ECCParagraph"/>
        </w:rPr>
        <w:t xml:space="preserve">s, which are </w:t>
      </w:r>
      <w:r w:rsidR="006A0E6D" w:rsidRPr="00742FDE">
        <w:rPr>
          <w:rStyle w:val="ECCParagraph"/>
        </w:rPr>
        <w:t xml:space="preserve">yet to be </w:t>
      </w:r>
      <w:r w:rsidR="00962C0C" w:rsidRPr="00742FDE">
        <w:rPr>
          <w:rStyle w:val="ECCParagraph"/>
        </w:rPr>
        <w:t>defined,</w:t>
      </w:r>
      <w:r w:rsidR="008068F8" w:rsidRPr="00742FDE">
        <w:rPr>
          <w:rStyle w:val="ECCParagraph"/>
        </w:rPr>
        <w:t xml:space="preserve"> </w:t>
      </w:r>
      <w:r w:rsidR="00EB14FB" w:rsidRPr="00742FDE">
        <w:rPr>
          <w:rStyle w:val="ECCParagraph"/>
        </w:rPr>
        <w:t xml:space="preserve">should </w:t>
      </w:r>
      <w:r w:rsidR="008068F8" w:rsidRPr="00742FDE">
        <w:rPr>
          <w:rStyle w:val="ECCParagraph"/>
        </w:rPr>
        <w:t xml:space="preserve">limit the duration </w:t>
      </w:r>
      <w:r w:rsidR="00962C0C" w:rsidRPr="00742FDE">
        <w:rPr>
          <w:rStyle w:val="ECCParagraph"/>
        </w:rPr>
        <w:t xml:space="preserve">and </w:t>
      </w:r>
      <w:r w:rsidR="0004018C" w:rsidRPr="00742FDE">
        <w:rPr>
          <w:rStyle w:val="ECCParagraph"/>
        </w:rPr>
        <w:t xml:space="preserve">impact </w:t>
      </w:r>
      <w:r w:rsidR="00962C0C" w:rsidRPr="00742FDE">
        <w:rPr>
          <w:rStyle w:val="ECCParagraph"/>
        </w:rPr>
        <w:t>of interference</w:t>
      </w:r>
      <w:r w:rsidR="0004018C" w:rsidRPr="00742FDE">
        <w:rPr>
          <w:rStyle w:val="ECCParagraph"/>
        </w:rPr>
        <w:t>.</w:t>
      </w:r>
    </w:p>
    <w:p w14:paraId="3C70175C" w14:textId="3C682364" w:rsidR="000120BE" w:rsidRPr="00742FDE" w:rsidRDefault="00CC05B3" w:rsidP="000120BE">
      <w:r w:rsidRPr="00742FDE">
        <w:t xml:space="preserve">The ECC Reports and Recommendations highlighted </w:t>
      </w:r>
      <w:r w:rsidR="00FF61D2" w:rsidRPr="00742FDE">
        <w:t xml:space="preserve">in previous sections </w:t>
      </w:r>
      <w:r w:rsidRPr="00742FDE">
        <w:t xml:space="preserve">provide some guidance and information while considering other authorisation </w:t>
      </w:r>
      <w:r w:rsidR="000E474F" w:rsidRPr="00742FDE">
        <w:t xml:space="preserve">regimes </w:t>
      </w:r>
      <w:r w:rsidRPr="00742FDE">
        <w:t xml:space="preserve">such as indoor </w:t>
      </w:r>
      <w:r w:rsidR="00FF61D2" w:rsidRPr="00742FDE">
        <w:t>licensing</w:t>
      </w:r>
      <w:r w:rsidRPr="00742FDE">
        <w:t>. For example, the ECC Recommendation</w:t>
      </w:r>
      <w:r w:rsidR="0034524C" w:rsidRPr="00742FDE">
        <w:t xml:space="preserve"> </w:t>
      </w:r>
      <w:r w:rsidRPr="00742FDE">
        <w:t>(19)01</w:t>
      </w:r>
      <w:r w:rsidR="00FF61D2" w:rsidRPr="00742FDE">
        <w:t xml:space="preserve"> </w:t>
      </w:r>
      <w:r w:rsidR="00FF61D2" w:rsidRPr="00742FDE">
        <w:fldChar w:fldCharType="begin"/>
      </w:r>
      <w:r w:rsidR="00FF61D2" w:rsidRPr="00742FDE">
        <w:instrText xml:space="preserve"> REF _Ref32245247 \r \h </w:instrText>
      </w:r>
      <w:r w:rsidR="00FF61D2" w:rsidRPr="00742FDE">
        <w:fldChar w:fldCharType="separate"/>
      </w:r>
      <w:r w:rsidR="00DE566A">
        <w:t>[4]</w:t>
      </w:r>
      <w:r w:rsidR="00FF61D2" w:rsidRPr="00742FDE">
        <w:fldChar w:fldCharType="end"/>
      </w:r>
      <w:r w:rsidRPr="00742FDE">
        <w:t xml:space="preserve"> provides some guidance on defining the coordination zone around the EESS/SRS earth station. Requests for indoor licences can be refused within the coordination zone or </w:t>
      </w:r>
      <w:r w:rsidR="00FF61D2" w:rsidRPr="00742FDE">
        <w:t xml:space="preserve">within </w:t>
      </w:r>
      <w:r w:rsidRPr="00742FDE">
        <w:t>a predetermined radius around the EESS/SRS earth stations in the 25.5-</w:t>
      </w:r>
      <w:r w:rsidR="00274DD2" w:rsidRPr="00742FDE">
        <w:t>27</w:t>
      </w:r>
      <w:r w:rsidRPr="00742FDE">
        <w:t xml:space="preserve"> GHz band</w:t>
      </w:r>
      <w:r w:rsidR="00BF3C88" w:rsidRPr="00742FDE">
        <w:t>.</w:t>
      </w:r>
    </w:p>
    <w:p w14:paraId="58EFA7B4" w14:textId="286A3F4F" w:rsidR="00F20838" w:rsidRPr="00742FDE" w:rsidRDefault="00CC05B3" w:rsidP="00F20838">
      <w:pPr>
        <w:pStyle w:val="Heading3"/>
        <w:rPr>
          <w:rFonts w:eastAsia="Calibri"/>
          <w:lang w:val="en-GB"/>
        </w:rPr>
      </w:pPr>
      <w:bookmarkStart w:id="92" w:name="_Toc32403284"/>
      <w:bookmarkStart w:id="93" w:name="_Toc32403320"/>
      <w:bookmarkStart w:id="94" w:name="_Toc32403285"/>
      <w:bookmarkStart w:id="95" w:name="_Toc32403321"/>
      <w:bookmarkStart w:id="96" w:name="_Toc37256364"/>
      <w:bookmarkStart w:id="97" w:name="_Toc32403322"/>
      <w:bookmarkStart w:id="98" w:name="_Toc45610652"/>
      <w:bookmarkEnd w:id="92"/>
      <w:bookmarkEnd w:id="93"/>
      <w:bookmarkEnd w:id="94"/>
      <w:bookmarkEnd w:id="95"/>
      <w:r w:rsidRPr="00742FDE">
        <w:rPr>
          <w:rFonts w:eastAsia="Calibri"/>
          <w:lang w:val="en-GB"/>
        </w:rPr>
        <w:t>Transmitting FSS earth stations</w:t>
      </w:r>
      <w:bookmarkEnd w:id="96"/>
      <w:bookmarkEnd w:id="97"/>
      <w:bookmarkEnd w:id="98"/>
    </w:p>
    <w:p w14:paraId="7D01886B" w14:textId="3E46E833" w:rsidR="00CB3EE5" w:rsidRPr="00742FDE" w:rsidRDefault="00CB3EE5" w:rsidP="00CB3EE5">
      <w:r w:rsidRPr="00742FDE">
        <w:t xml:space="preserve">Concerning </w:t>
      </w:r>
      <w:r w:rsidR="001B523D" w:rsidRPr="00742FDE">
        <w:t xml:space="preserve">transmitting </w:t>
      </w:r>
      <w:r w:rsidRPr="00742FDE">
        <w:t>FSS satellite earth stations, the number of these earth stations (with a minimum antenna diameter of 4.5 m) would be limited</w:t>
      </w:r>
      <w:r w:rsidR="00C24A03" w:rsidRPr="00742FDE">
        <w:t>.</w:t>
      </w:r>
      <w:r w:rsidRPr="00742FDE">
        <w:t xml:space="preserve"> </w:t>
      </w:r>
      <w:r w:rsidR="00CB7BAD" w:rsidRPr="00742FDE">
        <w:rPr>
          <w:rStyle w:val="ECCParagraph"/>
        </w:rPr>
        <w:t xml:space="preserve">Studies show separation distances between </w:t>
      </w:r>
      <w:r w:rsidR="007C3850" w:rsidRPr="00742FDE">
        <w:rPr>
          <w:rStyle w:val="ECCParagraph"/>
        </w:rPr>
        <w:t>MFCN</w:t>
      </w:r>
      <w:r w:rsidR="00CB7BAD" w:rsidRPr="00742FDE">
        <w:rPr>
          <w:rStyle w:val="ECCParagraph"/>
        </w:rPr>
        <w:t xml:space="preserve"> base stations and</w:t>
      </w:r>
      <w:r w:rsidR="0071222E" w:rsidRPr="00742FDE">
        <w:rPr>
          <w:rStyle w:val="ECCParagraph"/>
        </w:rPr>
        <w:t xml:space="preserve"> </w:t>
      </w:r>
      <w:r w:rsidR="00274DD2" w:rsidRPr="00742FDE">
        <w:rPr>
          <w:rStyle w:val="ECCParagraph"/>
        </w:rPr>
        <w:t>that the coordination zones around</w:t>
      </w:r>
      <w:r w:rsidR="00CB7BAD" w:rsidRPr="00742FDE">
        <w:rPr>
          <w:rStyle w:val="ECCParagraph"/>
        </w:rPr>
        <w:t xml:space="preserve"> FSS </w:t>
      </w:r>
      <w:r w:rsidR="00FF6F3C" w:rsidRPr="00742FDE">
        <w:rPr>
          <w:rStyle w:val="ECCParagraph"/>
        </w:rPr>
        <w:t>e</w:t>
      </w:r>
      <w:r w:rsidR="00CB7BAD" w:rsidRPr="00742FDE">
        <w:rPr>
          <w:rStyle w:val="ECCParagraph"/>
        </w:rPr>
        <w:t>arth stations are from less than 100 m up to 10 km.</w:t>
      </w:r>
    </w:p>
    <w:p w14:paraId="3EDB5D84" w14:textId="0EA06924" w:rsidR="001E5678" w:rsidRPr="00742FDE" w:rsidRDefault="00CB3EE5" w:rsidP="001E5678">
      <w:r w:rsidRPr="00742FDE">
        <w:rPr>
          <w:rStyle w:val="ECCParagraph"/>
        </w:rPr>
        <w:t xml:space="preserve">Therefore, </w:t>
      </w:r>
      <w:r w:rsidR="00024EF9" w:rsidRPr="00742FDE">
        <w:rPr>
          <w:rStyle w:val="ECCParagraph"/>
        </w:rPr>
        <w:t xml:space="preserve">by applying </w:t>
      </w:r>
      <w:r w:rsidRPr="00742FDE">
        <w:rPr>
          <w:rStyle w:val="ECCParagraph"/>
        </w:rPr>
        <w:t xml:space="preserve">the </w:t>
      </w:r>
      <w:r w:rsidR="00C16888" w:rsidRPr="00742FDE">
        <w:rPr>
          <w:rStyle w:val="ECCParagraph"/>
        </w:rPr>
        <w:t xml:space="preserve">MFCN </w:t>
      </w:r>
      <w:r w:rsidR="00FF61D2" w:rsidRPr="00742FDE">
        <w:rPr>
          <w:rStyle w:val="ECCParagraph"/>
        </w:rPr>
        <w:t xml:space="preserve">authorisation </w:t>
      </w:r>
      <w:r w:rsidR="00E964AC" w:rsidRPr="00742FDE">
        <w:rPr>
          <w:rStyle w:val="ECCParagraph"/>
        </w:rPr>
        <w:t>regimes as described above</w:t>
      </w:r>
      <w:r w:rsidR="00FF61D2" w:rsidRPr="00742FDE">
        <w:rPr>
          <w:rStyle w:val="ECCParagraph"/>
        </w:rPr>
        <w:t>,</w:t>
      </w:r>
      <w:r w:rsidRPr="00742FDE">
        <w:rPr>
          <w:rStyle w:val="ECCParagraph"/>
        </w:rPr>
        <w:t xml:space="preserve"> </w:t>
      </w:r>
      <w:r w:rsidR="00024EF9" w:rsidRPr="00742FDE">
        <w:rPr>
          <w:rStyle w:val="ECCParagraph"/>
        </w:rPr>
        <w:t xml:space="preserve">it </w:t>
      </w:r>
      <w:r w:rsidRPr="00742FDE">
        <w:rPr>
          <w:rStyle w:val="ECCParagraph"/>
        </w:rPr>
        <w:t>should</w:t>
      </w:r>
      <w:r w:rsidR="003A0E1A" w:rsidRPr="00742FDE">
        <w:rPr>
          <w:rStyle w:val="ECCParagraph"/>
        </w:rPr>
        <w:t xml:space="preserve"> be </w:t>
      </w:r>
      <w:proofErr w:type="gramStart"/>
      <w:r w:rsidR="00024EF9" w:rsidRPr="00742FDE">
        <w:rPr>
          <w:rStyle w:val="ECCParagraph"/>
        </w:rPr>
        <w:t>taken into account</w:t>
      </w:r>
      <w:proofErr w:type="gramEnd"/>
      <w:r w:rsidRPr="00742FDE">
        <w:rPr>
          <w:rStyle w:val="ECCParagraph"/>
        </w:rPr>
        <w:t xml:space="preserve"> that there is</w:t>
      </w:r>
      <w:r w:rsidR="00C16888" w:rsidRPr="00742FDE">
        <w:rPr>
          <w:rStyle w:val="ECCParagraph"/>
        </w:rPr>
        <w:t xml:space="preserve"> </w:t>
      </w:r>
      <w:r w:rsidR="005A197F" w:rsidRPr="00742FDE">
        <w:rPr>
          <w:rStyle w:val="ECCParagraph"/>
        </w:rPr>
        <w:t>potential</w:t>
      </w:r>
      <w:r w:rsidRPr="00742FDE">
        <w:rPr>
          <w:rStyle w:val="ECCParagraph"/>
        </w:rPr>
        <w:t xml:space="preserve"> interference from FSS </w:t>
      </w:r>
      <w:r w:rsidR="006248B3" w:rsidRPr="00742FDE">
        <w:rPr>
          <w:rStyle w:val="ECCParagraph"/>
        </w:rPr>
        <w:t xml:space="preserve">transmitting </w:t>
      </w:r>
      <w:r w:rsidRPr="00742FDE">
        <w:rPr>
          <w:rStyle w:val="ECCParagraph"/>
        </w:rPr>
        <w:t>earth stations in the band 24.65-25.25 GHz</w:t>
      </w:r>
      <w:r w:rsidR="00CB7BAD" w:rsidRPr="00742FDE">
        <w:rPr>
          <w:rStyle w:val="ECCParagraph"/>
        </w:rPr>
        <w:t>.</w:t>
      </w:r>
      <w:r w:rsidR="00CB7BAD" w:rsidRPr="00742FDE">
        <w:t xml:space="preserve"> </w:t>
      </w:r>
      <w:r w:rsidR="001E5678" w:rsidRPr="00742FDE">
        <w:t>It would be sufficient to rely on the provision that equipment operating under authorisation regime</w:t>
      </w:r>
      <w:r w:rsidR="00FF61D2" w:rsidRPr="00742FDE">
        <w:t>s</w:t>
      </w:r>
      <w:r w:rsidR="001E5678" w:rsidRPr="00742FDE">
        <w:t xml:space="preserve"> other than those where the BS</w:t>
      </w:r>
      <w:r w:rsidR="00822AFB" w:rsidRPr="00742FDE">
        <w:rPr>
          <w:rStyle w:val="ECCParagraph"/>
        </w:rPr>
        <w:t>s</w:t>
      </w:r>
      <w:r w:rsidR="001E5678" w:rsidRPr="00742FDE">
        <w:t xml:space="preserve"> are registered</w:t>
      </w:r>
      <w:r w:rsidR="00FF61D2" w:rsidRPr="00742FDE">
        <w:t xml:space="preserve"> </w:t>
      </w:r>
      <w:r w:rsidR="00CD26C7" w:rsidRPr="00742FDE">
        <w:rPr>
          <w:rStyle w:val="ECCParagraph"/>
        </w:rPr>
        <w:t>(or location known)</w:t>
      </w:r>
      <w:r w:rsidR="00CD26C7" w:rsidRPr="00742FDE">
        <w:t xml:space="preserve"> </w:t>
      </w:r>
      <w:r w:rsidR="00FF61D2" w:rsidRPr="00742FDE">
        <w:t>(</w:t>
      </w:r>
      <w:r w:rsidR="001E5678" w:rsidRPr="00742FDE">
        <w:t xml:space="preserve">i.e. general authorisation) are on a non-protection basis. However, it has to be </w:t>
      </w:r>
      <w:r w:rsidR="00FF61D2" w:rsidRPr="00742FDE">
        <w:t xml:space="preserve">recognised </w:t>
      </w:r>
      <w:r w:rsidR="001E5678" w:rsidRPr="00742FDE">
        <w:t>that certain 5G applications (e</w:t>
      </w:r>
      <w:r w:rsidR="00405EB1" w:rsidRPr="00742FDE">
        <w:t>.</w:t>
      </w:r>
      <w:r w:rsidR="001E5678" w:rsidRPr="00742FDE">
        <w:t>g</w:t>
      </w:r>
      <w:r w:rsidR="00405EB1" w:rsidRPr="00742FDE">
        <w:t>.</w:t>
      </w:r>
      <w:r w:rsidR="001E5678" w:rsidRPr="00742FDE">
        <w:t xml:space="preserve"> verticals) </w:t>
      </w:r>
      <w:r w:rsidR="00D615D6" w:rsidRPr="00742FDE">
        <w:t>refer to protection requirements that could impact the authorisation regime to be implemented</w:t>
      </w:r>
      <w:r w:rsidR="00FF61D2" w:rsidRPr="00742FDE">
        <w:t>.</w:t>
      </w:r>
    </w:p>
    <w:p w14:paraId="01042613" w14:textId="02228D3F" w:rsidR="00CB3EE5" w:rsidRPr="00742FDE" w:rsidRDefault="00CB3EE5" w:rsidP="00CB3EE5">
      <w:r w:rsidRPr="00742FDE">
        <w:lastRenderedPageBreak/>
        <w:t>The following Recommendation is relevant: ECC Recommendation (20)01 “Guidelines to support the introduction of 5G while ensuring, in a proportionate way, the use of existing and planned FSS transmitting earth stations in the frequency band 24.65-25.25 GHz and the possibility for future deployment of these earth stations”</w:t>
      </w:r>
      <w:r w:rsidR="00FF61D2" w:rsidRPr="00742FDE">
        <w:t xml:space="preserve"> </w:t>
      </w:r>
      <w:r w:rsidR="00FF61D2" w:rsidRPr="00742FDE">
        <w:fldChar w:fldCharType="begin"/>
      </w:r>
      <w:r w:rsidR="00FF61D2" w:rsidRPr="00742FDE">
        <w:instrText xml:space="preserve"> REF _Ref32245251 \r \h </w:instrText>
      </w:r>
      <w:r w:rsidR="00FF61D2" w:rsidRPr="00742FDE">
        <w:fldChar w:fldCharType="separate"/>
      </w:r>
      <w:r w:rsidR="00DE566A">
        <w:t>[5]</w:t>
      </w:r>
      <w:r w:rsidR="00FF61D2" w:rsidRPr="00742FDE">
        <w:fldChar w:fldCharType="end"/>
      </w:r>
      <w:r w:rsidR="00A74149" w:rsidRPr="00742FDE">
        <w:t xml:space="preserve">. </w:t>
      </w:r>
      <w:r w:rsidR="003369B4" w:rsidRPr="00742FDE">
        <w:t>This provides guidance to administrations on the calculation of coordination zones and coordination contours around transmitting FSS earth stations</w:t>
      </w:r>
      <w:r w:rsidR="002B5411" w:rsidRPr="00742FDE">
        <w:t xml:space="preserve"> in efforts to </w:t>
      </w:r>
      <w:r w:rsidR="00B32FD0" w:rsidRPr="00742FDE">
        <w:t>minimise the risk</w:t>
      </w:r>
      <w:r w:rsidR="00D93517" w:rsidRPr="00742FDE">
        <w:t xml:space="preserve"> of</w:t>
      </w:r>
      <w:r w:rsidR="002B5411" w:rsidRPr="00742FDE">
        <w:t xml:space="preserve"> interference to MFCN</w:t>
      </w:r>
      <w:r w:rsidR="00D93517" w:rsidRPr="00742FDE">
        <w:t xml:space="preserve"> in the same frequency band</w:t>
      </w:r>
      <w:r w:rsidR="007A7B5F" w:rsidRPr="00742FDE">
        <w:t>.</w:t>
      </w:r>
      <w:r w:rsidR="003369B4" w:rsidRPr="00742FDE">
        <w:t xml:space="preserve"> </w:t>
      </w:r>
      <w:r w:rsidR="00A74149" w:rsidRPr="00742FDE">
        <w:t>This Recommendation could also be considered</w:t>
      </w:r>
      <w:r w:rsidR="00F10F5D" w:rsidRPr="00742FDE">
        <w:t xml:space="preserve"> for different authorisation regimes</w:t>
      </w:r>
      <w:r w:rsidR="003639DE" w:rsidRPr="00742FDE">
        <w:t>.</w:t>
      </w:r>
    </w:p>
    <w:p w14:paraId="223034E6" w14:textId="03FCFEC6" w:rsidR="00D6186B" w:rsidRPr="00742FDE" w:rsidRDefault="00C753EB" w:rsidP="00D6186B">
      <w:bookmarkStart w:id="99" w:name="_Hlk26950060"/>
      <w:r w:rsidRPr="00742FDE">
        <w:t xml:space="preserve">It is expected that there is a low risk of interference from </w:t>
      </w:r>
      <w:r w:rsidR="00F127BD" w:rsidRPr="00742FDE">
        <w:t xml:space="preserve">transmitting </w:t>
      </w:r>
      <w:r w:rsidRPr="00742FDE">
        <w:t xml:space="preserve">FSS </w:t>
      </w:r>
      <w:r w:rsidR="00FF6F3C" w:rsidRPr="00742FDE">
        <w:t>e</w:t>
      </w:r>
      <w:r w:rsidRPr="00742FDE">
        <w:t xml:space="preserve">arth stations to </w:t>
      </w:r>
      <w:r w:rsidR="002B16F7" w:rsidRPr="00742FDE">
        <w:t xml:space="preserve">indoor </w:t>
      </w:r>
      <w:r w:rsidRPr="00742FDE">
        <w:t xml:space="preserve">MFCN </w:t>
      </w:r>
      <w:r w:rsidR="002B16F7" w:rsidRPr="00742FDE">
        <w:t>base stations</w:t>
      </w:r>
      <w:r w:rsidRPr="00742FDE">
        <w:t xml:space="preserve">. </w:t>
      </w:r>
      <w:r w:rsidR="00F127BD" w:rsidRPr="00742FDE">
        <w:t xml:space="preserve">However, the impact to transmitting FSS </w:t>
      </w:r>
      <w:r w:rsidR="00FF6F3C" w:rsidRPr="00742FDE">
        <w:t>e</w:t>
      </w:r>
      <w:r w:rsidR="00F127BD" w:rsidRPr="00742FDE">
        <w:t>arth stations may need to be considered on a national basis (see ECC Recommendation (20)01).</w:t>
      </w:r>
      <w:bookmarkEnd w:id="99"/>
    </w:p>
    <w:p w14:paraId="2E6A268F" w14:textId="77777777" w:rsidR="00F20838" w:rsidRPr="00742FDE" w:rsidRDefault="00F20838" w:rsidP="00F77DA6">
      <w:pPr>
        <w:pStyle w:val="Heading2"/>
        <w:rPr>
          <w:lang w:val="en-GB"/>
        </w:rPr>
      </w:pPr>
      <w:bookmarkStart w:id="100" w:name="_Toc37256365"/>
      <w:bookmarkStart w:id="101" w:name="_Toc32403323"/>
      <w:bookmarkStart w:id="102" w:name="_Toc45610653"/>
      <w:r w:rsidRPr="00742FDE">
        <w:rPr>
          <w:lang w:val="en-GB"/>
        </w:rPr>
        <w:t>F</w:t>
      </w:r>
      <w:r w:rsidR="00040CC1" w:rsidRPr="00742FDE">
        <w:rPr>
          <w:lang w:val="en-GB"/>
        </w:rPr>
        <w:t>ixed services</w:t>
      </w:r>
      <w:bookmarkEnd w:id="100"/>
      <w:bookmarkEnd w:id="101"/>
      <w:bookmarkEnd w:id="102"/>
    </w:p>
    <w:p w14:paraId="39560EF8" w14:textId="35181940" w:rsidR="006502BD" w:rsidRPr="00742FDE" w:rsidRDefault="006502BD" w:rsidP="006502BD">
      <w:r w:rsidRPr="00742FDE">
        <w:t>Fixed services</w:t>
      </w:r>
      <w:r w:rsidR="003A3F08" w:rsidRPr="00742FDE">
        <w:t xml:space="preserve"> (FS)</w:t>
      </w:r>
      <w:r w:rsidRPr="00742FDE">
        <w:t xml:space="preserve"> are subject to national authorisations which vary in terms of duration. In some cases, authorisations could have</w:t>
      </w:r>
      <w:r w:rsidR="00BE45CF" w:rsidRPr="00742FDE">
        <w:t xml:space="preserve"> </w:t>
      </w:r>
      <w:r w:rsidR="00FF61D2" w:rsidRPr="00742FDE">
        <w:t xml:space="preserve">a </w:t>
      </w:r>
      <w:r w:rsidR="00E2386A" w:rsidRPr="00742FDE">
        <w:t>very long licen</w:t>
      </w:r>
      <w:r w:rsidR="00BE45CF" w:rsidRPr="00742FDE">
        <w:t>sing term</w:t>
      </w:r>
      <w:r w:rsidRPr="00742FDE">
        <w:t>. Besides this authorisation, national coordination process</w:t>
      </w:r>
      <w:r w:rsidR="00FF61D2" w:rsidRPr="00742FDE">
        <w:t>es</w:t>
      </w:r>
      <w:r w:rsidRPr="00742FDE">
        <w:t xml:space="preserve"> and bi</w:t>
      </w:r>
      <w:r w:rsidR="00B57C76" w:rsidRPr="00742FDE">
        <w:t xml:space="preserve">lateral or </w:t>
      </w:r>
      <w:r w:rsidRPr="00742FDE">
        <w:t>multilateral cross-border coordination are in place.</w:t>
      </w:r>
    </w:p>
    <w:p w14:paraId="358923D3" w14:textId="439718F7" w:rsidR="006502BD" w:rsidRPr="00742FDE" w:rsidRDefault="00970234" w:rsidP="006502BD">
      <w:r w:rsidRPr="00742FDE">
        <w:t>National coordination might be needed to manage</w:t>
      </w:r>
      <w:r w:rsidR="006502BD" w:rsidRPr="00742FDE">
        <w:t xml:space="preserve"> the incumbent FS while introducing </w:t>
      </w:r>
      <w:r w:rsidR="00E45B16" w:rsidRPr="00742FDE">
        <w:t xml:space="preserve">MFCN </w:t>
      </w:r>
      <w:r w:rsidR="006502BD" w:rsidRPr="00742FDE">
        <w:t>systems in the 24.25-27.5 GHz band</w:t>
      </w:r>
      <w:r w:rsidR="003334BC" w:rsidRPr="00742FDE">
        <w:t xml:space="preserve"> for </w:t>
      </w:r>
      <w:r w:rsidR="00E45B16" w:rsidRPr="00742FDE">
        <w:t xml:space="preserve">a </w:t>
      </w:r>
      <w:r w:rsidR="003334BC" w:rsidRPr="00742FDE">
        <w:t xml:space="preserve">certain </w:t>
      </w:r>
      <w:r w:rsidR="00FF61D2" w:rsidRPr="00742FDE">
        <w:t xml:space="preserve">authorisation </w:t>
      </w:r>
      <w:r w:rsidR="000E474F" w:rsidRPr="00742FDE">
        <w:t>regime</w:t>
      </w:r>
      <w:r w:rsidR="006502BD" w:rsidRPr="00742FDE">
        <w:t xml:space="preserve">. Various approaches or a combination </w:t>
      </w:r>
      <w:r w:rsidR="009D26F6" w:rsidRPr="00742FDE">
        <w:t>there</w:t>
      </w:r>
      <w:r w:rsidR="006502BD" w:rsidRPr="00742FDE">
        <w:t xml:space="preserve">of could be considered to manage co-channel or adjacent channel coexistence between </w:t>
      </w:r>
      <w:r w:rsidR="00E45B16" w:rsidRPr="00742FDE">
        <w:t xml:space="preserve">MFCN </w:t>
      </w:r>
      <w:r w:rsidR="006502BD" w:rsidRPr="00742FDE">
        <w:t>and FS at 26 GHz</w:t>
      </w:r>
      <w:r w:rsidRPr="00742FDE">
        <w:t>, e.g.</w:t>
      </w:r>
      <w:r w:rsidR="006502BD" w:rsidRPr="00742FDE">
        <w:t xml:space="preserve"> separation in space, separation in frequency, separation in angle.</w:t>
      </w:r>
    </w:p>
    <w:p w14:paraId="6930266C" w14:textId="69F4AD5F" w:rsidR="001E5678" w:rsidRPr="00742FDE" w:rsidRDefault="001E5678" w:rsidP="001E5678">
      <w:r w:rsidRPr="00742FDE">
        <w:t xml:space="preserve">Such national coordination between fixed services and </w:t>
      </w:r>
      <w:r w:rsidR="00E45B16" w:rsidRPr="00742FDE">
        <w:t xml:space="preserve">MFCN </w:t>
      </w:r>
      <w:r w:rsidRPr="00742FDE">
        <w:t xml:space="preserve">is manageable </w:t>
      </w:r>
      <w:r w:rsidR="00FF61D2" w:rsidRPr="00742FDE">
        <w:t xml:space="preserve">where </w:t>
      </w:r>
      <w:r w:rsidR="00531468" w:rsidRPr="00742FDE">
        <w:t>the</w:t>
      </w:r>
      <w:r w:rsidRPr="00742FDE">
        <w:t xml:space="preserve"> location of MFCN BS is registered (local authorisation, light licensing (</w:t>
      </w:r>
      <w:r w:rsidR="00970234" w:rsidRPr="00742FDE">
        <w:t>Option 1</w:t>
      </w:r>
      <w:r w:rsidRPr="00742FDE">
        <w:t>)).</w:t>
      </w:r>
    </w:p>
    <w:p w14:paraId="773EF617" w14:textId="15308890" w:rsidR="002E37DB" w:rsidRPr="00742FDE" w:rsidRDefault="00C765B8" w:rsidP="00F30F11">
      <w:r w:rsidRPr="00742FDE">
        <w:t>ECC Report 303</w:t>
      </w:r>
      <w:r w:rsidR="00FF61D2" w:rsidRPr="00742FDE">
        <w:t xml:space="preserve"> </w:t>
      </w:r>
      <w:r w:rsidR="00FF61D2" w:rsidRPr="00742FDE">
        <w:fldChar w:fldCharType="begin"/>
      </w:r>
      <w:r w:rsidR="00FF61D2" w:rsidRPr="00742FDE">
        <w:instrText xml:space="preserve"> REF _Ref32245256 \r \h </w:instrText>
      </w:r>
      <w:r w:rsidR="00FF61D2" w:rsidRPr="00742FDE">
        <w:fldChar w:fldCharType="separate"/>
      </w:r>
      <w:r w:rsidR="00DE566A">
        <w:t>[6]</w:t>
      </w:r>
      <w:r w:rsidR="00FF61D2" w:rsidRPr="00742FDE">
        <w:fldChar w:fldCharType="end"/>
      </w:r>
      <w:r w:rsidRPr="00742FDE">
        <w:t xml:space="preserve"> provides guidance to administrations for coexistence between 5G and </w:t>
      </w:r>
      <w:r w:rsidR="00531468" w:rsidRPr="00742FDE">
        <w:t>f</w:t>
      </w:r>
      <w:r w:rsidRPr="00742FDE">
        <w:t xml:space="preserve">ixed </w:t>
      </w:r>
      <w:r w:rsidR="00531468" w:rsidRPr="00742FDE">
        <w:t>l</w:t>
      </w:r>
      <w:r w:rsidRPr="00742FDE">
        <w:t>inks in the 26</w:t>
      </w:r>
      <w:r w:rsidR="00B44DC6" w:rsidRPr="00742FDE">
        <w:t> </w:t>
      </w:r>
      <w:r w:rsidRPr="00742FDE">
        <w:t>GHz frequency band.</w:t>
      </w:r>
    </w:p>
    <w:p w14:paraId="4573D009" w14:textId="50A7607B" w:rsidR="00F30F11" w:rsidRPr="00742FDE" w:rsidRDefault="00C765B8" w:rsidP="00F30F11">
      <w:r w:rsidRPr="00742FDE">
        <w:t xml:space="preserve">It is expected that there is a low risk of interference to </w:t>
      </w:r>
      <w:r w:rsidR="00531468" w:rsidRPr="00742FDE">
        <w:t>f</w:t>
      </w:r>
      <w:r w:rsidRPr="00742FDE">
        <w:t xml:space="preserve">ixed </w:t>
      </w:r>
      <w:r w:rsidR="00531468" w:rsidRPr="00742FDE">
        <w:t>l</w:t>
      </w:r>
      <w:r w:rsidRPr="00742FDE">
        <w:t>ink services with an indoor-only approach. However, the impact to fixed links may need to be analysed on a national basis.</w:t>
      </w:r>
      <w:r w:rsidR="00F30F11" w:rsidRPr="00742FDE">
        <w:t xml:space="preserve"> </w:t>
      </w:r>
    </w:p>
    <w:p w14:paraId="0700B088" w14:textId="6AAC0B26" w:rsidR="00F20838" w:rsidRPr="00742FDE" w:rsidRDefault="00040CC1" w:rsidP="00F77DA6">
      <w:pPr>
        <w:pStyle w:val="Heading2"/>
        <w:rPr>
          <w:lang w:val="en-GB"/>
        </w:rPr>
      </w:pPr>
      <w:bookmarkStart w:id="103" w:name="_Toc37256366"/>
      <w:bookmarkStart w:id="104" w:name="_Toc32403324"/>
      <w:bookmarkStart w:id="105" w:name="_Toc45610654"/>
      <w:r w:rsidRPr="00742FDE">
        <w:rPr>
          <w:lang w:val="en-GB"/>
        </w:rPr>
        <w:t>FSS satellite and data relay satellite</w:t>
      </w:r>
      <w:r w:rsidR="00F20838" w:rsidRPr="00742FDE">
        <w:rPr>
          <w:lang w:val="en-GB"/>
        </w:rPr>
        <w:t xml:space="preserve"> </w:t>
      </w:r>
      <w:r w:rsidRPr="00742FDE">
        <w:rPr>
          <w:lang w:val="en-GB"/>
        </w:rPr>
        <w:t>systems</w:t>
      </w:r>
      <w:bookmarkEnd w:id="103"/>
      <w:bookmarkEnd w:id="104"/>
      <w:bookmarkEnd w:id="105"/>
    </w:p>
    <w:p w14:paraId="2ED09621" w14:textId="2816F800" w:rsidR="00B635B9" w:rsidRPr="00742FDE" w:rsidRDefault="00C27C2E" w:rsidP="00EC170F">
      <w:pPr>
        <w:rPr>
          <w:rStyle w:val="ECCParagraph"/>
        </w:rPr>
      </w:pPr>
      <w:bookmarkStart w:id="106" w:name="_Ref514761435"/>
      <w:r w:rsidRPr="00742FDE">
        <w:rPr>
          <w:rStyle w:val="ECCParagraph"/>
        </w:rPr>
        <w:t>Sharing studies carried out in the preparations for WRC-19</w:t>
      </w:r>
      <w:r w:rsidR="00002FBB" w:rsidRPr="00742FDE">
        <w:rPr>
          <w:rStyle w:val="ECCParagraph"/>
        </w:rPr>
        <w:t>, based on IMT-2020 parameters and assumptions</w:t>
      </w:r>
      <w:r w:rsidR="0049696D" w:rsidRPr="00742FDE">
        <w:rPr>
          <w:rStyle w:val="ECCParagraph"/>
        </w:rPr>
        <w:t xml:space="preserve"> provided by </w:t>
      </w:r>
      <w:r w:rsidR="007C3850" w:rsidRPr="00742FDE">
        <w:rPr>
          <w:rStyle w:val="ECCParagraph"/>
        </w:rPr>
        <w:t xml:space="preserve">the </w:t>
      </w:r>
      <w:r w:rsidR="0049696D" w:rsidRPr="00742FDE">
        <w:rPr>
          <w:rStyle w:val="ECCParagraph"/>
        </w:rPr>
        <w:t>relevant ITU</w:t>
      </w:r>
      <w:r w:rsidR="003A3F08" w:rsidRPr="00742FDE">
        <w:rPr>
          <w:rStyle w:val="ECCParagraph"/>
        </w:rPr>
        <w:t xml:space="preserve">-R study </w:t>
      </w:r>
      <w:r w:rsidR="0049696D" w:rsidRPr="00742FDE">
        <w:rPr>
          <w:rStyle w:val="ECCParagraph"/>
        </w:rPr>
        <w:t>group,</w:t>
      </w:r>
      <w:r w:rsidRPr="00742FDE">
        <w:rPr>
          <w:rStyle w:val="ECCParagraph"/>
        </w:rPr>
        <w:t xml:space="preserve"> have shown that Fixed</w:t>
      </w:r>
      <w:r w:rsidR="00531468" w:rsidRPr="00742FDE">
        <w:rPr>
          <w:rStyle w:val="ECCParagraph"/>
        </w:rPr>
        <w:t xml:space="preserve"> </w:t>
      </w:r>
      <w:r w:rsidRPr="00742FDE">
        <w:rPr>
          <w:rStyle w:val="ECCParagraph"/>
        </w:rPr>
        <w:t>Satellite Service (FSS) and Data Relay Satellite systems would be protected</w:t>
      </w:r>
      <w:r w:rsidR="0049696D" w:rsidRPr="00742FDE">
        <w:rPr>
          <w:rStyle w:val="ECCParagraph"/>
        </w:rPr>
        <w:t>. In consequence,</w:t>
      </w:r>
      <w:r w:rsidRPr="00742FDE">
        <w:rPr>
          <w:rStyle w:val="ECCParagraph"/>
        </w:rPr>
        <w:t xml:space="preserve"> sharing is feasibl</w:t>
      </w:r>
      <w:r w:rsidR="0049696D" w:rsidRPr="00742FDE">
        <w:rPr>
          <w:rStyle w:val="ECCParagraph"/>
        </w:rPr>
        <w:t>e.</w:t>
      </w:r>
    </w:p>
    <w:p w14:paraId="4C23390C" w14:textId="1434E209" w:rsidR="00866FDB" w:rsidRPr="00742FDE" w:rsidRDefault="00866FDB" w:rsidP="00B46292">
      <w:r w:rsidRPr="00742FDE">
        <w:t>In order to ensure coexistence between MFCN and these satellites</w:t>
      </w:r>
      <w:r w:rsidR="00E05F74" w:rsidRPr="00742FDE">
        <w:t xml:space="preserve"> ECC </w:t>
      </w:r>
      <w:r w:rsidR="00911CC7" w:rsidRPr="00742FDE">
        <w:t>Decision</w:t>
      </w:r>
      <w:r w:rsidR="00E05F74" w:rsidRPr="00742FDE">
        <w:t xml:space="preserve"> (18)06 includes the following provisions</w:t>
      </w:r>
      <w:r w:rsidRPr="00742FDE">
        <w:t>:</w:t>
      </w:r>
    </w:p>
    <w:p w14:paraId="7E505533" w14:textId="0A0B1EE8" w:rsidR="00866FDB" w:rsidRPr="00742FDE" w:rsidRDefault="0088072D" w:rsidP="00B46292">
      <w:pPr>
        <w:pStyle w:val="ECCBulletsLv1"/>
        <w:rPr>
          <w:rStyle w:val="ECCHLyellow"/>
          <w:shd w:val="clear" w:color="auto" w:fill="auto"/>
        </w:rPr>
      </w:pPr>
      <w:r w:rsidRPr="00742FDE">
        <w:rPr>
          <w:rStyle w:val="ECCParagraph"/>
        </w:rPr>
        <w:t>T</w:t>
      </w:r>
      <w:r w:rsidR="00866FDB" w:rsidRPr="00742FDE">
        <w:rPr>
          <w:rStyle w:val="ECCHLyellow"/>
          <w:shd w:val="clear" w:color="auto" w:fill="auto"/>
        </w:rPr>
        <w:t xml:space="preserve">here is a requirement that outdoor base stations have the antenna beam (electrical and mechanical) pointing normally below the horizon. In addition, the antenna of the outdoor base station shall have mechanical pointing below the horizon except when the base station is only </w:t>
      </w:r>
      <w:r w:rsidR="00FF61D2" w:rsidRPr="00742FDE">
        <w:rPr>
          <w:rStyle w:val="ECCHLyellow"/>
          <w:shd w:val="clear" w:color="auto" w:fill="auto"/>
        </w:rPr>
        <w:t>receiving</w:t>
      </w:r>
      <w:r w:rsidR="00866FDB" w:rsidRPr="00742FDE">
        <w:rPr>
          <w:rStyle w:val="ECCHLyellow"/>
          <w:shd w:val="clear" w:color="auto" w:fill="auto"/>
        </w:rPr>
        <w:t>. This will limit the risk of interference towards satellites systems</w:t>
      </w:r>
      <w:r w:rsidR="00E80513" w:rsidRPr="00742FDE">
        <w:rPr>
          <w:rStyle w:val="ECCHLyellow"/>
          <w:shd w:val="clear" w:color="auto" w:fill="auto"/>
        </w:rPr>
        <w:t>;</w:t>
      </w:r>
    </w:p>
    <w:p w14:paraId="6AE18F8B" w14:textId="67AD5031" w:rsidR="00866FDB" w:rsidRPr="00742FDE" w:rsidRDefault="0088072D" w:rsidP="00532ECC">
      <w:pPr>
        <w:pStyle w:val="ECCBulletsLv1"/>
        <w:rPr>
          <w:rStyle w:val="ECCHLyellow"/>
          <w:shd w:val="clear" w:color="auto" w:fill="auto"/>
        </w:rPr>
      </w:pPr>
      <w:r w:rsidRPr="00742FDE">
        <w:rPr>
          <w:rStyle w:val="ECCParagraph"/>
        </w:rPr>
        <w:t>A</w:t>
      </w:r>
      <w:r w:rsidR="00866FDB" w:rsidRPr="00742FDE">
        <w:rPr>
          <w:rStyle w:val="ECCHLyellow"/>
          <w:shd w:val="clear" w:color="auto" w:fill="auto"/>
        </w:rPr>
        <w:t xml:space="preserve"> regular assessment of the MFCN network deployment characteristics and systems characteristics in a timeline consistent with the 5 years review process of the ECC Decision (18)06 will provide additional confidence that the LRTC</w:t>
      </w:r>
      <w:r w:rsidR="007C3850" w:rsidRPr="00742FDE">
        <w:rPr>
          <w:rStyle w:val="ECCHLyellow"/>
          <w:shd w:val="clear" w:color="auto" w:fill="auto"/>
        </w:rPr>
        <w:t>s</w:t>
      </w:r>
      <w:r w:rsidR="00866FDB" w:rsidRPr="00742FDE">
        <w:rPr>
          <w:rStyle w:val="ECCHLyellow"/>
          <w:shd w:val="clear" w:color="auto" w:fill="auto"/>
        </w:rPr>
        <w:t xml:space="preserve"> ensure adequate protection of these satellite services.</w:t>
      </w:r>
    </w:p>
    <w:p w14:paraId="6A4CB7D0" w14:textId="57C0EBB0" w:rsidR="00866FDB" w:rsidRPr="00742FDE" w:rsidRDefault="00E26AAC" w:rsidP="00532ECC">
      <w:r w:rsidRPr="00742FDE">
        <w:t>In case there is an increase in deployment density</w:t>
      </w:r>
      <w:r w:rsidR="00183BB5" w:rsidRPr="00742FDE">
        <w:t xml:space="preserve">, base station power, </w:t>
      </w:r>
      <w:r w:rsidR="00E067AE" w:rsidRPr="00742FDE">
        <w:t xml:space="preserve">or change in </w:t>
      </w:r>
      <w:r w:rsidR="00183BB5" w:rsidRPr="00742FDE">
        <w:t>antenna pointing</w:t>
      </w:r>
      <w:r w:rsidR="00E067AE" w:rsidRPr="00742FDE">
        <w:t xml:space="preserve"> angle</w:t>
      </w:r>
      <w:r w:rsidR="00B46292" w:rsidRPr="00742FDE">
        <w:t>s</w:t>
      </w:r>
      <w:r w:rsidRPr="00742FDE">
        <w:t xml:space="preserve">, there </w:t>
      </w:r>
      <w:r w:rsidR="00450F5B" w:rsidRPr="00742FDE">
        <w:t>might</w:t>
      </w:r>
      <w:r w:rsidRPr="00742FDE">
        <w:t xml:space="preserve"> be a</w:t>
      </w:r>
      <w:r w:rsidR="00C54B39" w:rsidRPr="00742FDE">
        <w:t>n</w:t>
      </w:r>
      <w:r w:rsidRPr="00742FDE">
        <w:t xml:space="preserve"> increased risk of</w:t>
      </w:r>
      <w:r w:rsidR="009970CC" w:rsidRPr="00742FDE">
        <w:t xml:space="preserve"> </w:t>
      </w:r>
      <w:r w:rsidRPr="00742FDE">
        <w:t>interference towards the satellite systems</w:t>
      </w:r>
      <w:r w:rsidR="00777A2C" w:rsidRPr="00742FDE">
        <w:t>.</w:t>
      </w:r>
      <w:r w:rsidR="00E94BDA" w:rsidRPr="00742FDE">
        <w:t xml:space="preserve"> </w:t>
      </w:r>
      <w:r w:rsidR="00866FDB" w:rsidRPr="00742FDE">
        <w:t>The</w:t>
      </w:r>
      <w:r w:rsidR="00724605" w:rsidRPr="00742FDE">
        <w:t xml:space="preserve"> above</w:t>
      </w:r>
      <w:r w:rsidR="00866FDB" w:rsidRPr="00742FDE">
        <w:t xml:space="preserve"> actions will ensure possible long</w:t>
      </w:r>
      <w:r w:rsidR="002356DA" w:rsidRPr="00742FDE">
        <w:t>-</w:t>
      </w:r>
      <w:r w:rsidR="00866FDB" w:rsidRPr="00742FDE">
        <w:t xml:space="preserve">term development of those satellite services. The use of </w:t>
      </w:r>
      <w:r w:rsidR="00FF61D2" w:rsidRPr="00742FDE">
        <w:t xml:space="preserve">licence </w:t>
      </w:r>
      <w:r w:rsidR="00866FDB" w:rsidRPr="00742FDE">
        <w:t>regimes where the base station locations are planned and known (local authorisation, light licensing (option</w:t>
      </w:r>
      <w:r w:rsidR="003A3F08" w:rsidRPr="00742FDE">
        <w:t xml:space="preserve"> 1</w:t>
      </w:r>
      <w:r w:rsidR="00866FDB" w:rsidRPr="00742FDE">
        <w:t>), indoor restriction (</w:t>
      </w:r>
      <w:r w:rsidR="00FF61D2" w:rsidRPr="00742FDE">
        <w:t xml:space="preserve">indoor </w:t>
      </w:r>
      <w:r w:rsidR="00866FDB" w:rsidRPr="00742FDE">
        <w:t>licence)), would increase the protection of these satellite services.</w:t>
      </w:r>
    </w:p>
    <w:p w14:paraId="777E0DDF" w14:textId="1F1EA24C" w:rsidR="007A3354" w:rsidRPr="00742FDE" w:rsidRDefault="00866FDB" w:rsidP="007A3354">
      <w:r w:rsidRPr="00742FDE">
        <w:t>In addition, market demand and the type of authorisation regime could impact the density of MFCN network deployment</w:t>
      </w:r>
      <w:r w:rsidR="00D615D6" w:rsidRPr="00742FDE">
        <w:t>.</w:t>
      </w:r>
      <w:r w:rsidR="000B453F" w:rsidRPr="00742FDE">
        <w:rPr>
          <w:rStyle w:val="ECCParagraph"/>
        </w:rPr>
        <w:t xml:space="preserve"> </w:t>
      </w:r>
      <w:r w:rsidRPr="00742FDE">
        <w:rPr>
          <w:rStyle w:val="ECCParagraph"/>
        </w:rPr>
        <w:t xml:space="preserve">Under authorisation regimes where there is no means to monitor the evolution of  MFCN density and its deployment characteristics, an in-band limit for the TRP for MFCN equipment could be defined at </w:t>
      </w:r>
      <w:r w:rsidRPr="00742FDE">
        <w:rPr>
          <w:rStyle w:val="ECCParagraph"/>
        </w:rPr>
        <w:lastRenderedPageBreak/>
        <w:t>national level</w:t>
      </w:r>
      <w:r w:rsidR="003B5BA1" w:rsidRPr="00742FDE">
        <w:rPr>
          <w:rStyle w:val="ECCParagraph"/>
        </w:rPr>
        <w:t>.</w:t>
      </w:r>
      <w:r w:rsidRPr="00742FDE">
        <w:rPr>
          <w:rStyle w:val="ECCParagraph"/>
        </w:rPr>
        <w:t xml:space="preserve"> </w:t>
      </w:r>
      <w:r w:rsidR="00195706" w:rsidRPr="00742FDE">
        <w:t>Th</w:t>
      </w:r>
      <w:r w:rsidR="001743A2" w:rsidRPr="00742FDE">
        <w:t>is</w:t>
      </w:r>
      <w:r w:rsidR="00195706" w:rsidRPr="00742FDE">
        <w:t xml:space="preserve"> could </w:t>
      </w:r>
      <w:r w:rsidRPr="00742FDE">
        <w:t xml:space="preserve">compensate for the uncertainty related to the deployment density and to the effective implementation of the antenna pointing restriction, as well as the impossibility for </w:t>
      </w:r>
      <w:proofErr w:type="gramStart"/>
      <w:r w:rsidRPr="00742FDE">
        <w:t>reviewing precisely</w:t>
      </w:r>
      <w:proofErr w:type="gramEnd"/>
      <w:r w:rsidRPr="00742FDE">
        <w:t xml:space="preserve"> the effective deployment characteristics and their impact on the interference level to satellites.</w:t>
      </w:r>
      <w:bookmarkEnd w:id="106"/>
    </w:p>
    <w:p w14:paraId="71207DD9" w14:textId="77777777" w:rsidR="00F20838" w:rsidRPr="00742FDE" w:rsidRDefault="00F20838" w:rsidP="00F77DA6">
      <w:pPr>
        <w:pStyle w:val="Heading2"/>
        <w:rPr>
          <w:lang w:val="en-GB"/>
        </w:rPr>
      </w:pPr>
      <w:bookmarkStart w:id="107" w:name="_Toc32403289"/>
      <w:bookmarkStart w:id="108" w:name="_Toc32403325"/>
      <w:bookmarkStart w:id="109" w:name="_Toc37256367"/>
      <w:bookmarkStart w:id="110" w:name="_Toc32403326"/>
      <w:bookmarkStart w:id="111" w:name="_Toc45610655"/>
      <w:bookmarkEnd w:id="107"/>
      <w:bookmarkEnd w:id="108"/>
      <w:r w:rsidRPr="00742FDE">
        <w:rPr>
          <w:lang w:val="en-GB"/>
        </w:rPr>
        <w:t>P</w:t>
      </w:r>
      <w:r w:rsidR="008B448A" w:rsidRPr="00742FDE">
        <w:rPr>
          <w:lang w:val="en-GB"/>
        </w:rPr>
        <w:t>assive services</w:t>
      </w:r>
      <w:bookmarkEnd w:id="109"/>
      <w:bookmarkEnd w:id="110"/>
      <w:bookmarkEnd w:id="111"/>
    </w:p>
    <w:p w14:paraId="0688E905" w14:textId="3FA165EC" w:rsidR="00193D93" w:rsidRPr="00742FDE" w:rsidRDefault="001B7328" w:rsidP="00193D93">
      <w:r w:rsidRPr="00742FDE">
        <w:t>T</w:t>
      </w:r>
      <w:r w:rsidR="00193D93" w:rsidRPr="00742FDE">
        <w:t xml:space="preserve">he </w:t>
      </w:r>
      <w:r w:rsidR="00404DBB" w:rsidRPr="00742FDE">
        <w:t xml:space="preserve">level of </w:t>
      </w:r>
      <w:r w:rsidR="00193D93" w:rsidRPr="00742FDE">
        <w:t>interference to EESS (passive) is</w:t>
      </w:r>
      <w:r w:rsidR="00610AB1" w:rsidRPr="00742FDE">
        <w:t xml:space="preserve"> mainly </w:t>
      </w:r>
      <w:r w:rsidR="00404DBB" w:rsidRPr="00742FDE">
        <w:t>related to</w:t>
      </w:r>
      <w:r w:rsidR="00193D93" w:rsidRPr="00742FDE">
        <w:t xml:space="preserve"> the density of </w:t>
      </w:r>
      <w:r w:rsidR="00D8617C" w:rsidRPr="00742FDE">
        <w:t>MFCN</w:t>
      </w:r>
      <w:r w:rsidR="00193D93" w:rsidRPr="00742FDE">
        <w:t xml:space="preserve"> deployment</w:t>
      </w:r>
      <w:r w:rsidR="00404DBB" w:rsidRPr="00742FDE">
        <w:t xml:space="preserve"> among other factors</w:t>
      </w:r>
      <w:r w:rsidR="00193D93" w:rsidRPr="00742FDE">
        <w:t>.</w:t>
      </w:r>
    </w:p>
    <w:p w14:paraId="4D60099B" w14:textId="2DCFD29F" w:rsidR="00F77DA6" w:rsidRPr="00742FDE" w:rsidRDefault="00F77DA6" w:rsidP="00F77DA6">
      <w:pPr>
        <w:pStyle w:val="Heading3"/>
        <w:rPr>
          <w:lang w:val="en-GB"/>
        </w:rPr>
      </w:pPr>
      <w:bookmarkStart w:id="112" w:name="_Toc37256368"/>
      <w:bookmarkStart w:id="113" w:name="_Toc32403327"/>
      <w:bookmarkStart w:id="114" w:name="_Toc43310134"/>
      <w:bookmarkStart w:id="115" w:name="_Toc45610656"/>
      <w:r w:rsidRPr="00742FDE">
        <w:rPr>
          <w:lang w:val="en-GB"/>
        </w:rPr>
        <w:t xml:space="preserve">EESS </w:t>
      </w:r>
      <w:r w:rsidR="007C3850" w:rsidRPr="00742FDE">
        <w:rPr>
          <w:lang w:val="en-GB"/>
        </w:rPr>
        <w:t>(</w:t>
      </w:r>
      <w:r w:rsidRPr="00742FDE">
        <w:rPr>
          <w:lang w:val="en-GB"/>
        </w:rPr>
        <w:t>passive</w:t>
      </w:r>
      <w:r w:rsidR="007C3850" w:rsidRPr="00742FDE">
        <w:rPr>
          <w:lang w:val="en-GB"/>
        </w:rPr>
        <w:t>)</w:t>
      </w:r>
      <w:bookmarkEnd w:id="112"/>
      <w:bookmarkEnd w:id="113"/>
      <w:bookmarkEnd w:id="114"/>
      <w:bookmarkEnd w:id="115"/>
    </w:p>
    <w:p w14:paraId="785D6043" w14:textId="0872164A" w:rsidR="00193D93" w:rsidRPr="00742FDE" w:rsidRDefault="007B1594">
      <w:r w:rsidRPr="00742FDE">
        <w:t>U</w:t>
      </w:r>
      <w:r w:rsidR="00B32C98" w:rsidRPr="00742FDE">
        <w:t>nwanted emissions l</w:t>
      </w:r>
      <w:r w:rsidR="003974AC" w:rsidRPr="00742FDE">
        <w:t xml:space="preserve">imits for </w:t>
      </w:r>
      <w:r w:rsidR="00B32C98" w:rsidRPr="00742FDE">
        <w:t>the 23.6-24 GHz band</w:t>
      </w:r>
      <w:r w:rsidR="00B32C98" w:rsidRPr="00742FDE" w:rsidDel="00DA1CC5">
        <w:t xml:space="preserve"> </w:t>
      </w:r>
      <w:r w:rsidR="003974AC" w:rsidRPr="00742FDE">
        <w:t xml:space="preserve">are contained in </w:t>
      </w:r>
      <w:r w:rsidR="00373E87" w:rsidRPr="00742FDE">
        <w:t xml:space="preserve">European Commission Implementing Decision (EU) 2019/784 </w:t>
      </w:r>
      <w:r w:rsidR="00FF61D2" w:rsidRPr="00742FDE">
        <w:fldChar w:fldCharType="begin"/>
      </w:r>
      <w:r w:rsidR="00FF61D2" w:rsidRPr="00742FDE">
        <w:instrText xml:space="preserve"> REF _Ref32246580 \r \h </w:instrText>
      </w:r>
      <w:r w:rsidR="00FF61D2" w:rsidRPr="00742FDE">
        <w:fldChar w:fldCharType="separate"/>
      </w:r>
      <w:r w:rsidR="00DE566A">
        <w:t>[2]</w:t>
      </w:r>
      <w:r w:rsidR="00FF61D2" w:rsidRPr="00742FDE">
        <w:fldChar w:fldCharType="end"/>
      </w:r>
      <w:r w:rsidR="00FF61D2" w:rsidRPr="00742FDE">
        <w:t xml:space="preserve"> </w:t>
      </w:r>
      <w:r w:rsidR="00125A60" w:rsidRPr="00742FDE">
        <w:t xml:space="preserve">(amended by </w:t>
      </w:r>
      <w:r w:rsidR="00300049" w:rsidRPr="00742FDE">
        <w:t xml:space="preserve">Commission Implementing Decision (EU) </w:t>
      </w:r>
      <w:r w:rsidR="00125A60" w:rsidRPr="00742FDE">
        <w:t>2020/590</w:t>
      </w:r>
      <w:r w:rsidR="00EF3189" w:rsidRPr="00742FDE">
        <w:t xml:space="preserve"> </w:t>
      </w:r>
      <w:r w:rsidR="00EF3189" w:rsidRPr="00742FDE">
        <w:fldChar w:fldCharType="begin"/>
      </w:r>
      <w:r w:rsidR="00EF3189" w:rsidRPr="00742FDE">
        <w:instrText xml:space="preserve"> REF _Ref43804529 \r \h </w:instrText>
      </w:r>
      <w:r w:rsidR="00EF3189" w:rsidRPr="00742FDE">
        <w:fldChar w:fldCharType="separate"/>
      </w:r>
      <w:r w:rsidR="00DE566A">
        <w:t>[3]</w:t>
      </w:r>
      <w:r w:rsidR="00EF3189" w:rsidRPr="00742FDE">
        <w:fldChar w:fldCharType="end"/>
      </w:r>
      <w:r w:rsidR="00125A60" w:rsidRPr="00742FDE">
        <w:t xml:space="preserve">) </w:t>
      </w:r>
      <w:r w:rsidR="00373E87" w:rsidRPr="00742FDE">
        <w:t xml:space="preserve">and </w:t>
      </w:r>
      <w:r w:rsidR="009C2044" w:rsidRPr="00742FDE">
        <w:t>ECC Decision (18)06</w:t>
      </w:r>
      <w:r w:rsidR="00FF61D2" w:rsidRPr="00742FDE">
        <w:t xml:space="preserve"> </w:t>
      </w:r>
      <w:r w:rsidR="00FF61D2" w:rsidRPr="00742FDE">
        <w:fldChar w:fldCharType="begin"/>
      </w:r>
      <w:r w:rsidR="00FF61D2" w:rsidRPr="00742FDE">
        <w:instrText xml:space="preserve"> REF _Ref32245228 \r \h </w:instrText>
      </w:r>
      <w:r w:rsidR="00FF61D2" w:rsidRPr="00742FDE">
        <w:fldChar w:fldCharType="separate"/>
      </w:r>
      <w:r w:rsidR="00DE566A">
        <w:t>[1]</w:t>
      </w:r>
      <w:r w:rsidR="00FF61D2" w:rsidRPr="00742FDE">
        <w:fldChar w:fldCharType="end"/>
      </w:r>
      <w:r w:rsidR="00616F9F" w:rsidRPr="00742FDE">
        <w:t>.</w:t>
      </w:r>
    </w:p>
    <w:p w14:paraId="3142EC31" w14:textId="7ADC7D53" w:rsidR="00D00EA7" w:rsidRPr="00742FDE" w:rsidRDefault="00866FDB" w:rsidP="00C96FAB">
      <w:r w:rsidRPr="00742FDE">
        <w:t>In order to ensure possible long</w:t>
      </w:r>
      <w:r w:rsidR="00323D5F" w:rsidRPr="00742FDE">
        <w:t>-</w:t>
      </w:r>
      <w:r w:rsidRPr="00742FDE">
        <w:t xml:space="preserve">term development of those satellite services, there is </w:t>
      </w:r>
      <w:r w:rsidR="00125A60" w:rsidRPr="00742FDE">
        <w:t xml:space="preserve">also </w:t>
      </w:r>
      <w:r w:rsidRPr="00742FDE">
        <w:t>a requirement that the outdoor base stations have the antenna beam (electrical and mechanical) pointing normally below the horizon</w:t>
      </w:r>
      <w:r w:rsidR="00C96FAB" w:rsidRPr="00742FDE">
        <w:t xml:space="preserve"> </w:t>
      </w:r>
      <w:r w:rsidR="00262F5B" w:rsidRPr="00742FDE">
        <w:t>(</w:t>
      </w:r>
      <w:r w:rsidR="00C96FAB" w:rsidRPr="00742FDE">
        <w:t>ECC Decision (18)06</w:t>
      </w:r>
      <w:r w:rsidR="00262F5B" w:rsidRPr="00742FDE">
        <w:t>)</w:t>
      </w:r>
      <w:r w:rsidRPr="00742FDE">
        <w:t>. A regular assessment of the MFCN network deployment characteristics and systems characteristics in a timeline consistent with the 5 years review process of the ECC Decision (18)06 will provide additional confidence that the LRTC</w:t>
      </w:r>
      <w:r w:rsidR="00FF61D2" w:rsidRPr="00742FDE">
        <w:t>s</w:t>
      </w:r>
      <w:r w:rsidRPr="00742FDE">
        <w:t xml:space="preserve"> ensure adequate protection of the satellite service.</w:t>
      </w:r>
    </w:p>
    <w:p w14:paraId="6F6BE565" w14:textId="7F848573" w:rsidR="00727A95" w:rsidRPr="00742FDE" w:rsidRDefault="004C1EF3" w:rsidP="00193D93">
      <w:r w:rsidRPr="00742FDE">
        <w:t>T</w:t>
      </w:r>
      <w:r w:rsidR="00727A95" w:rsidRPr="00742FDE">
        <w:t xml:space="preserve">he use of </w:t>
      </w:r>
      <w:r w:rsidR="00FF61D2" w:rsidRPr="00742FDE">
        <w:t xml:space="preserve">licence </w:t>
      </w:r>
      <w:r w:rsidR="00727A95" w:rsidRPr="00742FDE">
        <w:t>regimes where the base station locations are planned and well known (local authorisation, light licensing (</w:t>
      </w:r>
      <w:r w:rsidR="001953A0" w:rsidRPr="00742FDE">
        <w:rPr>
          <w:rStyle w:val="ECCParagraph"/>
        </w:rPr>
        <w:t>O</w:t>
      </w:r>
      <w:r w:rsidR="00727A95" w:rsidRPr="00742FDE">
        <w:t>ption</w:t>
      </w:r>
      <w:r w:rsidR="001953A0" w:rsidRPr="00742FDE">
        <w:t xml:space="preserve"> 1</w:t>
      </w:r>
      <w:r w:rsidR="00727A95" w:rsidRPr="00742FDE">
        <w:t>), indoor restriction (</w:t>
      </w:r>
      <w:r w:rsidR="000616AA" w:rsidRPr="00742FDE">
        <w:t>i</w:t>
      </w:r>
      <w:r w:rsidR="00727A95" w:rsidRPr="00742FDE">
        <w:t>ndoor licence)), would</w:t>
      </w:r>
      <w:r w:rsidR="00F64C7C" w:rsidRPr="00742FDE">
        <w:t xml:space="preserve"> </w:t>
      </w:r>
      <w:r w:rsidR="00070E82" w:rsidRPr="00742FDE">
        <w:t xml:space="preserve">fulfil one of the </w:t>
      </w:r>
      <w:r w:rsidR="001F1EEC" w:rsidRPr="00742FDE">
        <w:t>assumptions</w:t>
      </w:r>
      <w:r w:rsidR="00070E82" w:rsidRPr="00742FDE">
        <w:t xml:space="preserve"> for </w:t>
      </w:r>
      <w:r w:rsidR="00F64C7C" w:rsidRPr="00742FDE">
        <w:t>the protection of th</w:t>
      </w:r>
      <w:r w:rsidR="001F1EEC" w:rsidRPr="00742FDE">
        <w:t>e</w:t>
      </w:r>
      <w:r w:rsidR="00F64C7C" w:rsidRPr="00742FDE">
        <w:t>s</w:t>
      </w:r>
      <w:r w:rsidR="001F1EEC" w:rsidRPr="00742FDE">
        <w:t>e</w:t>
      </w:r>
      <w:r w:rsidR="00F64C7C" w:rsidRPr="00742FDE">
        <w:t xml:space="preserve"> satellite services</w:t>
      </w:r>
      <w:r w:rsidR="00727A95" w:rsidRPr="00742FDE">
        <w:t>.</w:t>
      </w:r>
    </w:p>
    <w:p w14:paraId="376D8519" w14:textId="77777777" w:rsidR="007A0B12" w:rsidRPr="00742FDE" w:rsidRDefault="00EA52A5" w:rsidP="00F7338B">
      <w:pPr>
        <w:rPr>
          <w:rStyle w:val="ECCParagraph"/>
        </w:rPr>
      </w:pPr>
      <w:r w:rsidRPr="00742FDE">
        <w:rPr>
          <w:rStyle w:val="ECCParagraph"/>
        </w:rPr>
        <w:t xml:space="preserve">In case of other regimes where the base station density </w:t>
      </w:r>
      <w:r w:rsidR="007C3850" w:rsidRPr="00742FDE">
        <w:rPr>
          <w:rStyle w:val="ECCParagraph"/>
        </w:rPr>
        <w:t>is</w:t>
      </w:r>
      <w:r w:rsidR="001D7256" w:rsidRPr="00742FDE">
        <w:rPr>
          <w:rStyle w:val="ECCParagraph"/>
        </w:rPr>
        <w:t xml:space="preserve"> </w:t>
      </w:r>
      <w:r w:rsidRPr="00742FDE">
        <w:rPr>
          <w:rStyle w:val="ECCParagraph"/>
        </w:rPr>
        <w:t xml:space="preserve">not known, the operational deployment conditions would need to be further studied in order to maintain long term protection of EESS </w:t>
      </w:r>
      <w:r w:rsidR="007C3850" w:rsidRPr="00742FDE">
        <w:rPr>
          <w:rStyle w:val="ECCParagraph"/>
        </w:rPr>
        <w:t>(</w:t>
      </w:r>
      <w:r w:rsidRPr="00742FDE">
        <w:rPr>
          <w:rStyle w:val="ECCParagraph"/>
        </w:rPr>
        <w:t>passive</w:t>
      </w:r>
      <w:r w:rsidR="007C3850" w:rsidRPr="00742FDE">
        <w:rPr>
          <w:rStyle w:val="ECCParagraph"/>
        </w:rPr>
        <w:t>)</w:t>
      </w:r>
      <w:r w:rsidR="0011162A" w:rsidRPr="00742FDE">
        <w:rPr>
          <w:rStyle w:val="ECCParagraph"/>
        </w:rPr>
        <w:t>.</w:t>
      </w:r>
      <w:r w:rsidR="008D0C13" w:rsidRPr="00742FDE">
        <w:rPr>
          <w:rStyle w:val="ECCParagraph"/>
        </w:rPr>
        <w:t xml:space="preserve"> </w:t>
      </w:r>
    </w:p>
    <w:p w14:paraId="0BD71B35" w14:textId="563B6A96" w:rsidR="005F4D12" w:rsidRPr="00742FDE" w:rsidRDefault="005F4D12" w:rsidP="005F4D12">
      <w:pPr>
        <w:pStyle w:val="Heading3"/>
        <w:rPr>
          <w:lang w:val="en-GB"/>
        </w:rPr>
      </w:pPr>
      <w:bookmarkStart w:id="116" w:name="_Toc45610657"/>
      <w:r w:rsidRPr="00742FDE">
        <w:rPr>
          <w:lang w:val="en-GB"/>
        </w:rPr>
        <w:t>Radio Astronomy</w:t>
      </w:r>
      <w:bookmarkEnd w:id="116"/>
    </w:p>
    <w:p w14:paraId="7852897F" w14:textId="27DD5FE2" w:rsidR="0064653E" w:rsidRPr="00742FDE" w:rsidRDefault="0064653E" w:rsidP="0064653E">
      <w:r w:rsidRPr="00742FDE">
        <w:t>The Radio</w:t>
      </w:r>
      <w:r w:rsidR="00B57C76" w:rsidRPr="00742FDE">
        <w:t xml:space="preserve"> A</w:t>
      </w:r>
      <w:r w:rsidRPr="00742FDE">
        <w:t xml:space="preserve">stronomy </w:t>
      </w:r>
      <w:r w:rsidR="00B57C76" w:rsidRPr="00742FDE">
        <w:t>S</w:t>
      </w:r>
      <w:r w:rsidRPr="00742FDE">
        <w:t xml:space="preserve">ervice in the adjacent frequency band is subject to the  MFCN unwanted emission limits which are contained in European Commission Implementing Decision (EU) 2019/784 </w:t>
      </w:r>
      <w:r w:rsidR="00FF61D2" w:rsidRPr="00742FDE">
        <w:fldChar w:fldCharType="begin"/>
      </w:r>
      <w:r w:rsidR="00FF61D2" w:rsidRPr="00742FDE">
        <w:instrText xml:space="preserve"> REF _Ref32246580 \r \h </w:instrText>
      </w:r>
      <w:r w:rsidR="00FF61D2" w:rsidRPr="00742FDE">
        <w:fldChar w:fldCharType="separate"/>
      </w:r>
      <w:r w:rsidR="00DE566A">
        <w:t>[2]</w:t>
      </w:r>
      <w:r w:rsidR="00FF61D2" w:rsidRPr="00742FDE">
        <w:fldChar w:fldCharType="end"/>
      </w:r>
      <w:r w:rsidR="00FF61D2" w:rsidRPr="00742FDE">
        <w:t xml:space="preserve"> </w:t>
      </w:r>
      <w:r w:rsidR="007971B4" w:rsidRPr="00742FDE">
        <w:t xml:space="preserve">(amended by Commission Implementing Decision (EU) 2020/590 </w:t>
      </w:r>
      <w:r w:rsidR="00EF3189" w:rsidRPr="00742FDE">
        <w:fldChar w:fldCharType="begin"/>
      </w:r>
      <w:r w:rsidR="00EF3189" w:rsidRPr="00742FDE">
        <w:instrText xml:space="preserve"> REF _Ref43804529 \r \h </w:instrText>
      </w:r>
      <w:r w:rsidR="00EF3189" w:rsidRPr="00742FDE">
        <w:fldChar w:fldCharType="separate"/>
      </w:r>
      <w:r w:rsidR="00DE566A">
        <w:t>[3]</w:t>
      </w:r>
      <w:r w:rsidR="00EF3189" w:rsidRPr="00742FDE">
        <w:fldChar w:fldCharType="end"/>
      </w:r>
      <w:r w:rsidR="007971B4" w:rsidRPr="00742FDE">
        <w:t xml:space="preserve">) </w:t>
      </w:r>
      <w:r w:rsidRPr="00742FDE">
        <w:t>and ECC Decision (18)06</w:t>
      </w:r>
      <w:r w:rsidR="00FF61D2" w:rsidRPr="00742FDE">
        <w:t xml:space="preserve"> </w:t>
      </w:r>
      <w:r w:rsidR="00FF61D2" w:rsidRPr="00742FDE">
        <w:fldChar w:fldCharType="begin"/>
      </w:r>
      <w:r w:rsidR="00FF61D2" w:rsidRPr="00742FDE">
        <w:instrText xml:space="preserve"> REF _Ref32245228 \r \h </w:instrText>
      </w:r>
      <w:r w:rsidR="00FF61D2" w:rsidRPr="00742FDE">
        <w:fldChar w:fldCharType="separate"/>
      </w:r>
      <w:r w:rsidR="00DE566A">
        <w:t>[1]</w:t>
      </w:r>
      <w:r w:rsidR="00FF61D2" w:rsidRPr="00742FDE">
        <w:fldChar w:fldCharType="end"/>
      </w:r>
      <w:r w:rsidRPr="00742FDE">
        <w:t xml:space="preserve">. </w:t>
      </w:r>
      <w:r w:rsidR="00936E4C" w:rsidRPr="00742FDE">
        <w:t>Coordination zones</w:t>
      </w:r>
      <w:r w:rsidR="001F7494" w:rsidRPr="00742FDE">
        <w:t xml:space="preserve"> </w:t>
      </w:r>
      <w:r w:rsidR="00EC170F" w:rsidRPr="00742FDE">
        <w:t xml:space="preserve">ensuring protection of </w:t>
      </w:r>
      <w:r w:rsidRPr="00742FDE">
        <w:t xml:space="preserve">individual RAS stations need to be calculated using site-specific terrain and clutter information. Hence </w:t>
      </w:r>
      <w:r w:rsidR="0009281C" w:rsidRPr="00742FDE">
        <w:t>coordination zones</w:t>
      </w:r>
      <w:r w:rsidRPr="00742FDE">
        <w:t xml:space="preserve"> </w:t>
      </w:r>
      <w:r w:rsidR="0011162A" w:rsidRPr="00742FDE">
        <w:t xml:space="preserve">should </w:t>
      </w:r>
      <w:r w:rsidRPr="00742FDE">
        <w:t xml:space="preserve">be </w:t>
      </w:r>
      <w:r w:rsidR="008B06E8" w:rsidRPr="00742FDE">
        <w:t>determined</w:t>
      </w:r>
      <w:r w:rsidRPr="00742FDE">
        <w:t xml:space="preserve"> nationally on a site by site basis.</w:t>
      </w:r>
    </w:p>
    <w:p w14:paraId="42FB29C8" w14:textId="3FAE2FF4" w:rsidR="007015A9" w:rsidRPr="00742FDE" w:rsidRDefault="00E52435" w:rsidP="007015A9">
      <w:pPr>
        <w:rPr>
          <w:rStyle w:val="ECCParagraph"/>
        </w:rPr>
      </w:pPr>
      <w:r w:rsidRPr="00742FDE">
        <w:t xml:space="preserve">In some regulatory regimes where the location of BS is not </w:t>
      </w:r>
      <w:r w:rsidRPr="00742FDE">
        <w:rPr>
          <w:rStyle w:val="ECCParagraph"/>
        </w:rPr>
        <w:t xml:space="preserve">known, </w:t>
      </w:r>
      <w:r w:rsidR="00252D5B" w:rsidRPr="00742FDE">
        <w:rPr>
          <w:rStyle w:val="ECCParagraph"/>
        </w:rPr>
        <w:t xml:space="preserve">some mechanism would be needed to ensure that mitigations </w:t>
      </w:r>
      <w:r w:rsidR="00EF4E15" w:rsidRPr="00742FDE">
        <w:rPr>
          <w:rStyle w:val="ECCParagraph"/>
        </w:rPr>
        <w:t>are applied within the RAS coordination zones</w:t>
      </w:r>
      <w:r w:rsidR="007015A9" w:rsidRPr="00742FDE">
        <w:rPr>
          <w:rStyle w:val="ECCParagraph"/>
        </w:rPr>
        <w:t>, in order to ensure protection of the site</w:t>
      </w:r>
      <w:r w:rsidR="00EF4E15" w:rsidRPr="00742FDE">
        <w:rPr>
          <w:rStyle w:val="ECCParagraph"/>
        </w:rPr>
        <w:t>.</w:t>
      </w:r>
      <w:r w:rsidR="00252D5B" w:rsidRPr="00742FDE">
        <w:rPr>
          <w:rStyle w:val="ECCParagraph"/>
        </w:rPr>
        <w:t xml:space="preserve"> </w:t>
      </w:r>
      <w:r w:rsidR="007015A9" w:rsidRPr="00742FDE">
        <w:rPr>
          <w:rStyle w:val="ECCParagraph"/>
        </w:rPr>
        <w:t xml:space="preserve"> No mechanism to prevent interference has been notified during the drafting of the report. </w:t>
      </w:r>
      <w:r w:rsidR="007015A9" w:rsidRPr="00742FDE">
        <w:t>I</w:t>
      </w:r>
      <w:r w:rsidR="007015A9" w:rsidRPr="00742FDE">
        <w:rPr>
          <w:rStyle w:val="ECCParagraph"/>
        </w:rPr>
        <w:t>n cases of interference, mechanisms to change the technical operation of MFCN BS equipment (e.g. reduce transmit power or switch-off the base stations) in the vicinity of a radio astronomy station could be implemented. Such mechanisms, which are yet to be defined, should limit the duration and impact of interference.</w:t>
      </w:r>
    </w:p>
    <w:p w14:paraId="0FAA6436" w14:textId="58E31B9B" w:rsidR="00F20838" w:rsidRPr="00742FDE" w:rsidRDefault="00630CA2" w:rsidP="001E3FFB">
      <w:pPr>
        <w:pStyle w:val="Heading2"/>
        <w:rPr>
          <w:lang w:val="en-GB"/>
        </w:rPr>
      </w:pPr>
      <w:bookmarkStart w:id="117" w:name="_Toc37256370"/>
      <w:bookmarkStart w:id="118" w:name="_Toc32403329"/>
      <w:bookmarkStart w:id="119" w:name="_Toc45610658"/>
      <w:r w:rsidRPr="00742FDE">
        <w:rPr>
          <w:lang w:val="en-GB"/>
        </w:rPr>
        <w:t xml:space="preserve">MFCN </w:t>
      </w:r>
      <w:r w:rsidR="00F20838" w:rsidRPr="00742FDE">
        <w:rPr>
          <w:lang w:val="en-GB"/>
        </w:rPr>
        <w:t>coexistence</w:t>
      </w:r>
      <w:bookmarkEnd w:id="117"/>
      <w:bookmarkEnd w:id="118"/>
      <w:bookmarkEnd w:id="119"/>
    </w:p>
    <w:p w14:paraId="4BA2EBA1" w14:textId="0AB3EFE5" w:rsidR="00682F99" w:rsidRPr="00742FDE" w:rsidRDefault="00682F99" w:rsidP="00682F99">
      <w:r w:rsidRPr="00742FDE">
        <w:t xml:space="preserve">Technical studies for the 26 GHz band (coexistence between MFCN and other services in </w:t>
      </w:r>
      <w:r w:rsidR="002E0DEA" w:rsidRPr="00742FDE">
        <w:t xml:space="preserve">the band </w:t>
      </w:r>
      <w:r w:rsidRPr="00742FDE">
        <w:t>and adjacent to the band) were performed under the assumption of an individual authorisation regime.</w:t>
      </w:r>
    </w:p>
    <w:p w14:paraId="443663BE" w14:textId="3406CD41" w:rsidR="00682F99" w:rsidRPr="00742FDE" w:rsidRDefault="00411CB6" w:rsidP="00682F99">
      <w:pPr>
        <w:rPr>
          <w:rStyle w:val="ECCParagraph"/>
        </w:rPr>
      </w:pPr>
      <w:r w:rsidRPr="00742FDE">
        <w:rPr>
          <w:rStyle w:val="ECCParagraph"/>
        </w:rPr>
        <w:t>Using established transmit parameters and reasonable assumption</w:t>
      </w:r>
      <w:r w:rsidR="00D8617C" w:rsidRPr="00742FDE">
        <w:rPr>
          <w:rStyle w:val="ECCParagraph"/>
        </w:rPr>
        <w:t>s</w:t>
      </w:r>
      <w:r w:rsidRPr="00742FDE">
        <w:rPr>
          <w:rStyle w:val="ECCParagraph"/>
        </w:rPr>
        <w:t xml:space="preserve"> on the protection criteria of MFCN it is possible to perform technical studies under a combination of individual/general authorisations regimes in the same part of the 26 GHz </w:t>
      </w:r>
      <w:r w:rsidR="00D8617C" w:rsidRPr="00742FDE">
        <w:rPr>
          <w:rStyle w:val="ECCParagraph"/>
        </w:rPr>
        <w:t xml:space="preserve">frequency band </w:t>
      </w:r>
      <w:r w:rsidRPr="00742FDE">
        <w:rPr>
          <w:rStyle w:val="ECCParagraph"/>
        </w:rPr>
        <w:t xml:space="preserve">(in either </w:t>
      </w:r>
      <w:r w:rsidR="00FF61D2" w:rsidRPr="00742FDE">
        <w:rPr>
          <w:rStyle w:val="ECCParagraph"/>
        </w:rPr>
        <w:t xml:space="preserve">parts of or the entire </w:t>
      </w:r>
      <w:r w:rsidRPr="00742FDE">
        <w:rPr>
          <w:rStyle w:val="ECCParagraph"/>
        </w:rPr>
        <w:t xml:space="preserve">26 GHz </w:t>
      </w:r>
      <w:r w:rsidR="00FF61D2" w:rsidRPr="00742FDE">
        <w:rPr>
          <w:rStyle w:val="ECCParagraph"/>
        </w:rPr>
        <w:t>band</w:t>
      </w:r>
      <w:r w:rsidRPr="00742FDE">
        <w:rPr>
          <w:rStyle w:val="ECCParagraph"/>
        </w:rPr>
        <w:t>).</w:t>
      </w:r>
      <w:r w:rsidR="008C697B" w:rsidRPr="00742FDE">
        <w:rPr>
          <w:rStyle w:val="ECCParagraph"/>
        </w:rPr>
        <w:t xml:space="preserve"> </w:t>
      </w:r>
      <w:r w:rsidR="004A3262" w:rsidRPr="00742FDE">
        <w:t>However</w:t>
      </w:r>
      <w:r w:rsidR="00B57C76" w:rsidRPr="00742FDE">
        <w:t>,</w:t>
      </w:r>
      <w:r w:rsidR="004A3262" w:rsidRPr="00742FDE">
        <w:t xml:space="preserve"> such </w:t>
      </w:r>
      <w:r w:rsidR="008C697B" w:rsidRPr="00742FDE">
        <w:t>studies have not been submitted to CEPT and no harmonised MFCN technical conditions have been developed for MFCN/MFCN coexistence for other regimes than individual authorisation.</w:t>
      </w:r>
    </w:p>
    <w:p w14:paraId="759D4B35" w14:textId="01F3B6FC" w:rsidR="00C90965" w:rsidRPr="00742FDE" w:rsidRDefault="00D83EC5" w:rsidP="00B4472C">
      <w:r w:rsidRPr="00742FDE">
        <w:t xml:space="preserve">CEPT has developed ECC Report 307 </w:t>
      </w:r>
      <w:r w:rsidR="00FF61D2" w:rsidRPr="00742FDE">
        <w:fldChar w:fldCharType="begin"/>
      </w:r>
      <w:r w:rsidR="00FF61D2" w:rsidRPr="00742FDE">
        <w:instrText xml:space="preserve"> REF _Ref32245273 \r \h </w:instrText>
      </w:r>
      <w:r w:rsidR="00FF61D2" w:rsidRPr="00742FDE">
        <w:fldChar w:fldCharType="separate"/>
      </w:r>
      <w:r w:rsidR="00DE566A">
        <w:t>[7]</w:t>
      </w:r>
      <w:r w:rsidR="00FF61D2" w:rsidRPr="00742FDE">
        <w:fldChar w:fldCharType="end"/>
      </w:r>
      <w:r w:rsidR="00FF61D2" w:rsidRPr="00742FDE">
        <w:t xml:space="preserve"> </w:t>
      </w:r>
      <w:r w:rsidRPr="00742FDE">
        <w:t xml:space="preserve">reviewing solutions and regulatory options for synchronisation, in particular, to enable unsynchronised and semi-synchronised operation of MFCN in the 24.25-27.5 GHz band. </w:t>
      </w:r>
      <w:r w:rsidRPr="00742FDE">
        <w:lastRenderedPageBreak/>
        <w:t xml:space="preserve">In addition, the Report identifies the most appropriate synchronisation regulatory framework at national level. </w:t>
      </w:r>
      <w:r w:rsidR="00FF61D2" w:rsidRPr="00742FDE">
        <w:t xml:space="preserve">ECC </w:t>
      </w:r>
      <w:r w:rsidRPr="00742FDE">
        <w:t>Report 307 contains simulations and analysis which forms useful information which can be considered under other authorisation regime</w:t>
      </w:r>
      <w:r w:rsidR="00FF61D2" w:rsidRPr="00742FDE">
        <w:t>s</w:t>
      </w:r>
      <w:r w:rsidRPr="00742FDE">
        <w:t xml:space="preserve"> than individual authorisation (traditional). In the ECC Report 307, an </w:t>
      </w:r>
      <w:r w:rsidR="00FF61D2" w:rsidRPr="00742FDE">
        <w:t xml:space="preserve">authorisation </w:t>
      </w:r>
      <w:r w:rsidRPr="00742FDE">
        <w:t>regime where the base station locations are planned and known has been assumed</w:t>
      </w:r>
      <w:r w:rsidR="00FF61D2" w:rsidRPr="00742FDE">
        <w:t>,</w:t>
      </w:r>
      <w:r w:rsidRPr="00742FDE">
        <w:t xml:space="preserve"> refer</w:t>
      </w:r>
      <w:r w:rsidR="00FF61D2" w:rsidRPr="00742FDE">
        <w:t>ring</w:t>
      </w:r>
      <w:r w:rsidRPr="00742FDE">
        <w:t xml:space="preserve"> to the following authorisation regimes: local </w:t>
      </w:r>
      <w:r w:rsidR="00FF61D2" w:rsidRPr="00742FDE">
        <w:t>licences</w:t>
      </w:r>
      <w:r w:rsidRPr="00742FDE">
        <w:t>, light licensing (</w:t>
      </w:r>
      <w:r w:rsidR="00B4472C" w:rsidRPr="00742FDE">
        <w:t>Option 1</w:t>
      </w:r>
      <w:r w:rsidRPr="00742FDE">
        <w:t>), indoor restriction (</w:t>
      </w:r>
      <w:r w:rsidR="00FF61D2" w:rsidRPr="00742FDE">
        <w:t>i</w:t>
      </w:r>
      <w:r w:rsidRPr="00742FDE">
        <w:t>ndoor licence).</w:t>
      </w:r>
    </w:p>
    <w:p w14:paraId="2E5B32A1" w14:textId="3086A6A2" w:rsidR="00C90965" w:rsidRPr="00742FDE" w:rsidRDefault="00C90965" w:rsidP="00C90965">
      <w:r w:rsidRPr="00742FDE">
        <w:t xml:space="preserve">Building penetration loss at 26 GHz offers </w:t>
      </w:r>
      <w:r w:rsidR="00FF1E60" w:rsidRPr="00742FDE">
        <w:t xml:space="preserve">additional </w:t>
      </w:r>
      <w:r w:rsidRPr="00742FDE">
        <w:t xml:space="preserve">isolation between indoor and outdoor </w:t>
      </w:r>
      <w:r w:rsidR="001953A0" w:rsidRPr="00742FDE">
        <w:t xml:space="preserve">MFCN </w:t>
      </w:r>
      <w:r w:rsidRPr="00742FDE">
        <w:t>systems.</w:t>
      </w:r>
    </w:p>
    <w:p w14:paraId="5699F87F" w14:textId="57A74297" w:rsidR="000E725D" w:rsidRPr="00742FDE" w:rsidRDefault="000E725D" w:rsidP="000E725D">
      <w:pPr>
        <w:rPr>
          <w:rStyle w:val="ECCParagraph"/>
        </w:rPr>
      </w:pPr>
      <w:r w:rsidRPr="00742FDE">
        <w:rPr>
          <w:rStyle w:val="ECCParagraph"/>
        </w:rPr>
        <w:t xml:space="preserve">MFCN equipment for </w:t>
      </w:r>
      <w:r w:rsidR="00622714" w:rsidRPr="00742FDE">
        <w:rPr>
          <w:rStyle w:val="ECCParagraph"/>
        </w:rPr>
        <w:t xml:space="preserve">the </w:t>
      </w:r>
      <w:r w:rsidRPr="00742FDE">
        <w:rPr>
          <w:rStyle w:val="ECCParagraph"/>
        </w:rPr>
        <w:t>26 GHz</w:t>
      </w:r>
      <w:r w:rsidR="00622714" w:rsidRPr="00742FDE">
        <w:rPr>
          <w:rStyle w:val="ECCParagraph"/>
        </w:rPr>
        <w:t xml:space="preserve"> frequency band</w:t>
      </w:r>
      <w:r w:rsidRPr="00742FDE">
        <w:rPr>
          <w:rStyle w:val="ECCParagraph"/>
        </w:rPr>
        <w:t xml:space="preserve"> has been initially standardised under the assumption of a traditional licensed approach. At this stage, some parameters and scenarios for deployment of MFCN</w:t>
      </w:r>
      <w:r w:rsidR="009E0834" w:rsidRPr="00742FDE">
        <w:rPr>
          <w:rStyle w:val="ECCParagraph"/>
        </w:rPr>
        <w:t xml:space="preserve"> in </w:t>
      </w:r>
      <w:r w:rsidR="00AF6270" w:rsidRPr="00742FDE">
        <w:rPr>
          <w:rStyle w:val="ECCParagraph"/>
        </w:rPr>
        <w:t xml:space="preserve">the </w:t>
      </w:r>
      <w:r w:rsidR="009E0834" w:rsidRPr="00742FDE">
        <w:rPr>
          <w:rStyle w:val="ECCParagraph"/>
        </w:rPr>
        <w:t>26 GHz</w:t>
      </w:r>
      <w:r w:rsidRPr="00742FDE">
        <w:rPr>
          <w:rStyle w:val="ECCParagraph"/>
        </w:rPr>
        <w:t xml:space="preserve"> </w:t>
      </w:r>
      <w:r w:rsidR="00AF6270" w:rsidRPr="00742FDE">
        <w:rPr>
          <w:rStyle w:val="ECCParagraph"/>
        </w:rPr>
        <w:t xml:space="preserve">frequency band </w:t>
      </w:r>
      <w:r w:rsidRPr="00742FDE">
        <w:rPr>
          <w:rStyle w:val="ECCParagraph"/>
        </w:rPr>
        <w:t xml:space="preserve">under unlicensed </w:t>
      </w:r>
      <w:r w:rsidR="008F2CB1" w:rsidRPr="00742FDE">
        <w:rPr>
          <w:rStyle w:val="ECCParagraph"/>
        </w:rPr>
        <w:t>approach</w:t>
      </w:r>
      <w:r w:rsidRPr="00742FDE">
        <w:rPr>
          <w:rStyle w:val="ECCParagraph"/>
        </w:rPr>
        <w:t xml:space="preserve"> have not been fully defined.</w:t>
      </w:r>
    </w:p>
    <w:p w14:paraId="301B3A72" w14:textId="77777777" w:rsidR="00F46A7D" w:rsidRPr="00742FDE" w:rsidRDefault="00F46A7D" w:rsidP="00F46A7D"/>
    <w:p w14:paraId="1F9E006E" w14:textId="77777777" w:rsidR="007B0759" w:rsidRPr="005B48B7" w:rsidRDefault="007B0759" w:rsidP="005B48B7">
      <w:pPr>
        <w:pStyle w:val="Heading1"/>
        <w:rPr>
          <w:lang w:val="en-GB"/>
        </w:rPr>
      </w:pPr>
      <w:bookmarkStart w:id="120" w:name="_Toc45610659"/>
      <w:r w:rsidRPr="005B48B7">
        <w:rPr>
          <w:lang w:val="en-GB"/>
        </w:rPr>
        <w:lastRenderedPageBreak/>
        <w:t>FOLLOW UP ACTIONS</w:t>
      </w:r>
      <w:bookmarkEnd w:id="120"/>
    </w:p>
    <w:p w14:paraId="1B17F95A" w14:textId="4A473EE6" w:rsidR="00F7338B" w:rsidRPr="00742FDE" w:rsidRDefault="000E6E63" w:rsidP="004B33F2">
      <w:bookmarkStart w:id="121" w:name="_Toc396153645"/>
      <w:bookmarkStart w:id="122" w:name="_Toc396383873"/>
      <w:bookmarkStart w:id="123" w:name="_Toc396917306"/>
      <w:bookmarkStart w:id="124" w:name="_Toc396917417"/>
      <w:bookmarkStart w:id="125" w:name="_Toc396917637"/>
      <w:bookmarkStart w:id="126" w:name="_Toc396917652"/>
      <w:bookmarkStart w:id="127" w:name="_Toc396917757"/>
      <w:r w:rsidRPr="00742FDE">
        <w:t>T</w:t>
      </w:r>
      <w:r w:rsidR="00A6651E" w:rsidRPr="00742FDE">
        <w:t xml:space="preserve">here is a need for administrations to </w:t>
      </w:r>
      <w:r w:rsidRPr="00742FDE">
        <w:t>assess</w:t>
      </w:r>
      <w:r w:rsidR="00A6651E" w:rsidRPr="00742FDE">
        <w:t xml:space="preserve"> during the initial phase of 5G any issue of interference from MFCN to incumbent usage (if any), in particular MFCN under general authorisation</w:t>
      </w:r>
      <w:r w:rsidR="005822CC" w:rsidRPr="00742FDE">
        <w:t xml:space="preserve"> regime</w:t>
      </w:r>
      <w:r w:rsidR="00A6651E" w:rsidRPr="00742FDE">
        <w:t xml:space="preserve">. There is a need to analyse and share the findings in CEPT and </w:t>
      </w:r>
      <w:r w:rsidR="00FF61D2" w:rsidRPr="00742FDE">
        <w:t xml:space="preserve">to </w:t>
      </w:r>
      <w:r w:rsidR="00A6651E" w:rsidRPr="00742FDE">
        <w:t>take follow up action</w:t>
      </w:r>
      <w:r w:rsidR="00FF61D2" w:rsidRPr="00742FDE">
        <w:t>s</w:t>
      </w:r>
      <w:r w:rsidR="00A6651E" w:rsidRPr="00742FDE">
        <w:t xml:space="preserve"> as appropriate.</w:t>
      </w:r>
      <w:r w:rsidR="0034524C" w:rsidRPr="00742FDE">
        <w:t xml:space="preserve"> </w:t>
      </w:r>
      <w:r w:rsidR="00CD26C7" w:rsidRPr="00742FDE">
        <w:t xml:space="preserve">Administrations are invited </w:t>
      </w:r>
      <w:r w:rsidR="00AD4FB0" w:rsidRPr="00742FDE">
        <w:t>to share information on possible additional usage scenarios</w:t>
      </w:r>
      <w:r w:rsidR="00F7338B" w:rsidRPr="00742FDE">
        <w:t>.</w:t>
      </w:r>
    </w:p>
    <w:p w14:paraId="01C5B609" w14:textId="7E5F8DD2" w:rsidR="00F7338B" w:rsidRPr="00742FDE" w:rsidRDefault="00F7338B" w:rsidP="00F7338B">
      <w:r w:rsidRPr="00742FDE">
        <w:t>CEPT/ETSI cooperation ensures coherence between harmonised standards and harmonised technical conditions.</w:t>
      </w:r>
    </w:p>
    <w:p w14:paraId="18E51D90" w14:textId="5C5FB51F" w:rsidR="00F20838" w:rsidRPr="00742FDE" w:rsidRDefault="00B85860" w:rsidP="00337D50">
      <w:r w:rsidRPr="00742FDE">
        <w:t xml:space="preserve">There is need </w:t>
      </w:r>
      <w:r w:rsidR="009635BB" w:rsidRPr="00742FDE">
        <w:t>for administrations</w:t>
      </w:r>
      <w:r w:rsidRPr="00742FDE">
        <w:t xml:space="preserve"> to ensure that equipment placed on the market and operated in this band under a general authorisation regime would satisfy the required conditions</w:t>
      </w:r>
      <w:r w:rsidR="00AE332D" w:rsidRPr="00742FDE">
        <w:t xml:space="preserve"> </w:t>
      </w:r>
      <w:r w:rsidR="00164341" w:rsidRPr="00742FDE">
        <w:t>to avoid interference being caused by non-compliant equipment</w:t>
      </w:r>
      <w:r w:rsidR="00361118" w:rsidRPr="00742FDE">
        <w:t xml:space="preserve"> (</w:t>
      </w:r>
      <w:r w:rsidR="00E602F3" w:rsidRPr="00742FDE">
        <w:t xml:space="preserve">e.g. </w:t>
      </w:r>
      <w:r w:rsidR="00361118" w:rsidRPr="00742FDE">
        <w:t xml:space="preserve">see ECC Action Plan on </w:t>
      </w:r>
      <w:r w:rsidR="009B7A77" w:rsidRPr="00742FDE">
        <w:t>WAS/</w:t>
      </w:r>
      <w:r w:rsidR="00361118" w:rsidRPr="00742FDE">
        <w:t>RLAN 5 GHz)</w:t>
      </w:r>
      <w:r w:rsidRPr="00742FDE">
        <w:t>. This would include collaboration with ETSI</w:t>
      </w:r>
      <w:r w:rsidR="00815BCC" w:rsidRPr="00742FDE">
        <w:t xml:space="preserve"> </w:t>
      </w:r>
      <w:r w:rsidR="003F30BF" w:rsidRPr="00742FDE">
        <w:t>when drafting</w:t>
      </w:r>
      <w:r w:rsidR="00815BCC" w:rsidRPr="00742FDE">
        <w:t xml:space="preserve"> the harmonised standard</w:t>
      </w:r>
      <w:r w:rsidR="005643CE" w:rsidRPr="00742FDE">
        <w:t>s</w:t>
      </w:r>
      <w:r w:rsidR="00873B9E" w:rsidRPr="00742FDE">
        <w:t>.</w:t>
      </w:r>
      <w:r w:rsidR="008B2240" w:rsidRPr="00742FDE">
        <w:t xml:space="preserve"> </w:t>
      </w:r>
      <w:r w:rsidR="00873B9E" w:rsidRPr="00742FDE">
        <w:t xml:space="preserve">In order to ensure </w:t>
      </w:r>
      <w:r w:rsidR="002300AD" w:rsidRPr="00742FDE">
        <w:t xml:space="preserve">rapid reaction </w:t>
      </w:r>
      <w:r w:rsidR="005471E6" w:rsidRPr="00742FDE">
        <w:t xml:space="preserve">in </w:t>
      </w:r>
      <w:r w:rsidR="002300AD" w:rsidRPr="00742FDE">
        <w:t xml:space="preserve">interference </w:t>
      </w:r>
      <w:r w:rsidR="005471E6" w:rsidRPr="00742FDE">
        <w:t>case</w:t>
      </w:r>
      <w:r w:rsidR="002300AD" w:rsidRPr="00742FDE">
        <w:t>s,</w:t>
      </w:r>
      <w:r w:rsidR="005471E6" w:rsidRPr="00742FDE">
        <w:t xml:space="preserve"> </w:t>
      </w:r>
      <w:r w:rsidR="008E68D7" w:rsidRPr="00742FDE">
        <w:t xml:space="preserve">this would </w:t>
      </w:r>
      <w:r w:rsidRPr="00742FDE">
        <w:t xml:space="preserve">involve </w:t>
      </w:r>
      <w:r w:rsidR="008E68D7" w:rsidRPr="00742FDE">
        <w:t xml:space="preserve">national </w:t>
      </w:r>
      <w:r w:rsidRPr="00742FDE">
        <w:t>market surveillance</w:t>
      </w:r>
      <w:r w:rsidR="00AA1838" w:rsidRPr="00742FDE">
        <w:t>, monitoring</w:t>
      </w:r>
      <w:r w:rsidR="0092255A" w:rsidRPr="00742FDE">
        <w:t>,</w:t>
      </w:r>
      <w:r w:rsidRPr="00742FDE">
        <w:t xml:space="preserve"> enforcement </w:t>
      </w:r>
      <w:r w:rsidR="0092255A" w:rsidRPr="00742FDE">
        <w:t>and rapid reaction to interference cases</w:t>
      </w:r>
      <w:r w:rsidR="001C3B82" w:rsidRPr="00742FDE">
        <w:t>.</w:t>
      </w:r>
    </w:p>
    <w:p w14:paraId="28ABC9D3" w14:textId="1A12765C" w:rsidR="008A54FC" w:rsidRPr="00742FDE" w:rsidRDefault="007037B0" w:rsidP="009465E0">
      <w:pPr>
        <w:pStyle w:val="Heading1"/>
        <w:rPr>
          <w:lang w:val="en-GB"/>
        </w:rPr>
      </w:pPr>
      <w:bookmarkStart w:id="128" w:name="_Toc37256372"/>
      <w:bookmarkStart w:id="129" w:name="_Toc32403331"/>
      <w:bookmarkStart w:id="130" w:name="_Toc45610660"/>
      <w:r w:rsidRPr="00742FDE">
        <w:rPr>
          <w:lang w:val="en-GB"/>
        </w:rPr>
        <w:lastRenderedPageBreak/>
        <w:t>Co</w:t>
      </w:r>
      <w:r w:rsidR="008A54FC" w:rsidRPr="00742FDE">
        <w:rPr>
          <w:lang w:val="en-GB"/>
        </w:rPr>
        <w:t>nclusions</w:t>
      </w:r>
      <w:bookmarkEnd w:id="76"/>
      <w:bookmarkEnd w:id="77"/>
      <w:bookmarkEnd w:id="78"/>
      <w:bookmarkEnd w:id="121"/>
      <w:bookmarkEnd w:id="122"/>
      <w:bookmarkEnd w:id="123"/>
      <w:bookmarkEnd w:id="124"/>
      <w:bookmarkEnd w:id="125"/>
      <w:bookmarkEnd w:id="126"/>
      <w:bookmarkEnd w:id="127"/>
      <w:bookmarkEnd w:id="128"/>
      <w:bookmarkEnd w:id="129"/>
      <w:bookmarkEnd w:id="130"/>
    </w:p>
    <w:p w14:paraId="4B8F857B" w14:textId="1FDBF91F" w:rsidR="00516D78" w:rsidRPr="00742FDE" w:rsidRDefault="00516D78" w:rsidP="00516D78">
      <w:pPr>
        <w:rPr>
          <w:rStyle w:val="ECCParagraph"/>
        </w:rPr>
      </w:pPr>
      <w:bookmarkStart w:id="131" w:name="_Toc169147730"/>
      <w:bookmarkStart w:id="132" w:name="_Toc380059616"/>
      <w:bookmarkStart w:id="133" w:name="_Toc380059758"/>
      <w:r w:rsidRPr="00742FDE">
        <w:rPr>
          <w:rStyle w:val="ECCParagraph"/>
        </w:rPr>
        <w:t xml:space="preserve">This </w:t>
      </w:r>
      <w:r w:rsidR="00E80513" w:rsidRPr="00742FDE">
        <w:rPr>
          <w:rStyle w:val="ECCParagraph"/>
        </w:rPr>
        <w:t>R</w:t>
      </w:r>
      <w:r w:rsidRPr="00742FDE">
        <w:rPr>
          <w:rStyle w:val="ECCParagraph"/>
        </w:rPr>
        <w:t xml:space="preserve">eport provides information to assist administrations who are considering authorisation regimes for </w:t>
      </w:r>
      <w:r w:rsidR="00F6720E" w:rsidRPr="00742FDE">
        <w:rPr>
          <w:rStyle w:val="ECCParagraph"/>
        </w:rPr>
        <w:t xml:space="preserve">the </w:t>
      </w:r>
      <w:r w:rsidRPr="00742FDE">
        <w:rPr>
          <w:rStyle w:val="ECCParagraph"/>
        </w:rPr>
        <w:t>24.25-27.5 GHz</w:t>
      </w:r>
      <w:r w:rsidR="00F6720E" w:rsidRPr="00742FDE">
        <w:rPr>
          <w:rStyle w:val="ECCParagraph"/>
        </w:rPr>
        <w:t xml:space="preserve"> frequency band</w:t>
      </w:r>
      <w:r w:rsidRPr="00742FDE">
        <w:rPr>
          <w:rStyle w:val="ECCParagraph"/>
        </w:rPr>
        <w:t xml:space="preserve"> other than individual rights of use and guidance to administrations </w:t>
      </w:r>
      <w:r w:rsidR="008B69A8" w:rsidRPr="00742FDE">
        <w:rPr>
          <w:rStyle w:val="ECCParagraph"/>
        </w:rPr>
        <w:t>particularly</w:t>
      </w:r>
      <w:r w:rsidRPr="00742FDE">
        <w:rPr>
          <w:rStyle w:val="ECCParagraph"/>
        </w:rPr>
        <w:t xml:space="preserve"> in relation to ensur</w:t>
      </w:r>
      <w:r w:rsidR="008B69A8" w:rsidRPr="00742FDE">
        <w:rPr>
          <w:rStyle w:val="ECCParagraph"/>
        </w:rPr>
        <w:t>ing</w:t>
      </w:r>
      <w:r w:rsidRPr="00742FDE">
        <w:rPr>
          <w:rStyle w:val="ECCParagraph"/>
        </w:rPr>
        <w:t xml:space="preserve"> coexistence with radio services but without considering any changes to the technical conditions in ECC Decision (18)06</w:t>
      </w:r>
      <w:r w:rsidR="00FF61D2" w:rsidRPr="00742FDE">
        <w:rPr>
          <w:rStyle w:val="ECCParagraph"/>
        </w:rPr>
        <w:t xml:space="preserve"> </w:t>
      </w:r>
      <w:r w:rsidR="00FF61D2" w:rsidRPr="00742FDE">
        <w:rPr>
          <w:rStyle w:val="ECCParagraph"/>
        </w:rPr>
        <w:fldChar w:fldCharType="begin"/>
      </w:r>
      <w:r w:rsidR="00FF61D2" w:rsidRPr="00742FDE">
        <w:rPr>
          <w:rStyle w:val="ECCParagraph"/>
        </w:rPr>
        <w:instrText xml:space="preserve"> REF _Ref32245228 \r \h </w:instrText>
      </w:r>
      <w:r w:rsidR="00FF61D2" w:rsidRPr="00742FDE">
        <w:rPr>
          <w:rStyle w:val="ECCParagraph"/>
        </w:rPr>
      </w:r>
      <w:r w:rsidR="00FF61D2" w:rsidRPr="00742FDE">
        <w:rPr>
          <w:rStyle w:val="ECCParagraph"/>
        </w:rPr>
        <w:fldChar w:fldCharType="separate"/>
      </w:r>
      <w:r w:rsidR="00DE566A">
        <w:rPr>
          <w:rStyle w:val="ECCParagraph"/>
        </w:rPr>
        <w:t>[1]</w:t>
      </w:r>
      <w:r w:rsidR="00FF61D2" w:rsidRPr="00742FDE">
        <w:rPr>
          <w:rStyle w:val="ECCParagraph"/>
        </w:rPr>
        <w:fldChar w:fldCharType="end"/>
      </w:r>
      <w:r w:rsidRPr="00742FDE">
        <w:rPr>
          <w:rStyle w:val="ECCParagraph"/>
        </w:rPr>
        <w:t>. Any alternative authorisation regimes would be based on the current technical conditions and framework.</w:t>
      </w:r>
    </w:p>
    <w:p w14:paraId="4A749DF1" w14:textId="6D556BBD" w:rsidR="007328B4" w:rsidRPr="00742FDE" w:rsidRDefault="00F7338B" w:rsidP="007328B4">
      <w:pPr>
        <w:rPr>
          <w:rStyle w:val="ECCParagraph"/>
        </w:rPr>
      </w:pPr>
      <w:r w:rsidRPr="00742FDE">
        <w:t xml:space="preserve">It covers local licences, indoor licences, area licences, light licences, </w:t>
      </w:r>
      <w:r w:rsidR="0071222E" w:rsidRPr="00742FDE">
        <w:t xml:space="preserve">nationwide </w:t>
      </w:r>
      <w:r w:rsidRPr="00742FDE">
        <w:t>general</w:t>
      </w:r>
      <w:r w:rsidR="0071222E" w:rsidRPr="00742FDE">
        <w:t xml:space="preserve"> </w:t>
      </w:r>
      <w:r w:rsidRPr="00742FDE">
        <w:t>authorisation and local general authorisation. Some of these licence types may be envisaged to be used for verticals</w:t>
      </w:r>
      <w:r w:rsidR="000E6E63" w:rsidRPr="00742FDE">
        <w:t>.</w:t>
      </w:r>
    </w:p>
    <w:p w14:paraId="76DBF91E" w14:textId="6151A890" w:rsidR="007328B4" w:rsidRPr="00742FDE" w:rsidRDefault="007328B4" w:rsidP="007328B4">
      <w:r w:rsidRPr="00742FDE">
        <w:t>The following ECC Reports and Recommendations provide guidance and information to administrations when considering different authorisation regimes:</w:t>
      </w:r>
    </w:p>
    <w:p w14:paraId="6FF0FA8B" w14:textId="7DBF9DA3" w:rsidR="007328B4" w:rsidRPr="00742FDE" w:rsidRDefault="007328B4" w:rsidP="007328B4">
      <w:pPr>
        <w:pStyle w:val="ECCBulletsLv1"/>
      </w:pPr>
      <w:r w:rsidRPr="00742FDE">
        <w:t>ECC</w:t>
      </w:r>
      <w:r w:rsidR="00803575" w:rsidRPr="00742FDE">
        <w:t xml:space="preserve"> Recommendation </w:t>
      </w:r>
      <w:r w:rsidRPr="00742FDE">
        <w:t>(19)01</w:t>
      </w:r>
      <w:r w:rsidR="00B57C76" w:rsidRPr="00742FDE">
        <w:t xml:space="preserve"> "</w:t>
      </w:r>
      <w:r w:rsidRPr="00742FDE">
        <w:t>ECC Recommendation of 8 March 2019 on technical toolkit to support the introduction of 5G while ensuring, in a proportionate way, the use of existing and planned EESS/SRS receiving earth stations in the 26 GHz band and the possibility for future deployment of these earth stations</w:t>
      </w:r>
      <w:r w:rsidR="00803575" w:rsidRPr="00742FDE">
        <w:t>"</w:t>
      </w:r>
      <w:r w:rsidR="00FF61D2" w:rsidRPr="00742FDE">
        <w:t xml:space="preserve"> </w:t>
      </w:r>
      <w:r w:rsidR="00FF61D2" w:rsidRPr="00742FDE">
        <w:fldChar w:fldCharType="begin"/>
      </w:r>
      <w:r w:rsidR="00FF61D2" w:rsidRPr="00742FDE">
        <w:instrText xml:space="preserve"> REF _Ref32245247 \r \h </w:instrText>
      </w:r>
      <w:r w:rsidR="00FF61D2" w:rsidRPr="00742FDE">
        <w:fldChar w:fldCharType="separate"/>
      </w:r>
      <w:r w:rsidR="00DE566A">
        <w:t>[4]</w:t>
      </w:r>
      <w:r w:rsidR="00FF61D2" w:rsidRPr="00742FDE">
        <w:fldChar w:fldCharType="end"/>
      </w:r>
      <w:r w:rsidR="00E80513" w:rsidRPr="00742FDE">
        <w:t>;</w:t>
      </w:r>
    </w:p>
    <w:p w14:paraId="0AC89013" w14:textId="43B1900D" w:rsidR="007328B4" w:rsidRPr="00742FDE" w:rsidRDefault="007328B4" w:rsidP="007328B4">
      <w:pPr>
        <w:pStyle w:val="ECCBulletsLv1"/>
      </w:pPr>
      <w:r w:rsidRPr="00742FDE">
        <w:t xml:space="preserve">ECC Recommendation (20)01 </w:t>
      </w:r>
      <w:r w:rsidR="00B57C76" w:rsidRPr="00742FDE">
        <w:t>"</w:t>
      </w:r>
      <w:r w:rsidRPr="00742FDE">
        <w:t>Guidelines to support the introduction of 5G while ensuring, in a proportionate way, the use of existing and planned FSS transmitting earth stations in the frequency band 24.65-25.25 GHz and the possibility for future deployment of these earth stations</w:t>
      </w:r>
      <w:r w:rsidR="00B57C76" w:rsidRPr="00742FDE">
        <w:t>"</w:t>
      </w:r>
      <w:r w:rsidR="00FF61D2" w:rsidRPr="00742FDE">
        <w:t xml:space="preserve"> </w:t>
      </w:r>
      <w:r w:rsidR="00FF61D2" w:rsidRPr="00742FDE">
        <w:fldChar w:fldCharType="begin"/>
      </w:r>
      <w:r w:rsidR="00FF61D2" w:rsidRPr="00742FDE">
        <w:instrText xml:space="preserve"> REF _Ref32245251 \r \h </w:instrText>
      </w:r>
      <w:r w:rsidR="00FF61D2" w:rsidRPr="00742FDE">
        <w:fldChar w:fldCharType="separate"/>
      </w:r>
      <w:r w:rsidR="00DE566A">
        <w:t>[5]</w:t>
      </w:r>
      <w:r w:rsidR="00FF61D2" w:rsidRPr="00742FDE">
        <w:fldChar w:fldCharType="end"/>
      </w:r>
      <w:r w:rsidR="00E80513" w:rsidRPr="00742FDE">
        <w:t>;</w:t>
      </w:r>
    </w:p>
    <w:p w14:paraId="57970244" w14:textId="0DF00DE1" w:rsidR="00B57C76" w:rsidRPr="00742FDE" w:rsidRDefault="007328B4" w:rsidP="007328B4">
      <w:pPr>
        <w:pStyle w:val="ECCBulletsLv1"/>
      </w:pPr>
      <w:r w:rsidRPr="00742FDE">
        <w:t xml:space="preserve">ECC Report 303 "Guidance to administrations for Coexistence between 5G and Fixed Links in the 26 GHz band ("Toolbox")" </w:t>
      </w:r>
      <w:r w:rsidR="00FF61D2" w:rsidRPr="00742FDE">
        <w:fldChar w:fldCharType="begin"/>
      </w:r>
      <w:r w:rsidR="00FF61D2" w:rsidRPr="00742FDE">
        <w:instrText xml:space="preserve"> REF _Ref32245256 \r \h </w:instrText>
      </w:r>
      <w:r w:rsidR="00FF61D2" w:rsidRPr="00742FDE">
        <w:fldChar w:fldCharType="separate"/>
      </w:r>
      <w:r w:rsidR="00DE566A">
        <w:t>[6]</w:t>
      </w:r>
      <w:r w:rsidR="00FF61D2" w:rsidRPr="00742FDE">
        <w:fldChar w:fldCharType="end"/>
      </w:r>
      <w:r w:rsidR="00A12739" w:rsidRPr="00742FDE">
        <w:t>;</w:t>
      </w:r>
    </w:p>
    <w:p w14:paraId="4B4BD9D5" w14:textId="438D5002" w:rsidR="007328B4" w:rsidRPr="00742FDE" w:rsidRDefault="007328B4" w:rsidP="00F7797A">
      <w:pPr>
        <w:pStyle w:val="ECCBulletsLv2"/>
      </w:pPr>
      <w:r w:rsidRPr="00742FDE">
        <w:t xml:space="preserve">Although this </w:t>
      </w:r>
      <w:r w:rsidR="00E80513" w:rsidRPr="00742FDE">
        <w:t>R</w:t>
      </w:r>
      <w:r w:rsidRPr="00742FDE">
        <w:t xml:space="preserve">eport </w:t>
      </w:r>
      <w:r w:rsidR="00FF61D2" w:rsidRPr="00742FDE">
        <w:t>was</w:t>
      </w:r>
      <w:r w:rsidRPr="00742FDE">
        <w:t xml:space="preserve"> developed under the assumption of an individual authorisation </w:t>
      </w:r>
      <w:r w:rsidR="000074D5" w:rsidRPr="00742FDE">
        <w:t>regime</w:t>
      </w:r>
      <w:r w:rsidRPr="00742FDE">
        <w:t xml:space="preserve"> for MFCN, it can provide some useful information if other authorisation </w:t>
      </w:r>
      <w:r w:rsidR="00330C00" w:rsidRPr="00742FDE">
        <w:t>regimes</w:t>
      </w:r>
      <w:r w:rsidRPr="00742FDE">
        <w:t xml:space="preserve"> </w:t>
      </w:r>
      <w:r w:rsidR="00FF61D2" w:rsidRPr="00742FDE">
        <w:t>are</w:t>
      </w:r>
      <w:r w:rsidRPr="00742FDE">
        <w:t xml:space="preserve"> to be considered. Knowledge of the locations and parameters of the </w:t>
      </w:r>
      <w:r w:rsidR="00803575" w:rsidRPr="00742FDE">
        <w:t xml:space="preserve">MFCN </w:t>
      </w:r>
      <w:r w:rsidRPr="00742FDE">
        <w:t xml:space="preserve">base stations is necessary if coordination with fixed services </w:t>
      </w:r>
      <w:r w:rsidR="00FF61D2" w:rsidRPr="00742FDE">
        <w:t xml:space="preserve">is to be managed </w:t>
      </w:r>
      <w:r w:rsidRPr="00742FDE">
        <w:t>on a national basis</w:t>
      </w:r>
      <w:r w:rsidR="00E80513" w:rsidRPr="00742FDE">
        <w:t>;</w:t>
      </w:r>
    </w:p>
    <w:p w14:paraId="25464307" w14:textId="4D512B55" w:rsidR="00B57C76" w:rsidRPr="00742FDE" w:rsidRDefault="007328B4" w:rsidP="007328B4">
      <w:pPr>
        <w:pStyle w:val="ECCBulletsLv1"/>
        <w:rPr>
          <w:rStyle w:val="ECCParagraph"/>
        </w:rPr>
      </w:pPr>
      <w:r w:rsidRPr="00742FDE">
        <w:t xml:space="preserve">ECC Report 307 </w:t>
      </w:r>
      <w:r w:rsidR="00372B45" w:rsidRPr="00742FDE">
        <w:t>"</w:t>
      </w:r>
      <w:r w:rsidRPr="00742FDE">
        <w:t>Toolbox for the most appropriate synchronisation regulatory framework including coexistence of MFCN in 24.25-27.5 GHz in unsynchronised and semi-synchronised mode</w:t>
      </w:r>
      <w:r w:rsidR="00372B45" w:rsidRPr="00742FDE">
        <w:t>"</w:t>
      </w:r>
      <w:r w:rsidR="00FF61D2" w:rsidRPr="00742FDE">
        <w:t xml:space="preserve"> </w:t>
      </w:r>
      <w:r w:rsidR="00FF61D2" w:rsidRPr="00742FDE">
        <w:fldChar w:fldCharType="begin"/>
      </w:r>
      <w:r w:rsidR="00FF61D2" w:rsidRPr="00742FDE">
        <w:instrText xml:space="preserve"> REF _Ref32245273 \r \h </w:instrText>
      </w:r>
      <w:r w:rsidR="00FF61D2" w:rsidRPr="00742FDE">
        <w:fldChar w:fldCharType="separate"/>
      </w:r>
      <w:r w:rsidR="00DE566A">
        <w:t>[7]</w:t>
      </w:r>
      <w:r w:rsidR="00FF61D2" w:rsidRPr="00742FDE">
        <w:fldChar w:fldCharType="end"/>
      </w:r>
      <w:r w:rsidR="00A12739" w:rsidRPr="00742FDE">
        <w:t>;</w:t>
      </w:r>
    </w:p>
    <w:p w14:paraId="37F08B4F" w14:textId="0951E18B" w:rsidR="007328B4" w:rsidRPr="00742FDE" w:rsidRDefault="007328B4" w:rsidP="00F7797A">
      <w:pPr>
        <w:pStyle w:val="ECCBulletsLv2"/>
      </w:pPr>
      <w:r w:rsidRPr="00742FDE">
        <w:rPr>
          <w:rStyle w:val="ECCParagraph"/>
        </w:rPr>
        <w:t>In this Report, an authori</w:t>
      </w:r>
      <w:r w:rsidR="00FF61D2" w:rsidRPr="00742FDE">
        <w:rPr>
          <w:rStyle w:val="ECCParagraph"/>
        </w:rPr>
        <w:t>s</w:t>
      </w:r>
      <w:r w:rsidRPr="00742FDE">
        <w:rPr>
          <w:rStyle w:val="ECCParagraph"/>
        </w:rPr>
        <w:t xml:space="preserve">ation regime where the base station locations are planned and well known </w:t>
      </w:r>
      <w:r w:rsidR="00FF61D2" w:rsidRPr="00742FDE">
        <w:rPr>
          <w:rStyle w:val="ECCParagraph"/>
        </w:rPr>
        <w:t>was</w:t>
      </w:r>
      <w:r w:rsidRPr="00742FDE">
        <w:rPr>
          <w:rStyle w:val="ECCParagraph"/>
        </w:rPr>
        <w:t xml:space="preserve"> assumed.</w:t>
      </w:r>
    </w:p>
    <w:p w14:paraId="52A4AA9A" w14:textId="52BA8FF2" w:rsidR="007328B4" w:rsidRPr="00742FDE" w:rsidRDefault="007328B4" w:rsidP="007328B4">
      <w:pPr>
        <w:rPr>
          <w:rStyle w:val="ECCParagraph"/>
        </w:rPr>
      </w:pPr>
      <w:r w:rsidRPr="00742FDE">
        <w:t>The above ECC deliverables have been developed under the assumption of individual authorisation regime (traditional method of authori</w:t>
      </w:r>
      <w:r w:rsidR="00FF61D2" w:rsidRPr="00742FDE">
        <w:t>s</w:t>
      </w:r>
      <w:r w:rsidRPr="00742FDE">
        <w:t>ing MFCN (i.e. national licences)) in line with ECC Dec</w:t>
      </w:r>
      <w:r w:rsidR="00803575" w:rsidRPr="00742FDE">
        <w:t>ision </w:t>
      </w:r>
      <w:r w:rsidRPr="00742FDE">
        <w:t xml:space="preserve">(18)06. When considering those </w:t>
      </w:r>
      <w:r w:rsidR="007F0C0A" w:rsidRPr="00742FDE">
        <w:t>R</w:t>
      </w:r>
      <w:r w:rsidRPr="00742FDE">
        <w:t xml:space="preserve">ecommendations and </w:t>
      </w:r>
      <w:r w:rsidR="007F0C0A" w:rsidRPr="00742FDE">
        <w:t>R</w:t>
      </w:r>
      <w:r w:rsidRPr="00742FDE">
        <w:t xml:space="preserve">eports, administrations should also take into consideration this </w:t>
      </w:r>
      <w:r w:rsidR="00803575" w:rsidRPr="00742FDE">
        <w:t>R</w:t>
      </w:r>
      <w:r w:rsidRPr="00742FDE">
        <w:t>eport on the impact of different authori</w:t>
      </w:r>
      <w:r w:rsidR="00FF61D2" w:rsidRPr="00742FDE">
        <w:t>s</w:t>
      </w:r>
      <w:r w:rsidRPr="00742FDE">
        <w:t xml:space="preserve">ation </w:t>
      </w:r>
      <w:r w:rsidR="000E474F" w:rsidRPr="00742FDE">
        <w:t xml:space="preserve">regimes </w:t>
      </w:r>
      <w:r w:rsidRPr="00742FDE">
        <w:t>from the traditional method of authorising MFCN.</w:t>
      </w:r>
    </w:p>
    <w:p w14:paraId="1231A659" w14:textId="5AF2A6B4" w:rsidR="00CE4F50" w:rsidRPr="00742FDE" w:rsidRDefault="007328B4" w:rsidP="00F7338B">
      <w:pPr>
        <w:rPr>
          <w:rStyle w:val="ECCParagraph"/>
        </w:rPr>
      </w:pPr>
      <w:r w:rsidRPr="00742FDE">
        <w:rPr>
          <w:rStyle w:val="ECCParagraph"/>
        </w:rPr>
        <w:t>When considering regimes other than the traditional method of authorising MFCN (i.e. national licences), due to incumbent usages/deployments and depending on authorisation regimes, there may be a need to consider coexistence conditions and deployment scenario</w:t>
      </w:r>
      <w:r w:rsidR="00FF61D2" w:rsidRPr="00742FDE">
        <w:rPr>
          <w:rStyle w:val="ECCParagraph"/>
        </w:rPr>
        <w:t>s</w:t>
      </w:r>
      <w:r w:rsidRPr="00742FDE">
        <w:rPr>
          <w:rStyle w:val="ECCParagraph"/>
        </w:rPr>
        <w:t xml:space="preserve"> at national level.</w:t>
      </w:r>
    </w:p>
    <w:p w14:paraId="15C753FD" w14:textId="26F51271" w:rsidR="00CE4F50" w:rsidRPr="00742FDE" w:rsidRDefault="00FF61D2" w:rsidP="00F7338B">
      <w:pPr>
        <w:rPr>
          <w:rStyle w:val="ECCParagraph"/>
        </w:rPr>
      </w:pPr>
      <w:r w:rsidRPr="00742FDE">
        <w:rPr>
          <w:rStyle w:val="ECCParagraph"/>
        </w:rPr>
        <w:t>In</w:t>
      </w:r>
      <w:r w:rsidR="00CE4F50" w:rsidRPr="00742FDE">
        <w:rPr>
          <w:rStyle w:val="ECCParagraph"/>
        </w:rPr>
        <w:t xml:space="preserve"> this freque</w:t>
      </w:r>
      <w:r w:rsidR="002A7403" w:rsidRPr="00742FDE">
        <w:rPr>
          <w:rStyle w:val="ECCParagraph"/>
        </w:rPr>
        <w:t xml:space="preserve">ncy band, indoor deployment of </w:t>
      </w:r>
      <w:r w:rsidR="00CE4F50" w:rsidRPr="00742FDE">
        <w:rPr>
          <w:rStyle w:val="ECCParagraph"/>
        </w:rPr>
        <w:t>MFCN benefits from lower interference to other outdoor services due to building penetration loss, and therefore has the potential for early deployment.</w:t>
      </w:r>
    </w:p>
    <w:p w14:paraId="13BC5FE1" w14:textId="77777777" w:rsidR="00A54773" w:rsidRPr="00742FDE" w:rsidRDefault="00A54773" w:rsidP="00070C63">
      <w:pPr>
        <w:pStyle w:val="Heading2"/>
        <w:rPr>
          <w:rStyle w:val="ECCParagraph"/>
        </w:rPr>
      </w:pPr>
      <w:bookmarkStart w:id="134" w:name="_Toc37256373"/>
      <w:bookmarkStart w:id="135" w:name="_Toc45610661"/>
      <w:r w:rsidRPr="00742FDE">
        <w:rPr>
          <w:rStyle w:val="ECCParagraph"/>
        </w:rPr>
        <w:t>EESS/SRS earth stations</w:t>
      </w:r>
      <w:bookmarkEnd w:id="134"/>
      <w:bookmarkEnd w:id="135"/>
      <w:r w:rsidRPr="00742FDE">
        <w:rPr>
          <w:rStyle w:val="ECCParagraph"/>
        </w:rPr>
        <w:t xml:space="preserve"> </w:t>
      </w:r>
    </w:p>
    <w:p w14:paraId="3CB6EF6A" w14:textId="1AE2CB0D" w:rsidR="00A54773" w:rsidRPr="00742FDE" w:rsidRDefault="00A54773" w:rsidP="00A54773">
      <w:pPr>
        <w:rPr>
          <w:rStyle w:val="ECCParagraph"/>
        </w:rPr>
      </w:pPr>
      <w:r w:rsidRPr="00742FDE">
        <w:rPr>
          <w:rStyle w:val="ECCParagraph"/>
        </w:rPr>
        <w:t>Coexistence is manageable when the location</w:t>
      </w:r>
      <w:r w:rsidR="007C3850" w:rsidRPr="00742FDE">
        <w:rPr>
          <w:rStyle w:val="ECCParagraph"/>
        </w:rPr>
        <w:t>s</w:t>
      </w:r>
      <w:r w:rsidR="00075A84" w:rsidRPr="00742FDE">
        <w:rPr>
          <w:rStyle w:val="ECCParagraph"/>
        </w:rPr>
        <w:t xml:space="preserve"> of </w:t>
      </w:r>
      <w:r w:rsidRPr="00742FDE">
        <w:rPr>
          <w:rStyle w:val="ECCParagraph"/>
        </w:rPr>
        <w:t>MFCN BS</w:t>
      </w:r>
      <w:r w:rsidR="00F6720E" w:rsidRPr="00742FDE">
        <w:rPr>
          <w:rStyle w:val="ECCParagraph"/>
        </w:rPr>
        <w:t>s</w:t>
      </w:r>
      <w:r w:rsidRPr="00742FDE">
        <w:rPr>
          <w:rStyle w:val="ECCParagraph"/>
        </w:rPr>
        <w:t xml:space="preserve"> </w:t>
      </w:r>
      <w:r w:rsidR="007C3850" w:rsidRPr="00742FDE">
        <w:rPr>
          <w:rStyle w:val="ECCParagraph"/>
        </w:rPr>
        <w:t>are</w:t>
      </w:r>
      <w:r w:rsidRPr="00742FDE">
        <w:rPr>
          <w:rStyle w:val="ECCParagraph"/>
        </w:rPr>
        <w:t xml:space="preserve"> registered (local licen</w:t>
      </w:r>
      <w:r w:rsidR="007C3850" w:rsidRPr="00742FDE">
        <w:rPr>
          <w:rStyle w:val="ECCParagraph"/>
        </w:rPr>
        <w:t>c</w:t>
      </w:r>
      <w:r w:rsidRPr="00742FDE">
        <w:rPr>
          <w:rStyle w:val="ECCParagraph"/>
        </w:rPr>
        <w:t>es, light licensing, indoor restriction (indoor licence)) in the vicinity of the earth station inside the coordination zone. Coexistence is possible when these MFCN BS</w:t>
      </w:r>
      <w:r w:rsidR="00F6720E" w:rsidRPr="00742FDE">
        <w:rPr>
          <w:rStyle w:val="ECCParagraph"/>
        </w:rPr>
        <w:t>s</w:t>
      </w:r>
      <w:r w:rsidRPr="00742FDE">
        <w:rPr>
          <w:rStyle w:val="ECCParagraph"/>
        </w:rPr>
        <w:t xml:space="preserve"> </w:t>
      </w:r>
      <w:r w:rsidR="007C3850" w:rsidRPr="00742FDE">
        <w:rPr>
          <w:rStyle w:val="ECCParagraph"/>
        </w:rPr>
        <w:t>are</w:t>
      </w:r>
      <w:r w:rsidRPr="00742FDE">
        <w:rPr>
          <w:rStyle w:val="ECCParagraph"/>
        </w:rPr>
        <w:t xml:space="preserve"> located far beyond from the coordination zone.</w:t>
      </w:r>
    </w:p>
    <w:p w14:paraId="510B8395" w14:textId="34B4FBE6" w:rsidR="00A54773" w:rsidRPr="00742FDE" w:rsidRDefault="00A54773" w:rsidP="00A83C10">
      <w:r w:rsidRPr="00742FDE">
        <w:t>When the location</w:t>
      </w:r>
      <w:r w:rsidR="007C3850" w:rsidRPr="00742FDE">
        <w:t>s</w:t>
      </w:r>
      <w:r w:rsidRPr="00742FDE">
        <w:t xml:space="preserve"> of  MFCN BS</w:t>
      </w:r>
      <w:r w:rsidR="00F6720E" w:rsidRPr="00742FDE">
        <w:t>s</w:t>
      </w:r>
      <w:r w:rsidRPr="00742FDE">
        <w:t xml:space="preserve"> </w:t>
      </w:r>
      <w:r w:rsidR="007C3850" w:rsidRPr="00742FDE">
        <w:t>are</w:t>
      </w:r>
      <w:r w:rsidRPr="00742FDE">
        <w:t xml:space="preserve"> not registered (general authorisation including local general authorisation), a solution for ensuring the coexistence with EESS/SRS earth station is needed, </w:t>
      </w:r>
      <w:r w:rsidR="008D0C13" w:rsidRPr="00742FDE">
        <w:t>such as</w:t>
      </w:r>
      <w:r w:rsidRPr="00742FDE">
        <w:t xml:space="preserve"> a cognitive sharing solution such as database/geolocation</w:t>
      </w:r>
      <w:r w:rsidR="00D2735C" w:rsidRPr="00742FDE">
        <w:t>, or</w:t>
      </w:r>
      <w:r w:rsidR="00346457" w:rsidRPr="00742FDE">
        <w:t>,</w:t>
      </w:r>
      <w:r w:rsidR="00D2735C" w:rsidRPr="00742FDE">
        <w:t xml:space="preserve"> limiting the general authorisation regime </w:t>
      </w:r>
      <w:r w:rsidR="008D0C13" w:rsidRPr="00742FDE">
        <w:t xml:space="preserve">to be used </w:t>
      </w:r>
      <w:r w:rsidR="00D2735C" w:rsidRPr="00742FDE">
        <w:t>outside the 25.5-27 GHz</w:t>
      </w:r>
      <w:r w:rsidR="00346457" w:rsidRPr="00742FDE">
        <w:t xml:space="preserve"> frequency band, where applicable</w:t>
      </w:r>
      <w:r w:rsidR="000E6E63" w:rsidRPr="00742FDE">
        <w:t>.</w:t>
      </w:r>
      <w:r w:rsidR="003B7C36" w:rsidRPr="00742FDE">
        <w:t xml:space="preserve"> </w:t>
      </w:r>
      <w:r w:rsidR="000F6692" w:rsidRPr="00742FDE">
        <w:t>Technical solutions to support implementation of database</w:t>
      </w:r>
      <w:r w:rsidR="007C3850" w:rsidRPr="00742FDE">
        <w:t>s</w:t>
      </w:r>
      <w:r w:rsidR="000F6692" w:rsidRPr="00742FDE">
        <w:t xml:space="preserve">/geolocation are emerging. </w:t>
      </w:r>
      <w:r w:rsidR="00A83C10" w:rsidRPr="00742FDE">
        <w:t xml:space="preserve">However, no studies or proposals have been submitted in support of this mode to </w:t>
      </w:r>
      <w:r w:rsidR="00F6720E" w:rsidRPr="00742FDE">
        <w:t xml:space="preserve">grant </w:t>
      </w:r>
      <w:r w:rsidR="00A83C10" w:rsidRPr="00742FDE">
        <w:t>access to spectrum</w:t>
      </w:r>
      <w:r w:rsidR="000F6692" w:rsidRPr="00742FDE">
        <w:t>.</w:t>
      </w:r>
    </w:p>
    <w:p w14:paraId="19F2539B" w14:textId="77777777" w:rsidR="00516D78" w:rsidRPr="00742FDE" w:rsidRDefault="00516D78" w:rsidP="00070C63">
      <w:pPr>
        <w:pStyle w:val="Heading2"/>
        <w:rPr>
          <w:rStyle w:val="ECCParagraph"/>
        </w:rPr>
      </w:pPr>
      <w:bookmarkStart w:id="136" w:name="_Toc37256374"/>
      <w:bookmarkStart w:id="137" w:name="_Toc45610662"/>
      <w:r w:rsidRPr="00742FDE">
        <w:rPr>
          <w:rStyle w:val="ECCParagraph"/>
        </w:rPr>
        <w:lastRenderedPageBreak/>
        <w:t>Transmitting FSS earth stations</w:t>
      </w:r>
      <w:bookmarkEnd w:id="136"/>
      <w:bookmarkEnd w:id="137"/>
      <w:r w:rsidRPr="00742FDE">
        <w:rPr>
          <w:rStyle w:val="ECCParagraph"/>
        </w:rPr>
        <w:t xml:space="preserve"> </w:t>
      </w:r>
    </w:p>
    <w:p w14:paraId="3FF26081" w14:textId="4498216D" w:rsidR="004933D7" w:rsidRPr="00742FDE" w:rsidRDefault="00516D78" w:rsidP="00F7797A">
      <w:pPr>
        <w:pStyle w:val="ECCBulletsLv1"/>
        <w:numPr>
          <w:ilvl w:val="0"/>
          <w:numId w:val="0"/>
        </w:numPr>
        <w:spacing w:before="240" w:after="60"/>
        <w:rPr>
          <w:rStyle w:val="ECCParagraph"/>
          <w:rFonts w:cs="Arial"/>
          <w:b/>
          <w:bCs/>
          <w:iCs/>
          <w:caps/>
          <w:szCs w:val="28"/>
        </w:rPr>
      </w:pPr>
      <w:r w:rsidRPr="00742FDE">
        <w:rPr>
          <w:rStyle w:val="ECCParagraph"/>
        </w:rPr>
        <w:t>There is potential interference from transmitting FSS earth stations in the band 24.65-25.25 GHz into MFCN</w:t>
      </w:r>
      <w:r w:rsidR="00372B45" w:rsidRPr="00742FDE">
        <w:rPr>
          <w:rStyle w:val="ECCParagraph"/>
        </w:rPr>
        <w:t>,</w:t>
      </w:r>
      <w:r w:rsidRPr="00742FDE">
        <w:rPr>
          <w:rStyle w:val="ECCParagraph"/>
        </w:rPr>
        <w:t xml:space="preserve"> but it would </w:t>
      </w:r>
      <w:r w:rsidR="00A54773" w:rsidRPr="00742FDE">
        <w:rPr>
          <w:rStyle w:val="ECCParagraph"/>
        </w:rPr>
        <w:t>be sufficient to rely on the provision that equipment operating under authorisation regime</w:t>
      </w:r>
      <w:r w:rsidR="007C3850" w:rsidRPr="00742FDE">
        <w:rPr>
          <w:rStyle w:val="ECCParagraph"/>
        </w:rPr>
        <w:t>s</w:t>
      </w:r>
      <w:r w:rsidR="00A54773" w:rsidRPr="00742FDE">
        <w:rPr>
          <w:rStyle w:val="ECCParagraph"/>
        </w:rPr>
        <w:t xml:space="preserve"> other than those where the BS</w:t>
      </w:r>
      <w:r w:rsidR="00796DE5" w:rsidRPr="00742FDE">
        <w:rPr>
          <w:rStyle w:val="ECCParagraph"/>
        </w:rPr>
        <w:t>s</w:t>
      </w:r>
      <w:r w:rsidR="00A54773" w:rsidRPr="00742FDE">
        <w:rPr>
          <w:rStyle w:val="ECCParagraph"/>
        </w:rPr>
        <w:t xml:space="preserve"> are registered </w:t>
      </w:r>
      <w:r w:rsidR="007C3850" w:rsidRPr="00742FDE">
        <w:rPr>
          <w:rStyle w:val="ECCParagraph"/>
        </w:rPr>
        <w:t>(</w:t>
      </w:r>
      <w:r w:rsidR="00A54773" w:rsidRPr="00742FDE">
        <w:rPr>
          <w:rStyle w:val="ECCParagraph"/>
        </w:rPr>
        <w:t>i.e. general authorisation) are on a non-protection basis.</w:t>
      </w:r>
    </w:p>
    <w:p w14:paraId="506D106D" w14:textId="3DF8375E" w:rsidR="00A54773" w:rsidRPr="00742FDE" w:rsidRDefault="00A54773" w:rsidP="00F7797A">
      <w:pPr>
        <w:pStyle w:val="ECCBulletsLv1"/>
        <w:numPr>
          <w:ilvl w:val="0"/>
          <w:numId w:val="0"/>
        </w:numPr>
        <w:spacing w:before="240" w:after="60"/>
        <w:rPr>
          <w:rStyle w:val="ECCParagraph"/>
        </w:rPr>
      </w:pPr>
      <w:r w:rsidRPr="00742FDE">
        <w:rPr>
          <w:rStyle w:val="ECCParagraph"/>
        </w:rPr>
        <w:t xml:space="preserve">It is expected that there is a low risk of interference from FSS </w:t>
      </w:r>
      <w:r w:rsidR="00FF6F3C" w:rsidRPr="00742FDE">
        <w:rPr>
          <w:rStyle w:val="ECCParagraph"/>
        </w:rPr>
        <w:t>e</w:t>
      </w:r>
      <w:r w:rsidRPr="00742FDE">
        <w:rPr>
          <w:rStyle w:val="ECCParagraph"/>
        </w:rPr>
        <w:t xml:space="preserve">arth stations to </w:t>
      </w:r>
      <w:r w:rsidR="0011162A" w:rsidRPr="00742FDE">
        <w:rPr>
          <w:rStyle w:val="ECCParagraph"/>
        </w:rPr>
        <w:t xml:space="preserve">indoor </w:t>
      </w:r>
      <w:r w:rsidRPr="00742FDE">
        <w:rPr>
          <w:rStyle w:val="ECCParagraph"/>
        </w:rPr>
        <w:t xml:space="preserve">MFCN </w:t>
      </w:r>
      <w:r w:rsidR="0011162A" w:rsidRPr="00742FDE">
        <w:rPr>
          <w:rStyle w:val="ECCParagraph"/>
        </w:rPr>
        <w:t>base stations</w:t>
      </w:r>
      <w:r w:rsidRPr="00742FDE">
        <w:rPr>
          <w:rStyle w:val="ECCParagraph"/>
        </w:rPr>
        <w:t xml:space="preserve">. </w:t>
      </w:r>
      <w:r w:rsidR="0011162A" w:rsidRPr="00742FDE">
        <w:rPr>
          <w:rStyle w:val="ECCParagraph"/>
        </w:rPr>
        <w:t>T</w:t>
      </w:r>
      <w:r w:rsidRPr="00742FDE">
        <w:rPr>
          <w:rStyle w:val="ECCParagraph"/>
        </w:rPr>
        <w:t xml:space="preserve">he impact to FSS </w:t>
      </w:r>
      <w:r w:rsidR="00FF6F3C" w:rsidRPr="00742FDE">
        <w:rPr>
          <w:rStyle w:val="ECCParagraph"/>
        </w:rPr>
        <w:t>e</w:t>
      </w:r>
      <w:r w:rsidRPr="00742FDE">
        <w:rPr>
          <w:rStyle w:val="ECCParagraph"/>
        </w:rPr>
        <w:t xml:space="preserve">arth stations </w:t>
      </w:r>
      <w:r w:rsidR="0011162A" w:rsidRPr="00742FDE">
        <w:rPr>
          <w:rStyle w:val="ECCParagraph"/>
        </w:rPr>
        <w:t>may</w:t>
      </w:r>
      <w:r w:rsidRPr="00742FDE">
        <w:rPr>
          <w:rStyle w:val="ECCParagraph"/>
        </w:rPr>
        <w:t xml:space="preserve"> be analysed on a national basis (see ECC Recommendation (20)01</w:t>
      </w:r>
      <w:r w:rsidR="007C3850" w:rsidRPr="00742FDE">
        <w:rPr>
          <w:rStyle w:val="ECCParagraph"/>
        </w:rPr>
        <w:t xml:space="preserve"> </w:t>
      </w:r>
      <w:r w:rsidR="007C3850" w:rsidRPr="00742FDE">
        <w:rPr>
          <w:rStyle w:val="ECCParagraph"/>
        </w:rPr>
        <w:fldChar w:fldCharType="begin"/>
      </w:r>
      <w:r w:rsidR="007C3850" w:rsidRPr="00742FDE">
        <w:rPr>
          <w:rStyle w:val="ECCParagraph"/>
        </w:rPr>
        <w:instrText xml:space="preserve"> REF _Ref32245251 \r \h </w:instrText>
      </w:r>
      <w:r w:rsidR="007C3850" w:rsidRPr="00742FDE">
        <w:rPr>
          <w:rStyle w:val="ECCParagraph"/>
        </w:rPr>
      </w:r>
      <w:r w:rsidR="007C3850" w:rsidRPr="00742FDE">
        <w:rPr>
          <w:rStyle w:val="ECCParagraph"/>
        </w:rPr>
        <w:fldChar w:fldCharType="separate"/>
      </w:r>
      <w:r w:rsidR="00DE566A">
        <w:rPr>
          <w:rStyle w:val="ECCParagraph"/>
        </w:rPr>
        <w:t>[5]</w:t>
      </w:r>
      <w:r w:rsidR="007C3850" w:rsidRPr="00742FDE">
        <w:rPr>
          <w:rStyle w:val="ECCParagraph"/>
        </w:rPr>
        <w:fldChar w:fldCharType="end"/>
      </w:r>
      <w:r w:rsidRPr="00742FDE">
        <w:rPr>
          <w:rStyle w:val="ECCParagraph"/>
        </w:rPr>
        <w:t>).</w:t>
      </w:r>
    </w:p>
    <w:p w14:paraId="63EF7FAF" w14:textId="77777777" w:rsidR="00A54773" w:rsidRPr="00742FDE" w:rsidRDefault="00A54773" w:rsidP="00070C63">
      <w:pPr>
        <w:pStyle w:val="Heading2"/>
        <w:rPr>
          <w:rStyle w:val="ECCParagraph"/>
        </w:rPr>
      </w:pPr>
      <w:bookmarkStart w:id="138" w:name="_Toc37256375"/>
      <w:bookmarkStart w:id="139" w:name="_Toc45610663"/>
      <w:r w:rsidRPr="00742FDE">
        <w:rPr>
          <w:rStyle w:val="ECCParagraph"/>
        </w:rPr>
        <w:t>Fixed services</w:t>
      </w:r>
      <w:bookmarkEnd w:id="138"/>
      <w:bookmarkEnd w:id="139"/>
      <w:r w:rsidRPr="00742FDE">
        <w:rPr>
          <w:rStyle w:val="ECCParagraph"/>
        </w:rPr>
        <w:t xml:space="preserve"> </w:t>
      </w:r>
    </w:p>
    <w:p w14:paraId="760259C7" w14:textId="5F6851F9" w:rsidR="0017315F" w:rsidRPr="00742FDE" w:rsidRDefault="0016029E" w:rsidP="00F7797A">
      <w:pPr>
        <w:pStyle w:val="ECCBulletsLv1"/>
        <w:numPr>
          <w:ilvl w:val="0"/>
          <w:numId w:val="0"/>
        </w:numPr>
        <w:spacing w:before="240" w:after="60"/>
        <w:rPr>
          <w:rStyle w:val="ECCParagraph"/>
          <w:rFonts w:cs="Arial"/>
          <w:b/>
          <w:bCs/>
          <w:iCs/>
          <w:caps/>
          <w:szCs w:val="28"/>
        </w:rPr>
      </w:pPr>
      <w:r w:rsidRPr="00742FDE">
        <w:rPr>
          <w:rStyle w:val="ECCParagraph"/>
        </w:rPr>
        <w:t xml:space="preserve">National coordination might be needed to manage the incumbent </w:t>
      </w:r>
      <w:r w:rsidR="007C3850" w:rsidRPr="00742FDE">
        <w:rPr>
          <w:rStyle w:val="ECCParagraph"/>
        </w:rPr>
        <w:t>fixed</w:t>
      </w:r>
      <w:r w:rsidRPr="00742FDE">
        <w:rPr>
          <w:rStyle w:val="ECCParagraph"/>
        </w:rPr>
        <w:t xml:space="preserve"> services while introducing MFCN systems in the 24.25-27.5 GHz band for certain authori</w:t>
      </w:r>
      <w:r w:rsidR="007C3850" w:rsidRPr="00742FDE">
        <w:rPr>
          <w:rStyle w:val="ECCParagraph"/>
        </w:rPr>
        <w:t>s</w:t>
      </w:r>
      <w:r w:rsidRPr="00742FDE">
        <w:rPr>
          <w:rStyle w:val="ECCParagraph"/>
        </w:rPr>
        <w:t xml:space="preserve">ation </w:t>
      </w:r>
      <w:r w:rsidR="000E474F" w:rsidRPr="00742FDE">
        <w:rPr>
          <w:rStyle w:val="ECCParagraph"/>
        </w:rPr>
        <w:t>regimes</w:t>
      </w:r>
      <w:r w:rsidRPr="00742FDE">
        <w:rPr>
          <w:rStyle w:val="ECCParagraph"/>
        </w:rPr>
        <w:t>.</w:t>
      </w:r>
      <w:r w:rsidR="0017315F" w:rsidRPr="00742FDE">
        <w:rPr>
          <w:rStyle w:val="ECCParagraph"/>
        </w:rPr>
        <w:t xml:space="preserve"> Various approaches or a combination of these approaches could be considered to manage co-channel or adjacent channel coexistence between MFCN and FS at 26 GHz. This is manageable when </w:t>
      </w:r>
      <w:r w:rsidR="007C3850" w:rsidRPr="00742FDE">
        <w:rPr>
          <w:rStyle w:val="ECCParagraph"/>
        </w:rPr>
        <w:t xml:space="preserve">the </w:t>
      </w:r>
      <w:r w:rsidR="0017315F" w:rsidRPr="00742FDE">
        <w:rPr>
          <w:rStyle w:val="ECCParagraph"/>
        </w:rPr>
        <w:t>location</w:t>
      </w:r>
      <w:r w:rsidR="007C3850" w:rsidRPr="00742FDE">
        <w:rPr>
          <w:rStyle w:val="ECCParagraph"/>
        </w:rPr>
        <w:t>s</w:t>
      </w:r>
      <w:r w:rsidR="00025D47" w:rsidRPr="00742FDE">
        <w:rPr>
          <w:rStyle w:val="ECCParagraph"/>
        </w:rPr>
        <w:t xml:space="preserve"> of </w:t>
      </w:r>
      <w:r w:rsidR="0017315F" w:rsidRPr="00742FDE">
        <w:rPr>
          <w:rStyle w:val="ECCParagraph"/>
        </w:rPr>
        <w:t>MFCN BS</w:t>
      </w:r>
      <w:r w:rsidR="00796DE5" w:rsidRPr="00742FDE">
        <w:rPr>
          <w:rStyle w:val="ECCParagraph"/>
        </w:rPr>
        <w:t>s</w:t>
      </w:r>
      <w:r w:rsidR="0017315F" w:rsidRPr="00742FDE">
        <w:rPr>
          <w:rStyle w:val="ECCParagraph"/>
        </w:rPr>
        <w:t xml:space="preserve"> </w:t>
      </w:r>
      <w:r w:rsidR="007C3850" w:rsidRPr="00742FDE">
        <w:rPr>
          <w:rStyle w:val="ECCParagraph"/>
        </w:rPr>
        <w:t>are</w:t>
      </w:r>
      <w:r w:rsidR="0017315F" w:rsidRPr="00742FDE">
        <w:rPr>
          <w:rStyle w:val="ECCParagraph"/>
        </w:rPr>
        <w:t xml:space="preserve"> registered (local authorisation, light licensing (</w:t>
      </w:r>
      <w:r w:rsidRPr="00742FDE">
        <w:rPr>
          <w:rStyle w:val="ECCParagraph"/>
        </w:rPr>
        <w:t>Option 1</w:t>
      </w:r>
      <w:r w:rsidR="0017315F" w:rsidRPr="00742FDE">
        <w:rPr>
          <w:rStyle w:val="ECCParagraph"/>
        </w:rPr>
        <w:t>)).</w:t>
      </w:r>
    </w:p>
    <w:p w14:paraId="533B2C24" w14:textId="51930C83" w:rsidR="00A54773" w:rsidRPr="00742FDE" w:rsidRDefault="0016029E" w:rsidP="00F7797A">
      <w:pPr>
        <w:pStyle w:val="ECCBulletsLv1"/>
        <w:numPr>
          <w:ilvl w:val="0"/>
          <w:numId w:val="0"/>
        </w:numPr>
        <w:spacing w:before="240" w:after="60"/>
        <w:rPr>
          <w:rStyle w:val="ECCParagraph"/>
        </w:rPr>
      </w:pPr>
      <w:r w:rsidRPr="00742FDE">
        <w:rPr>
          <w:rStyle w:val="ECCParagraph"/>
        </w:rPr>
        <w:t xml:space="preserve">It is expected that there is a low risk of interference to </w:t>
      </w:r>
      <w:r w:rsidR="007C3850" w:rsidRPr="00742FDE">
        <w:rPr>
          <w:rStyle w:val="ECCParagraph"/>
        </w:rPr>
        <w:t>f</w:t>
      </w:r>
      <w:r w:rsidRPr="00742FDE">
        <w:rPr>
          <w:rStyle w:val="ECCParagraph"/>
        </w:rPr>
        <w:t xml:space="preserve">ixed </w:t>
      </w:r>
      <w:r w:rsidR="007C3850" w:rsidRPr="00742FDE">
        <w:rPr>
          <w:rStyle w:val="ECCParagraph"/>
        </w:rPr>
        <w:t>s</w:t>
      </w:r>
      <w:r w:rsidRPr="00742FDE">
        <w:rPr>
          <w:rStyle w:val="ECCParagraph"/>
        </w:rPr>
        <w:t xml:space="preserve">ervice with an indoor-only approach. However, the impact to </w:t>
      </w:r>
      <w:r w:rsidR="007C3850" w:rsidRPr="00742FDE">
        <w:rPr>
          <w:rStyle w:val="ECCParagraph"/>
        </w:rPr>
        <w:t>f</w:t>
      </w:r>
      <w:r w:rsidRPr="00742FDE">
        <w:rPr>
          <w:rStyle w:val="ECCParagraph"/>
        </w:rPr>
        <w:t>ixed links may need to be analysed on a national basis.</w:t>
      </w:r>
    </w:p>
    <w:p w14:paraId="0340D7AF" w14:textId="76D37635" w:rsidR="0017315F" w:rsidRPr="00742FDE" w:rsidRDefault="0017315F" w:rsidP="00070C63">
      <w:pPr>
        <w:pStyle w:val="Heading2"/>
        <w:rPr>
          <w:rStyle w:val="ECCParagraph"/>
        </w:rPr>
      </w:pPr>
      <w:bookmarkStart w:id="140" w:name="_Toc37256376"/>
      <w:bookmarkStart w:id="141" w:name="_Toc45610664"/>
      <w:r w:rsidRPr="00742FDE">
        <w:rPr>
          <w:rStyle w:val="ECCParagraph"/>
        </w:rPr>
        <w:t xml:space="preserve">FSS satellites and Data </w:t>
      </w:r>
      <w:r w:rsidR="00803575" w:rsidRPr="00742FDE">
        <w:rPr>
          <w:rStyle w:val="ECCParagraph"/>
        </w:rPr>
        <w:t>Relay S</w:t>
      </w:r>
      <w:r w:rsidRPr="00742FDE">
        <w:rPr>
          <w:rStyle w:val="ECCParagraph"/>
        </w:rPr>
        <w:t>atellite systems</w:t>
      </w:r>
      <w:bookmarkEnd w:id="140"/>
      <w:bookmarkEnd w:id="141"/>
    </w:p>
    <w:p w14:paraId="16241F78" w14:textId="085E5851" w:rsidR="0017315F" w:rsidRPr="00742FDE" w:rsidRDefault="00AD6813">
      <w:pPr>
        <w:rPr>
          <w:rStyle w:val="ECCParagraph"/>
        </w:rPr>
      </w:pPr>
      <w:r w:rsidRPr="00742FDE">
        <w:rPr>
          <w:rStyle w:val="ECCParagraph"/>
        </w:rPr>
        <w:t xml:space="preserve">Sharing studies carried out in the preparation for WRC-19 have shown that these services would be protected with </w:t>
      </w:r>
      <w:r w:rsidR="00CD26C7" w:rsidRPr="00742FDE">
        <w:rPr>
          <w:rStyle w:val="ECCParagraph"/>
        </w:rPr>
        <w:t>a positive margin</w:t>
      </w:r>
      <w:r w:rsidRPr="00742FDE">
        <w:rPr>
          <w:rStyle w:val="ECCParagraph"/>
        </w:rPr>
        <w:t xml:space="preserve"> and sharing with MFCN is feasible. A regular assessment of the MFCN network deployment characteristics and systems characteristics in a timeline consistent with a 5 </w:t>
      </w:r>
      <w:r w:rsidR="00742FDE" w:rsidRPr="00742FDE">
        <w:rPr>
          <w:rStyle w:val="ECCParagraph"/>
        </w:rPr>
        <w:t>year</w:t>
      </w:r>
      <w:r w:rsidRPr="00742FDE">
        <w:rPr>
          <w:rStyle w:val="ECCParagraph"/>
        </w:rPr>
        <w:t xml:space="preserve"> review process of the framework will provide additional confidence that the existing LRTC ensures adequate protection.</w:t>
      </w:r>
      <w:r w:rsidR="0017315F" w:rsidRPr="00742FDE">
        <w:rPr>
          <w:rStyle w:val="ECCParagraph"/>
        </w:rPr>
        <w:t xml:space="preserve"> The use of licen</w:t>
      </w:r>
      <w:r w:rsidR="007C3850" w:rsidRPr="00742FDE">
        <w:rPr>
          <w:rStyle w:val="ECCParagraph"/>
        </w:rPr>
        <w:t>ce</w:t>
      </w:r>
      <w:r w:rsidR="0017315F" w:rsidRPr="00742FDE">
        <w:rPr>
          <w:rStyle w:val="ECCParagraph"/>
        </w:rPr>
        <w:t xml:space="preserve"> regimes where the base station locations are planned and well known (local authorisation, light licensing (</w:t>
      </w:r>
      <w:r w:rsidR="00803575" w:rsidRPr="00742FDE">
        <w:rPr>
          <w:rStyle w:val="ECCParagraph"/>
        </w:rPr>
        <w:t>O</w:t>
      </w:r>
      <w:r w:rsidR="0017315F" w:rsidRPr="00742FDE">
        <w:rPr>
          <w:rStyle w:val="ECCParagraph"/>
        </w:rPr>
        <w:t>ption</w:t>
      </w:r>
      <w:r w:rsidR="00803575" w:rsidRPr="00742FDE">
        <w:rPr>
          <w:rStyle w:val="ECCParagraph"/>
        </w:rPr>
        <w:t xml:space="preserve"> 1</w:t>
      </w:r>
      <w:r w:rsidR="0017315F" w:rsidRPr="00742FDE">
        <w:rPr>
          <w:rStyle w:val="ECCParagraph"/>
        </w:rPr>
        <w:t>), indoor restriction (</w:t>
      </w:r>
      <w:r w:rsidR="00803575" w:rsidRPr="00742FDE">
        <w:rPr>
          <w:rStyle w:val="ECCParagraph"/>
        </w:rPr>
        <w:t>i</w:t>
      </w:r>
      <w:r w:rsidR="0017315F" w:rsidRPr="00742FDE">
        <w:rPr>
          <w:rStyle w:val="ECCParagraph"/>
        </w:rPr>
        <w:t xml:space="preserve">ndoor licence)), </w:t>
      </w:r>
      <w:r w:rsidR="000E6E63" w:rsidRPr="00742FDE">
        <w:rPr>
          <w:rStyle w:val="ECCParagraph"/>
        </w:rPr>
        <w:t>would</w:t>
      </w:r>
      <w:r w:rsidR="0017315F" w:rsidRPr="00742FDE">
        <w:rPr>
          <w:rStyle w:val="ECCParagraph"/>
        </w:rPr>
        <w:t xml:space="preserve"> </w:t>
      </w:r>
      <w:r w:rsidR="000E6E63" w:rsidRPr="00742FDE">
        <w:rPr>
          <w:rStyle w:val="ECCParagraph"/>
        </w:rPr>
        <w:t>enhance</w:t>
      </w:r>
      <w:r w:rsidR="0017315F" w:rsidRPr="00742FDE">
        <w:rPr>
          <w:rStyle w:val="ECCParagraph"/>
        </w:rPr>
        <w:t xml:space="preserve"> the protection of these satellite services.</w:t>
      </w:r>
    </w:p>
    <w:p w14:paraId="6CCC39A5" w14:textId="58DCF943" w:rsidR="0017315F" w:rsidRPr="00742FDE" w:rsidRDefault="00AD6813" w:rsidP="00070C63">
      <w:pPr>
        <w:pStyle w:val="ECCBulletsLv1"/>
        <w:numPr>
          <w:ilvl w:val="0"/>
          <w:numId w:val="0"/>
        </w:numPr>
        <w:spacing w:before="240" w:after="60"/>
        <w:rPr>
          <w:rStyle w:val="ECCParagraph"/>
        </w:rPr>
      </w:pPr>
      <w:r w:rsidRPr="00742FDE">
        <w:rPr>
          <w:rStyle w:val="ECCParagraph"/>
        </w:rPr>
        <w:t xml:space="preserve">Under authorisation regimes where there is no means to monitor the evolution of MFCN density and its deployment characteristics, an in-band </w:t>
      </w:r>
      <w:r w:rsidR="0017315F" w:rsidRPr="00742FDE">
        <w:rPr>
          <w:rStyle w:val="ECCParagraph"/>
        </w:rPr>
        <w:t xml:space="preserve">limit for the TRP for MFCN equipment </w:t>
      </w:r>
      <w:r w:rsidR="0011162A" w:rsidRPr="00742FDE">
        <w:rPr>
          <w:rStyle w:val="ECCParagraph"/>
        </w:rPr>
        <w:t>may</w:t>
      </w:r>
      <w:r w:rsidR="0017315F" w:rsidRPr="00742FDE">
        <w:rPr>
          <w:rStyle w:val="ECCParagraph"/>
        </w:rPr>
        <w:t xml:space="preserve"> be defined at national level.</w:t>
      </w:r>
    </w:p>
    <w:p w14:paraId="48162F8A" w14:textId="717CF132" w:rsidR="0017315F" w:rsidRPr="00742FDE" w:rsidRDefault="0017315F" w:rsidP="00070C63">
      <w:pPr>
        <w:pStyle w:val="Heading2"/>
        <w:rPr>
          <w:rStyle w:val="ECCParagraph"/>
        </w:rPr>
      </w:pPr>
      <w:bookmarkStart w:id="142" w:name="_Toc37256377"/>
      <w:bookmarkStart w:id="143" w:name="_Toc45610665"/>
      <w:r w:rsidRPr="00742FDE">
        <w:rPr>
          <w:rStyle w:val="ECCParagraph"/>
        </w:rPr>
        <w:t>Passive services</w:t>
      </w:r>
      <w:bookmarkEnd w:id="142"/>
      <w:bookmarkEnd w:id="143"/>
    </w:p>
    <w:p w14:paraId="162A9E92" w14:textId="30537235" w:rsidR="007A0B12" w:rsidRPr="00742FDE" w:rsidRDefault="007A0B12" w:rsidP="00070C63">
      <w:pPr>
        <w:pStyle w:val="Heading3"/>
        <w:rPr>
          <w:rStyle w:val="ECCParagraph"/>
        </w:rPr>
      </w:pPr>
      <w:bookmarkStart w:id="144" w:name="_Toc37256378"/>
      <w:bookmarkStart w:id="145" w:name="_Toc43310144"/>
      <w:bookmarkStart w:id="146" w:name="_Toc45610666"/>
      <w:r w:rsidRPr="00742FDE">
        <w:rPr>
          <w:rStyle w:val="ECCParagraph"/>
        </w:rPr>
        <w:t xml:space="preserve">EESS </w:t>
      </w:r>
      <w:r w:rsidR="007C3850" w:rsidRPr="00742FDE">
        <w:rPr>
          <w:rStyle w:val="ECCParagraph"/>
        </w:rPr>
        <w:t>(</w:t>
      </w:r>
      <w:r w:rsidRPr="00742FDE">
        <w:rPr>
          <w:rStyle w:val="ECCParagraph"/>
        </w:rPr>
        <w:t>passive</w:t>
      </w:r>
      <w:r w:rsidR="007C3850" w:rsidRPr="00742FDE">
        <w:rPr>
          <w:rStyle w:val="ECCParagraph"/>
        </w:rPr>
        <w:t>)</w:t>
      </w:r>
      <w:bookmarkEnd w:id="144"/>
      <w:bookmarkEnd w:id="145"/>
      <w:bookmarkEnd w:id="146"/>
    </w:p>
    <w:p w14:paraId="7C120DEB" w14:textId="1F4CAF7A" w:rsidR="007A0B12" w:rsidRPr="00742FDE" w:rsidRDefault="007A0B12" w:rsidP="00F7338B">
      <w:pPr>
        <w:rPr>
          <w:rStyle w:val="ECCParagraph"/>
        </w:rPr>
      </w:pPr>
      <w:r w:rsidRPr="00742FDE">
        <w:rPr>
          <w:rStyle w:val="ECCParagraph"/>
        </w:rPr>
        <w:t>The use of licen</w:t>
      </w:r>
      <w:r w:rsidR="007C3850" w:rsidRPr="00742FDE">
        <w:rPr>
          <w:rStyle w:val="ECCParagraph"/>
        </w:rPr>
        <w:t>ce</w:t>
      </w:r>
      <w:r w:rsidRPr="00742FDE">
        <w:rPr>
          <w:rStyle w:val="ECCParagraph"/>
        </w:rPr>
        <w:t xml:space="preserve"> regimes where the base station locations are planned and well known (local authorisation, light licensing (</w:t>
      </w:r>
      <w:r w:rsidR="00803575" w:rsidRPr="00742FDE">
        <w:rPr>
          <w:rStyle w:val="ECCParagraph"/>
        </w:rPr>
        <w:t>O</w:t>
      </w:r>
      <w:r w:rsidRPr="00742FDE">
        <w:rPr>
          <w:rStyle w:val="ECCParagraph"/>
        </w:rPr>
        <w:t>ption</w:t>
      </w:r>
      <w:r w:rsidR="00803575" w:rsidRPr="00742FDE">
        <w:rPr>
          <w:rStyle w:val="ECCParagraph"/>
        </w:rPr>
        <w:t xml:space="preserve"> 1</w:t>
      </w:r>
      <w:r w:rsidRPr="00742FDE">
        <w:rPr>
          <w:rStyle w:val="ECCParagraph"/>
        </w:rPr>
        <w:t xml:space="preserve">), indoor restriction (indoor licence)), </w:t>
      </w:r>
      <w:r w:rsidR="00565B65" w:rsidRPr="00742FDE">
        <w:rPr>
          <w:rStyle w:val="ECCParagraph"/>
        </w:rPr>
        <w:t xml:space="preserve">is assumed for </w:t>
      </w:r>
      <w:r w:rsidRPr="00742FDE">
        <w:rPr>
          <w:rStyle w:val="ECCParagraph"/>
        </w:rPr>
        <w:t>the protection of this satellite service.</w:t>
      </w:r>
    </w:p>
    <w:p w14:paraId="316F112E" w14:textId="77777777" w:rsidR="00521637" w:rsidRPr="00742FDE" w:rsidRDefault="00727A95" w:rsidP="0025413E">
      <w:pPr>
        <w:rPr>
          <w:rStyle w:val="ECCParagraph"/>
        </w:rPr>
      </w:pPr>
      <w:r w:rsidRPr="00742FDE">
        <w:rPr>
          <w:rStyle w:val="ECCParagraph"/>
        </w:rPr>
        <w:t>In case of other regimes</w:t>
      </w:r>
      <w:r w:rsidR="00610AB1" w:rsidRPr="00742FDE">
        <w:rPr>
          <w:rStyle w:val="ECCParagraph"/>
        </w:rPr>
        <w:t xml:space="preserve"> where </w:t>
      </w:r>
      <w:r w:rsidR="000616AA" w:rsidRPr="00742FDE">
        <w:rPr>
          <w:rStyle w:val="ECCParagraph"/>
        </w:rPr>
        <w:t xml:space="preserve">the </w:t>
      </w:r>
      <w:r w:rsidR="00610AB1" w:rsidRPr="00742FDE">
        <w:rPr>
          <w:rStyle w:val="ECCParagraph"/>
        </w:rPr>
        <w:t xml:space="preserve">base station density </w:t>
      </w:r>
      <w:r w:rsidR="000616AA" w:rsidRPr="00742FDE">
        <w:rPr>
          <w:rStyle w:val="ECCParagraph"/>
        </w:rPr>
        <w:t xml:space="preserve">is </w:t>
      </w:r>
      <w:r w:rsidR="00610AB1" w:rsidRPr="00742FDE">
        <w:rPr>
          <w:rStyle w:val="ECCParagraph"/>
        </w:rPr>
        <w:t>not known</w:t>
      </w:r>
      <w:r w:rsidRPr="00742FDE">
        <w:rPr>
          <w:rStyle w:val="ECCParagraph"/>
        </w:rPr>
        <w:t>,</w:t>
      </w:r>
      <w:r w:rsidR="00610AB1" w:rsidRPr="00742FDE">
        <w:rPr>
          <w:rStyle w:val="ECCParagraph"/>
        </w:rPr>
        <w:t xml:space="preserve"> </w:t>
      </w:r>
      <w:r w:rsidR="00866FDB" w:rsidRPr="00742FDE">
        <w:rPr>
          <w:rStyle w:val="ECCParagraph"/>
        </w:rPr>
        <w:t xml:space="preserve">the </w:t>
      </w:r>
      <w:r w:rsidR="00610AB1" w:rsidRPr="00742FDE">
        <w:rPr>
          <w:rStyle w:val="ECCParagraph"/>
        </w:rPr>
        <w:t xml:space="preserve">operational deployment conditions </w:t>
      </w:r>
      <w:r w:rsidR="00866FDB" w:rsidRPr="00742FDE">
        <w:rPr>
          <w:rStyle w:val="ECCParagraph"/>
        </w:rPr>
        <w:t xml:space="preserve">would need to be further studied in order </w:t>
      </w:r>
      <w:r w:rsidR="007D63FF" w:rsidRPr="00742FDE">
        <w:rPr>
          <w:rStyle w:val="ECCParagraph"/>
        </w:rPr>
        <w:t xml:space="preserve">to maintain long term protection of EESS </w:t>
      </w:r>
      <w:r w:rsidR="00FF61D2" w:rsidRPr="00742FDE">
        <w:rPr>
          <w:rStyle w:val="ECCParagraph"/>
        </w:rPr>
        <w:t>(</w:t>
      </w:r>
      <w:r w:rsidR="007D63FF" w:rsidRPr="00742FDE">
        <w:rPr>
          <w:rStyle w:val="ECCParagraph"/>
        </w:rPr>
        <w:t>passive</w:t>
      </w:r>
      <w:r w:rsidR="00FF61D2" w:rsidRPr="00742FDE">
        <w:rPr>
          <w:rStyle w:val="ECCParagraph"/>
        </w:rPr>
        <w:t>)</w:t>
      </w:r>
      <w:r w:rsidR="007D63FF" w:rsidRPr="00742FDE">
        <w:rPr>
          <w:rStyle w:val="ECCParagraph"/>
        </w:rPr>
        <w:t>.</w:t>
      </w:r>
    </w:p>
    <w:p w14:paraId="0CF2E5DC" w14:textId="77777777" w:rsidR="00F20838" w:rsidRPr="00742FDE" w:rsidRDefault="003056B6" w:rsidP="00F20838">
      <w:pPr>
        <w:pStyle w:val="Heading3"/>
        <w:rPr>
          <w:lang w:val="en-GB"/>
        </w:rPr>
      </w:pPr>
      <w:bookmarkStart w:id="147" w:name="_Toc45610667"/>
      <w:r w:rsidRPr="00742FDE">
        <w:rPr>
          <w:lang w:val="en-GB"/>
        </w:rPr>
        <w:t>Radio</w:t>
      </w:r>
      <w:r w:rsidR="00B57C76" w:rsidRPr="00742FDE">
        <w:rPr>
          <w:lang w:val="en-GB"/>
        </w:rPr>
        <w:t xml:space="preserve"> A</w:t>
      </w:r>
      <w:r w:rsidR="00F20838" w:rsidRPr="00742FDE">
        <w:rPr>
          <w:lang w:val="en-GB"/>
        </w:rPr>
        <w:t>stronomy</w:t>
      </w:r>
      <w:bookmarkEnd w:id="147"/>
      <w:r w:rsidR="00F20838" w:rsidRPr="00742FDE">
        <w:rPr>
          <w:lang w:val="en-GB"/>
        </w:rPr>
        <w:t xml:space="preserve"> </w:t>
      </w:r>
    </w:p>
    <w:p w14:paraId="04034E16" w14:textId="5B336776" w:rsidR="000272D0" w:rsidRPr="00742FDE" w:rsidRDefault="008E70D1" w:rsidP="000272D0">
      <w:pPr>
        <w:rPr>
          <w:rStyle w:val="ECCParagraph"/>
        </w:rPr>
      </w:pPr>
      <w:r w:rsidRPr="00742FDE">
        <w:t xml:space="preserve">For registered MFCN base stations, </w:t>
      </w:r>
      <w:r w:rsidR="003D7616" w:rsidRPr="00742FDE">
        <w:t>coordination zones</w:t>
      </w:r>
      <w:r w:rsidRPr="00742FDE">
        <w:t xml:space="preserve"> </w:t>
      </w:r>
      <w:r w:rsidR="00FB4C73" w:rsidRPr="00742FDE">
        <w:t>around</w:t>
      </w:r>
      <w:r w:rsidRPr="00742FDE">
        <w:t xml:space="preserve"> RAS sites should be </w:t>
      </w:r>
      <w:r w:rsidR="008B06E8" w:rsidRPr="00742FDE">
        <w:t>determined</w:t>
      </w:r>
      <w:r w:rsidRPr="00742FDE">
        <w:t xml:space="preserve"> on a site by site basis at a national level.</w:t>
      </w:r>
      <w:r w:rsidR="003B7C36" w:rsidRPr="00742FDE">
        <w:t xml:space="preserve"> </w:t>
      </w:r>
      <w:r w:rsidR="000272D0" w:rsidRPr="00742FDE">
        <w:rPr>
          <w:rStyle w:val="ECCParagraph"/>
        </w:rPr>
        <w:t xml:space="preserve"> </w:t>
      </w:r>
      <w:r w:rsidR="000272D0" w:rsidRPr="00742FDE">
        <w:t xml:space="preserve">In some regulatory regimes where the location of BS is not </w:t>
      </w:r>
      <w:r w:rsidR="000272D0" w:rsidRPr="00742FDE">
        <w:rPr>
          <w:rStyle w:val="ECCParagraph"/>
        </w:rPr>
        <w:t xml:space="preserve">known, some mechanism would be needed to ensure that mitigations are applied within the RAS coordination zones, in order to ensure protection of the site.  No mechanism to prevent interference has been notified during the drafting of the report. </w:t>
      </w:r>
      <w:r w:rsidR="000272D0" w:rsidRPr="00742FDE">
        <w:t>I</w:t>
      </w:r>
      <w:r w:rsidR="000272D0" w:rsidRPr="00742FDE">
        <w:rPr>
          <w:rStyle w:val="ECCParagraph"/>
        </w:rPr>
        <w:t>n cases of interference, mechanisms to change the technical operation of MFCN BS equipment (e.g. reduce transmit power or switch-off the base stations) in the vicinity of a radio astronomy station could be implemented. Such mechanisms, which are yet to be defined, should limit the duration and impact of interference.</w:t>
      </w:r>
    </w:p>
    <w:p w14:paraId="7A73D22D" w14:textId="5F46763F" w:rsidR="007A0B12" w:rsidRPr="00742FDE" w:rsidRDefault="007A0B12" w:rsidP="003E65F5">
      <w:pPr>
        <w:pStyle w:val="Heading2"/>
        <w:rPr>
          <w:rStyle w:val="ECCParagraph"/>
        </w:rPr>
      </w:pPr>
      <w:bookmarkStart w:id="148" w:name="_Toc37256380"/>
      <w:bookmarkStart w:id="149" w:name="_Toc45610668"/>
      <w:r w:rsidRPr="00742FDE">
        <w:rPr>
          <w:rStyle w:val="ECCParagraph"/>
        </w:rPr>
        <w:lastRenderedPageBreak/>
        <w:t>MFCN</w:t>
      </w:r>
      <w:bookmarkEnd w:id="148"/>
      <w:bookmarkEnd w:id="149"/>
    </w:p>
    <w:p w14:paraId="0A419032" w14:textId="64E497C7" w:rsidR="00CD26C7" w:rsidRPr="00742FDE" w:rsidRDefault="00CD26C7" w:rsidP="00CD26C7">
      <w:pPr>
        <w:rPr>
          <w:rStyle w:val="ECCParagraph"/>
        </w:rPr>
      </w:pPr>
      <w:r w:rsidRPr="00742FDE">
        <w:rPr>
          <w:rStyle w:val="ECCParagraph"/>
        </w:rPr>
        <w:t>At the time of writing this Report, there are no studies that illustrate the coexistence scenario with a combination of individual/general authorisations regimes in the same part of the 26 GHz frequency band (in either parts of or the entire 26 GHz band). However</w:t>
      </w:r>
      <w:r w:rsidR="00A11B4E" w:rsidRPr="00742FDE">
        <w:rPr>
          <w:rStyle w:val="ECCParagraph"/>
        </w:rPr>
        <w:t>,</w:t>
      </w:r>
      <w:r w:rsidRPr="00742FDE">
        <w:rPr>
          <w:rStyle w:val="ECCParagraph"/>
        </w:rPr>
        <w:t xml:space="preserve"> it is possible to carry out these studies with established transmit parameters and reasonable assumptions on the protection criteria of MFCN. However</w:t>
      </w:r>
      <w:r w:rsidR="00372B45" w:rsidRPr="00742FDE">
        <w:rPr>
          <w:rStyle w:val="ECCParagraph"/>
        </w:rPr>
        <w:t>,</w:t>
      </w:r>
      <w:r w:rsidRPr="00742FDE">
        <w:rPr>
          <w:rStyle w:val="ECCParagraph"/>
        </w:rPr>
        <w:t xml:space="preserve"> such studies have not been submitted to CEPT and no harmonised MFCN technical conditions have been developed for MFCN/MFCN coexistence for other regimes than individual authorisation.</w:t>
      </w:r>
    </w:p>
    <w:p w14:paraId="4852FE82" w14:textId="7670E2AB" w:rsidR="007A0B12" w:rsidRPr="00742FDE" w:rsidRDefault="00CD26C7" w:rsidP="00CD26C7">
      <w:pPr>
        <w:rPr>
          <w:rStyle w:val="ECCParagraph"/>
        </w:rPr>
      </w:pPr>
      <w:r w:rsidRPr="00742FDE">
        <w:rPr>
          <w:rStyle w:val="ECCParagraph"/>
        </w:rPr>
        <w:t xml:space="preserve">Some Recommendations and Reports such as ECC Report 307 </w:t>
      </w:r>
      <w:r w:rsidRPr="00742FDE">
        <w:rPr>
          <w:rStyle w:val="ECCParagraph"/>
        </w:rPr>
        <w:fldChar w:fldCharType="begin"/>
      </w:r>
      <w:r w:rsidRPr="00742FDE">
        <w:rPr>
          <w:rStyle w:val="ECCParagraph"/>
        </w:rPr>
        <w:instrText xml:space="preserve"> REF _Ref32245273 \r \h </w:instrText>
      </w:r>
      <w:r w:rsidRPr="00742FDE">
        <w:rPr>
          <w:rStyle w:val="ECCParagraph"/>
        </w:rPr>
      </w:r>
      <w:r w:rsidRPr="00742FDE">
        <w:rPr>
          <w:rStyle w:val="ECCParagraph"/>
        </w:rPr>
        <w:fldChar w:fldCharType="separate"/>
      </w:r>
      <w:r w:rsidR="00DE566A">
        <w:rPr>
          <w:rStyle w:val="ECCParagraph"/>
        </w:rPr>
        <w:t>[7]</w:t>
      </w:r>
      <w:r w:rsidRPr="00742FDE">
        <w:rPr>
          <w:rStyle w:val="ECCParagraph"/>
        </w:rPr>
        <w:fldChar w:fldCharType="end"/>
      </w:r>
      <w:r w:rsidRPr="00742FDE">
        <w:rPr>
          <w:rStyle w:val="ECCParagraph"/>
        </w:rPr>
        <w:t xml:space="preserve"> could provide some useful insights</w:t>
      </w:r>
      <w:r w:rsidR="00FB4C73" w:rsidRPr="00742FDE">
        <w:rPr>
          <w:rStyle w:val="ECCParagraph"/>
        </w:rPr>
        <w:t>.</w:t>
      </w:r>
      <w:r w:rsidRPr="00742FDE">
        <w:rPr>
          <w:rStyle w:val="ECCParagraph"/>
        </w:rPr>
        <w:t xml:space="preserve"> ECC Report 307 assumes an authorisation regime where the base station locations are planned and well known,</w:t>
      </w:r>
      <w:r w:rsidR="003B7C36" w:rsidRPr="00742FDE">
        <w:rPr>
          <w:rStyle w:val="ECCParagraph"/>
        </w:rPr>
        <w:t xml:space="preserve"> </w:t>
      </w:r>
      <w:r w:rsidRPr="00742FDE">
        <w:rPr>
          <w:rStyle w:val="ECCParagraph"/>
        </w:rPr>
        <w:t>referring to the following authorisation regimes: local licences, light licensing (Option 1), indoor restriction (indoor licence).</w:t>
      </w:r>
    </w:p>
    <w:p w14:paraId="2FCA9992" w14:textId="625E74C8" w:rsidR="007328B4" w:rsidRPr="00742FDE" w:rsidRDefault="007328B4" w:rsidP="00A2690B">
      <w:pPr>
        <w:pStyle w:val="ECCAnnexheading1"/>
        <w:rPr>
          <w:lang w:val="en-GB"/>
        </w:rPr>
      </w:pPr>
      <w:bookmarkStart w:id="150" w:name="_Toc32403296"/>
      <w:bookmarkStart w:id="151" w:name="_Toc32403332"/>
      <w:bookmarkStart w:id="152" w:name="_Toc37256381"/>
      <w:bookmarkStart w:id="153" w:name="_Toc32403333"/>
      <w:bookmarkStart w:id="154" w:name="_Toc45610669"/>
      <w:bookmarkEnd w:id="131"/>
      <w:bookmarkEnd w:id="132"/>
      <w:bookmarkEnd w:id="133"/>
      <w:bookmarkEnd w:id="150"/>
      <w:bookmarkEnd w:id="151"/>
      <w:r w:rsidRPr="00742FDE">
        <w:rPr>
          <w:lang w:val="en-GB"/>
        </w:rPr>
        <w:lastRenderedPageBreak/>
        <w:t xml:space="preserve">Examples of national approaches using AuthorIsation Regimes other than </w:t>
      </w:r>
      <w:r w:rsidRPr="00742FDE">
        <w:rPr>
          <w:rStyle w:val="ECCParagraph"/>
        </w:rPr>
        <w:t>individual rights</w:t>
      </w:r>
      <w:bookmarkEnd w:id="152"/>
      <w:bookmarkEnd w:id="153"/>
      <w:bookmarkEnd w:id="154"/>
    </w:p>
    <w:p w14:paraId="3CF7A5FF" w14:textId="73213B9D" w:rsidR="00690BBD" w:rsidRPr="00742FDE" w:rsidRDefault="00886BBF" w:rsidP="001D301D">
      <w:pPr>
        <w:pStyle w:val="ECCAnnexheading2"/>
        <w:rPr>
          <w:lang w:val="en-GB"/>
        </w:rPr>
      </w:pPr>
      <w:r w:rsidRPr="00742FDE">
        <w:rPr>
          <w:lang w:val="en-GB"/>
        </w:rPr>
        <w:t>FRANCE</w:t>
      </w:r>
      <w:r w:rsidR="00690BBD" w:rsidRPr="00742FDE">
        <w:rPr>
          <w:lang w:val="en-GB"/>
        </w:rPr>
        <w:t>: Trials for the 26 GHz band</w:t>
      </w:r>
    </w:p>
    <w:p w14:paraId="03A7F57E" w14:textId="5CF8D8DD" w:rsidR="00690BBD" w:rsidRPr="00742FDE" w:rsidRDefault="00690BBD" w:rsidP="001D301D">
      <w:pPr>
        <w:pStyle w:val="ECCAnnexheading3"/>
        <w:rPr>
          <w:lang w:val="en-GB"/>
        </w:rPr>
      </w:pPr>
      <w:r w:rsidRPr="00742FDE">
        <w:rPr>
          <w:lang w:val="en-GB"/>
        </w:rPr>
        <w:t>The 26500</w:t>
      </w:r>
      <w:r w:rsidR="00A11B4E" w:rsidRPr="00742FDE">
        <w:rPr>
          <w:lang w:val="en-GB"/>
        </w:rPr>
        <w:t>-</w:t>
      </w:r>
      <w:r w:rsidRPr="00742FDE">
        <w:rPr>
          <w:lang w:val="en-GB"/>
        </w:rPr>
        <w:t>27500 MHz band</w:t>
      </w:r>
    </w:p>
    <w:p w14:paraId="5D818BAF" w14:textId="7BC82BEA" w:rsidR="00690BBD" w:rsidRPr="00742FDE" w:rsidRDefault="00690BBD" w:rsidP="00690BBD">
      <w:r w:rsidRPr="00742FDE">
        <w:t>Trials use the 26500</w:t>
      </w:r>
      <w:r w:rsidR="00A11B4E" w:rsidRPr="00742FDE">
        <w:t>-</w:t>
      </w:r>
      <w:r w:rsidRPr="00742FDE">
        <w:t>27500 MHz band which does not have fixed links.</w:t>
      </w:r>
    </w:p>
    <w:p w14:paraId="4DD89928" w14:textId="3CED29B5" w:rsidR="00690BBD" w:rsidRPr="00742FDE" w:rsidRDefault="00690BBD" w:rsidP="001D301D">
      <w:pPr>
        <w:pStyle w:val="ECCAnnexheading3"/>
        <w:rPr>
          <w:lang w:val="en-GB"/>
        </w:rPr>
      </w:pPr>
      <w:r w:rsidRPr="00742FDE">
        <w:rPr>
          <w:lang w:val="en-GB"/>
        </w:rPr>
        <w:t>Type of authorisations</w:t>
      </w:r>
    </w:p>
    <w:p w14:paraId="0978728B" w14:textId="7165E4F6" w:rsidR="00690BBD" w:rsidRPr="00742FDE" w:rsidRDefault="00690BBD" w:rsidP="001D301D">
      <w:pPr>
        <w:pStyle w:val="ECCAnnexheading4"/>
        <w:rPr>
          <w:lang w:val="en-GB"/>
        </w:rPr>
      </w:pPr>
      <w:r w:rsidRPr="00742FDE">
        <w:rPr>
          <w:lang w:val="en-GB"/>
        </w:rPr>
        <w:t>Platform trials</w:t>
      </w:r>
    </w:p>
    <w:p w14:paraId="6CCEFE42" w14:textId="57AB66DE" w:rsidR="00690BBD" w:rsidRPr="00742FDE" w:rsidRDefault="00690BBD" w:rsidP="00690BBD">
      <w:r w:rsidRPr="00742FDE">
        <w:t>In January 2019, the French Government and Arcep issued a joint call for the creation of 5G platform trials that would be open to third parties, using the 26 GHz band. The aim of this call was to pave the way for all players to embrace the possibilities this frequency band provides, and to discover new uses for 5G.</w:t>
      </w:r>
    </w:p>
    <w:p w14:paraId="5BFD19EB" w14:textId="4FDECA6E" w:rsidR="00690BBD" w:rsidRPr="00742FDE" w:rsidRDefault="00690BBD" w:rsidP="00690BBD">
      <w:r w:rsidRPr="00742FDE">
        <w:t xml:space="preserve">These licences authorise the use of wide frequency bands for a period of up to three years. The trial licensees (experimental </w:t>
      </w:r>
      <w:r w:rsidR="007C3850" w:rsidRPr="00742FDE">
        <w:t>authorisations</w:t>
      </w:r>
      <w:r w:rsidRPr="00742FDE">
        <w:t xml:space="preserve">) must have an operational 5G trial network by 1 January 2021 at the </w:t>
      </w:r>
      <w:r w:rsidR="00032CA0" w:rsidRPr="00742FDE">
        <w:t>latest and</w:t>
      </w:r>
      <w:r w:rsidRPr="00742FDE">
        <w:t xml:space="preserve"> must make it available to third parties to perform their own 5G trials.</w:t>
      </w:r>
    </w:p>
    <w:p w14:paraId="17D83499" w14:textId="3108CC1B" w:rsidR="00690BBD" w:rsidRPr="00742FDE" w:rsidRDefault="00690BBD" w:rsidP="00690BBD">
      <w:r w:rsidRPr="00742FDE">
        <w:t xml:space="preserve">It is necessary to anticipate the case where other applications for 5G trial platforms would be received by Arcep on the band that is the subject to this allocation on the same area. Moreover, Arcep has also planned to grant permanent licenses for the deployment of mobile networks in the same band. </w:t>
      </w:r>
      <w:r w:rsidR="007C3850" w:rsidRPr="00742FDE">
        <w:t xml:space="preserve">Arcep </w:t>
      </w:r>
      <w:r w:rsidRPr="00742FDE">
        <w:t>may therefore limit the quantity of frequencies allocated to the licensee to a “reasonable quantity” to ensure the proper functioning of its trial platform from the date on which actors other than the licensee wish to use them effectively.</w:t>
      </w:r>
    </w:p>
    <w:p w14:paraId="5C669E75" w14:textId="398B0219" w:rsidR="00690BBD" w:rsidRPr="00742FDE" w:rsidRDefault="00690BBD" w:rsidP="00690BBD">
      <w:r w:rsidRPr="00742FDE">
        <w:t>The exchanges Arcep has had with the stakeholders led it to set this reasonable quantity at 400 MHz, which is estimated by several actors as a satisfactory quantity to exploit the possibilities of 5G. It is recalled that in the absence of requests from third parties to have frequencies in the 26 GHz band, the licensee will continue to have all the frequencies allocated to it by a platform trial decision.</w:t>
      </w:r>
    </w:p>
    <w:p w14:paraId="67D9D647" w14:textId="04629AE5" w:rsidR="00690BBD" w:rsidRPr="00742FDE" w:rsidRDefault="00690BBD" w:rsidP="00690BBD">
      <w:r w:rsidRPr="00742FDE">
        <w:t xml:space="preserve">Details on the eleven projects selected to date can be found in this </w:t>
      </w:r>
      <w:hyperlink r:id="rId11" w:history="1">
        <w:r w:rsidRPr="00742FDE">
          <w:rPr>
            <w:rStyle w:val="Hyperlink"/>
          </w:rPr>
          <w:t>website</w:t>
        </w:r>
      </w:hyperlink>
      <w:r w:rsidRPr="00742FDE">
        <w:t xml:space="preserve">. An example of the platform trials can be found </w:t>
      </w:r>
      <w:hyperlink r:id="rId12" w:history="1">
        <w:r w:rsidRPr="00742FDE">
          <w:rPr>
            <w:rStyle w:val="Hyperlink"/>
          </w:rPr>
          <w:t>here</w:t>
        </w:r>
      </w:hyperlink>
      <w:r w:rsidRPr="00742FDE">
        <w:t>. The process is ongoing.</w:t>
      </w:r>
    </w:p>
    <w:p w14:paraId="2AFE5196" w14:textId="6D0D93E5" w:rsidR="00690BBD" w:rsidRPr="00742FDE" w:rsidRDefault="00690BBD" w:rsidP="001D301D">
      <w:pPr>
        <w:pStyle w:val="ECCAnnexheading4"/>
        <w:rPr>
          <w:lang w:val="en-GB"/>
        </w:rPr>
      </w:pPr>
      <w:r w:rsidRPr="00742FDE">
        <w:rPr>
          <w:lang w:val="en-GB"/>
        </w:rPr>
        <w:t>Standard trials</w:t>
      </w:r>
    </w:p>
    <w:p w14:paraId="798CC1A1" w14:textId="32B0E18E" w:rsidR="00690BBD" w:rsidRPr="00742FDE" w:rsidRDefault="00690BBD" w:rsidP="00690BBD">
      <w:r w:rsidRPr="00742FDE">
        <w:t xml:space="preserve">Arcep is issuing “standard” trial </w:t>
      </w:r>
      <w:r w:rsidR="007C3850" w:rsidRPr="00742FDE">
        <w:t>licences</w:t>
      </w:r>
      <w:r w:rsidRPr="00742FDE">
        <w:t xml:space="preserve">. These licences </w:t>
      </w:r>
      <w:r w:rsidR="007C3850" w:rsidRPr="00742FDE">
        <w:t xml:space="preserve">authorise </w:t>
      </w:r>
      <w:r w:rsidRPr="00742FDE">
        <w:t>actors to use wide frequency bands for a period of up to six months.</w:t>
      </w:r>
    </w:p>
    <w:p w14:paraId="27ED2B09" w14:textId="46C9D50F" w:rsidR="00690BBD" w:rsidRPr="00742FDE" w:rsidRDefault="00690BBD" w:rsidP="00690BBD">
      <w:r w:rsidRPr="00742FDE">
        <w:t xml:space="preserve">In contrast to trial platforms, </w:t>
      </w:r>
      <w:r w:rsidR="007C3850" w:rsidRPr="00742FDE">
        <w:t xml:space="preserve">Arcep </w:t>
      </w:r>
      <w:r w:rsidRPr="00742FDE">
        <w:t>does not guarantee the allocation of a “reasonable quantity” of frequencies to the licensee to ensure the proper functioning of its standard trial from the date on which actors other than the licensee wish to use them effectively.</w:t>
      </w:r>
    </w:p>
    <w:p w14:paraId="5098C153" w14:textId="55DCF10C" w:rsidR="00690BBD" w:rsidRPr="00742FDE" w:rsidRDefault="00690BBD" w:rsidP="00690BBD">
      <w:r w:rsidRPr="00742FDE">
        <w:t xml:space="preserve">Arcep has issued </w:t>
      </w:r>
      <w:r w:rsidR="007C3850" w:rsidRPr="00742FDE">
        <w:t xml:space="preserve">authorisations </w:t>
      </w:r>
      <w:r w:rsidRPr="00742FDE">
        <w:t xml:space="preserve">for five standard trials. An example of the standard trials can be found </w:t>
      </w:r>
      <w:hyperlink r:id="rId13" w:history="1">
        <w:r w:rsidRPr="00742FDE">
          <w:rPr>
            <w:rStyle w:val="Hyperlink"/>
          </w:rPr>
          <w:t>here</w:t>
        </w:r>
      </w:hyperlink>
      <w:r w:rsidRPr="00742FDE">
        <w:t>. The process is ongoing.</w:t>
      </w:r>
    </w:p>
    <w:p w14:paraId="0F3D6AD1" w14:textId="77777777" w:rsidR="00690BBD" w:rsidRPr="00742FDE" w:rsidRDefault="00690BBD" w:rsidP="001D301D">
      <w:pPr>
        <w:pStyle w:val="ECCAnnexheading4"/>
        <w:rPr>
          <w:lang w:val="en-GB"/>
        </w:rPr>
      </w:pPr>
      <w:r w:rsidRPr="00742FDE">
        <w:rPr>
          <w:lang w:val="en-GB"/>
        </w:rPr>
        <w:t>Technical conditions</w:t>
      </w:r>
    </w:p>
    <w:p w14:paraId="4237895A" w14:textId="5A93CAC6" w:rsidR="00690BBD" w:rsidRPr="00742FDE" w:rsidRDefault="002B2A5F" w:rsidP="007971B4">
      <w:r w:rsidRPr="00742FDE">
        <w:t>The authori</w:t>
      </w:r>
      <w:r w:rsidR="00FF6F3C" w:rsidRPr="00742FDE">
        <w:t>s</w:t>
      </w:r>
      <w:r w:rsidRPr="00742FDE">
        <w:t>ations for tria</w:t>
      </w:r>
      <w:r w:rsidR="00690BBD" w:rsidRPr="00742FDE">
        <w:t xml:space="preserve">ls are granted on the basis on non-protection and non-interference basis. Technical conditions of EC </w:t>
      </w:r>
      <w:r w:rsidR="006A1A30" w:rsidRPr="00742FDE">
        <w:t>D</w:t>
      </w:r>
      <w:r w:rsidR="00690BBD" w:rsidRPr="00742FDE">
        <w:t>ecision</w:t>
      </w:r>
      <w:r w:rsidR="00E213DF" w:rsidRPr="00742FDE">
        <w:t xml:space="preserve"> (EU)</w:t>
      </w:r>
      <w:r w:rsidR="00690BBD" w:rsidRPr="00742FDE">
        <w:t xml:space="preserve"> 2019/784</w:t>
      </w:r>
      <w:r w:rsidR="007C3850" w:rsidRPr="00742FDE">
        <w:t xml:space="preserve"> </w:t>
      </w:r>
      <w:r w:rsidR="007C3850" w:rsidRPr="00742FDE">
        <w:fldChar w:fldCharType="begin"/>
      </w:r>
      <w:r w:rsidR="007C3850" w:rsidRPr="00742FDE">
        <w:instrText xml:space="preserve"> REF _Ref32246580 \r \h </w:instrText>
      </w:r>
      <w:r w:rsidR="007C3850" w:rsidRPr="00742FDE">
        <w:fldChar w:fldCharType="separate"/>
      </w:r>
      <w:r w:rsidR="00DE566A">
        <w:t>[2]</w:t>
      </w:r>
      <w:r w:rsidR="007C3850" w:rsidRPr="00742FDE">
        <w:fldChar w:fldCharType="end"/>
      </w:r>
      <w:r w:rsidR="00690BBD" w:rsidRPr="00742FDE">
        <w:t xml:space="preserve"> </w:t>
      </w:r>
      <w:r w:rsidR="007971B4" w:rsidRPr="00742FDE">
        <w:t xml:space="preserve">(amended by Commission Implementing Decision (EU) 2020/590 </w:t>
      </w:r>
      <w:r w:rsidR="00EF3189" w:rsidRPr="00742FDE">
        <w:fldChar w:fldCharType="begin"/>
      </w:r>
      <w:r w:rsidR="00EF3189" w:rsidRPr="00742FDE">
        <w:instrText xml:space="preserve"> REF _Ref43804529 \r \h </w:instrText>
      </w:r>
      <w:r w:rsidR="00EF3189" w:rsidRPr="00742FDE">
        <w:fldChar w:fldCharType="separate"/>
      </w:r>
      <w:r w:rsidR="00DE566A">
        <w:t>[3]</w:t>
      </w:r>
      <w:r w:rsidR="00EF3189" w:rsidRPr="00742FDE">
        <w:fldChar w:fldCharType="end"/>
      </w:r>
      <w:r w:rsidR="007971B4" w:rsidRPr="00742FDE">
        <w:t xml:space="preserve">) </w:t>
      </w:r>
      <w:r w:rsidR="00690BBD" w:rsidRPr="00742FDE">
        <w:t>are applicable.</w:t>
      </w:r>
    </w:p>
    <w:p w14:paraId="679D08BA" w14:textId="74627255" w:rsidR="00690BBD" w:rsidRPr="00742FDE" w:rsidRDefault="00690BBD" w:rsidP="00690BBD">
      <w:r w:rsidRPr="00742FDE">
        <w:t>A national procedure has been established by ANFR, the ministry of industry with Arcep and all other concerned ministries in order to identify receiving EESS/SRS earth stations operating in 25</w:t>
      </w:r>
      <w:r w:rsidR="007C3850" w:rsidRPr="00742FDE">
        <w:t>.</w:t>
      </w:r>
      <w:r w:rsidRPr="00742FDE">
        <w:t>5-27</w:t>
      </w:r>
      <w:r w:rsidR="007C3850" w:rsidRPr="00742FDE">
        <w:t>.</w:t>
      </w:r>
      <w:r w:rsidRPr="00742FDE">
        <w:t xml:space="preserve">0 GHz. </w:t>
      </w:r>
      <w:r w:rsidRPr="00742FDE">
        <w:lastRenderedPageBreak/>
        <w:t xml:space="preserve">Coexistence conditions between 5G and those stations have been established by ANFR studies in accordance with ECC </w:t>
      </w:r>
      <w:r w:rsidR="007C3850" w:rsidRPr="00742FDE">
        <w:t>Recommendation (</w:t>
      </w:r>
      <w:r w:rsidRPr="00742FDE">
        <w:t>19</w:t>
      </w:r>
      <w:r w:rsidR="007C3850" w:rsidRPr="00742FDE">
        <w:t>)</w:t>
      </w:r>
      <w:r w:rsidRPr="00742FDE">
        <w:t>01</w:t>
      </w:r>
      <w:r w:rsidR="007C3850" w:rsidRPr="00742FDE">
        <w:t xml:space="preserve"> </w:t>
      </w:r>
      <w:r w:rsidR="007C3850" w:rsidRPr="00742FDE">
        <w:fldChar w:fldCharType="begin"/>
      </w:r>
      <w:r w:rsidR="007C3850" w:rsidRPr="00742FDE">
        <w:instrText xml:space="preserve"> REF _Ref32245247 \r \h </w:instrText>
      </w:r>
      <w:r w:rsidR="007C3850" w:rsidRPr="00742FDE">
        <w:fldChar w:fldCharType="separate"/>
      </w:r>
      <w:r w:rsidR="00DE566A">
        <w:t>[4]</w:t>
      </w:r>
      <w:r w:rsidR="007C3850" w:rsidRPr="00742FDE">
        <w:fldChar w:fldCharType="end"/>
      </w:r>
      <w:r w:rsidRPr="00742FDE">
        <w:t>.</w:t>
      </w:r>
    </w:p>
    <w:p w14:paraId="0E64A8E8" w14:textId="4BE7AACA" w:rsidR="00690BBD" w:rsidRPr="00742FDE" w:rsidRDefault="00690BBD" w:rsidP="00690BBD">
      <w:r w:rsidRPr="00742FDE">
        <w:t xml:space="preserve">In addition, other experimental </w:t>
      </w:r>
      <w:r w:rsidR="007C3850" w:rsidRPr="00742FDE">
        <w:t xml:space="preserve">authorisations </w:t>
      </w:r>
      <w:r w:rsidRPr="00742FDE">
        <w:t>could be granted in the band in the area concerned by this allocation. In this case, licensees for these 5G experiments are not protected against interference from each other.</w:t>
      </w:r>
    </w:p>
    <w:p w14:paraId="46B07DE2" w14:textId="23379790" w:rsidR="00690BBD" w:rsidRPr="00742FDE" w:rsidRDefault="00690BBD" w:rsidP="00690BBD">
      <w:r w:rsidRPr="00742FDE">
        <w:t xml:space="preserve">In this context, it is up to the various holders of 5G experiment </w:t>
      </w:r>
      <w:r w:rsidR="007C3850" w:rsidRPr="00742FDE">
        <w:t xml:space="preserve">authorisations </w:t>
      </w:r>
      <w:r w:rsidRPr="00742FDE">
        <w:t>to come together to define together the necessary technical adaptations beyond harmonised technical conditions (</w:t>
      </w:r>
      <w:r w:rsidR="007C3850" w:rsidRPr="00742FDE">
        <w:t xml:space="preserve">EC </w:t>
      </w:r>
      <w:r w:rsidR="006A1A30" w:rsidRPr="00742FDE">
        <w:t xml:space="preserve">Decision (EU) </w:t>
      </w:r>
      <w:r w:rsidRPr="00742FDE">
        <w:t>2019/784</w:t>
      </w:r>
      <w:r w:rsidR="007971B4" w:rsidRPr="00742FDE">
        <w:t xml:space="preserve"> amended by Commission Implementing Decision (EU) 2020/590</w:t>
      </w:r>
      <w:r w:rsidRPr="00742FDE">
        <w:t xml:space="preserve">), such as the </w:t>
      </w:r>
      <w:r w:rsidR="007C3850" w:rsidRPr="00742FDE">
        <w:t xml:space="preserve">synchronisation </w:t>
      </w:r>
      <w:r w:rsidRPr="00742FDE">
        <w:t xml:space="preserve">of their networks, in order to avoid interference and to allow the correct functioning of the respective experiments of each of the holders. In addition, the licensee shall immediately stop the experiments related to the use of radio spectrum allocated by the </w:t>
      </w:r>
      <w:r w:rsidR="007C3850" w:rsidRPr="00742FDE">
        <w:t xml:space="preserve">authorisation </w:t>
      </w:r>
      <w:r w:rsidRPr="00742FDE">
        <w:t>in case of interference to other spectrum users which have a guarantee of non-interference.</w:t>
      </w:r>
    </w:p>
    <w:p w14:paraId="7BDA2A61" w14:textId="6BC17D95" w:rsidR="00690BBD" w:rsidRPr="00742FDE" w:rsidRDefault="00690BBD" w:rsidP="00690BBD">
      <w:r w:rsidRPr="00742FDE">
        <w:t>Reports from trials will be used to clarify technical conditions beyond harmonised technical conditions (</w:t>
      </w:r>
      <w:r w:rsidR="007C3850" w:rsidRPr="00742FDE">
        <w:t xml:space="preserve">EC </w:t>
      </w:r>
      <w:r w:rsidR="00372B45" w:rsidRPr="00742FDE">
        <w:t>D</w:t>
      </w:r>
      <w:r w:rsidRPr="00742FDE">
        <w:t xml:space="preserve">ecision </w:t>
      </w:r>
      <w:r w:rsidR="00E213DF" w:rsidRPr="00742FDE">
        <w:t xml:space="preserve">(EU) </w:t>
      </w:r>
      <w:r w:rsidRPr="00742FDE">
        <w:t>2019/784</w:t>
      </w:r>
      <w:r w:rsidR="007C3850" w:rsidRPr="00742FDE">
        <w:t xml:space="preserve"> </w:t>
      </w:r>
      <w:r w:rsidR="007971B4" w:rsidRPr="00742FDE">
        <w:t>amended by Commission Implementing Decision (EU) 2020/590</w:t>
      </w:r>
      <w:r w:rsidRPr="00742FDE">
        <w:t>).</w:t>
      </w:r>
    </w:p>
    <w:p w14:paraId="72770AD0" w14:textId="543EEFD6" w:rsidR="008A54FC" w:rsidRPr="00742FDE" w:rsidRDefault="008A54FC" w:rsidP="00E2303A">
      <w:pPr>
        <w:pStyle w:val="ECCAnnexheading1"/>
        <w:rPr>
          <w:lang w:val="en-GB"/>
        </w:rPr>
      </w:pPr>
      <w:bookmarkStart w:id="155" w:name="_Toc380059620"/>
      <w:bookmarkStart w:id="156" w:name="_Toc380059762"/>
      <w:bookmarkStart w:id="157" w:name="_Toc396383876"/>
      <w:bookmarkStart w:id="158" w:name="_Toc396917309"/>
      <w:bookmarkStart w:id="159" w:name="_Toc396917420"/>
      <w:bookmarkStart w:id="160" w:name="_Toc396917640"/>
      <w:bookmarkStart w:id="161" w:name="_Toc396917655"/>
      <w:bookmarkStart w:id="162" w:name="_Toc396917760"/>
      <w:bookmarkStart w:id="163" w:name="_Toc32403334"/>
      <w:bookmarkStart w:id="164" w:name="_Toc37256382"/>
      <w:bookmarkStart w:id="165" w:name="_Toc45610670"/>
      <w:r w:rsidRPr="00742FDE">
        <w:rPr>
          <w:lang w:val="en-GB"/>
        </w:rPr>
        <w:lastRenderedPageBreak/>
        <w:t xml:space="preserve">List of </w:t>
      </w:r>
      <w:r w:rsidR="00C72D9E" w:rsidRPr="00742FDE">
        <w:rPr>
          <w:lang w:val="en-GB"/>
        </w:rPr>
        <w:t>R</w:t>
      </w:r>
      <w:r w:rsidRPr="00742FDE">
        <w:rPr>
          <w:lang w:val="en-GB"/>
        </w:rPr>
        <w:t>eference</w:t>
      </w:r>
      <w:bookmarkEnd w:id="155"/>
      <w:bookmarkEnd w:id="156"/>
      <w:bookmarkEnd w:id="157"/>
      <w:bookmarkEnd w:id="158"/>
      <w:bookmarkEnd w:id="159"/>
      <w:bookmarkEnd w:id="160"/>
      <w:bookmarkEnd w:id="161"/>
      <w:bookmarkEnd w:id="162"/>
      <w:bookmarkEnd w:id="163"/>
      <w:r w:rsidR="00A11B4E" w:rsidRPr="00742FDE">
        <w:rPr>
          <w:lang w:val="en-GB"/>
        </w:rPr>
        <w:t>s</w:t>
      </w:r>
      <w:bookmarkEnd w:id="164"/>
      <w:bookmarkEnd w:id="165"/>
    </w:p>
    <w:p w14:paraId="0D83B9DD" w14:textId="77777777" w:rsidR="00FF6F3C" w:rsidRPr="00742FDE" w:rsidRDefault="00FF6F3C" w:rsidP="00F7797A"/>
    <w:p w14:paraId="63556A34" w14:textId="6EFF18B0" w:rsidR="00B11A4F" w:rsidRPr="00742FDE" w:rsidRDefault="007328B4" w:rsidP="007328B4">
      <w:pPr>
        <w:pStyle w:val="ECCReference"/>
        <w:rPr>
          <w:rStyle w:val="ECCHLyellow"/>
          <w:shd w:val="clear" w:color="auto" w:fill="auto"/>
        </w:rPr>
      </w:pPr>
      <w:bookmarkStart w:id="166" w:name="_Ref32245228"/>
      <w:bookmarkStart w:id="167" w:name="_Ref33188056"/>
      <w:r w:rsidRPr="00742FDE">
        <w:t>ECC Decision (18)06</w:t>
      </w:r>
      <w:r w:rsidR="00055D0B" w:rsidRPr="00742FDE">
        <w:t>:</w:t>
      </w:r>
      <w:r w:rsidRPr="00742FDE">
        <w:t xml:space="preserve"> </w:t>
      </w:r>
      <w:r w:rsidR="00055D0B" w:rsidRPr="00742FDE">
        <w:t xml:space="preserve">"Harmonised </w:t>
      </w:r>
      <w:r w:rsidRPr="00742FDE">
        <w:t>technical conditions for Mobile/Fixed Communications Networks (MFCN) in the band 24.25-27.5 GHz</w:t>
      </w:r>
      <w:bookmarkEnd w:id="166"/>
      <w:r w:rsidR="00055D0B" w:rsidRPr="00742FDE">
        <w:t xml:space="preserve">", </w:t>
      </w:r>
      <w:r w:rsidR="00FE35CC" w:rsidRPr="00742FDE">
        <w:rPr>
          <w:rStyle w:val="ECCParagraph"/>
        </w:rPr>
        <w:t xml:space="preserve">approved </w:t>
      </w:r>
      <w:r w:rsidR="00055D0B" w:rsidRPr="00742FDE">
        <w:rPr>
          <w:rStyle w:val="ECCParagraph"/>
        </w:rPr>
        <w:t>October 2018</w:t>
      </w:r>
      <w:bookmarkEnd w:id="167"/>
      <w:r w:rsidR="00B11A4F" w:rsidRPr="00742FDE">
        <w:rPr>
          <w:rStyle w:val="FootnoteReference"/>
        </w:rPr>
        <w:footnoteReference w:id="3"/>
      </w:r>
    </w:p>
    <w:p w14:paraId="3F9BF385" w14:textId="4D15EC60" w:rsidR="007328B4" w:rsidRPr="00742FDE" w:rsidRDefault="007328B4" w:rsidP="007328B4">
      <w:pPr>
        <w:pStyle w:val="ECCReference"/>
        <w:rPr>
          <w:rStyle w:val="ECCParagraph"/>
        </w:rPr>
      </w:pPr>
      <w:bookmarkStart w:id="168" w:name="_Ref32246580"/>
      <w:r w:rsidRPr="00742FDE">
        <w:rPr>
          <w:rStyle w:val="ECCParagraph"/>
        </w:rPr>
        <w:t>Commission Implementing Decision (EU) 2019/784 of 14 May 2019 on Harmonisation of the 24.25-27.5 GHz frequency band for terrestrial systems capable of providing wireless broadband electronic communications services in the Union</w:t>
      </w:r>
      <w:bookmarkEnd w:id="168"/>
    </w:p>
    <w:p w14:paraId="24913EF1" w14:textId="77777777" w:rsidR="00EF3189" w:rsidRPr="00742FDE" w:rsidRDefault="00EF3189" w:rsidP="00EF3189">
      <w:pPr>
        <w:pStyle w:val="ECCReference"/>
        <w:rPr>
          <w:rStyle w:val="ECCParagraph"/>
        </w:rPr>
      </w:pPr>
      <w:bookmarkStart w:id="169" w:name="_Ref43804529"/>
      <w:r w:rsidRPr="00742FDE">
        <w:t>Commission Implementing Decision (EU) 2020/590 of 24 April 2020 amending Decision (EU) 2019/784 as regards an update of relevant technical conditions applicable to the 24,25-27,5 GHz frequency band</w:t>
      </w:r>
    </w:p>
    <w:p w14:paraId="55A59581" w14:textId="429674CC" w:rsidR="00413E40" w:rsidRPr="00742FDE" w:rsidRDefault="00413E40" w:rsidP="00413E40">
      <w:pPr>
        <w:pStyle w:val="ECCReference"/>
        <w:rPr>
          <w:rStyle w:val="ECCParagraph"/>
        </w:rPr>
      </w:pPr>
      <w:bookmarkStart w:id="170" w:name="_Ref32245247"/>
      <w:bookmarkEnd w:id="169"/>
      <w:r w:rsidRPr="00742FDE">
        <w:rPr>
          <w:rStyle w:val="ECCParagraph"/>
        </w:rPr>
        <w:t>ECC Recommendation (19)01</w:t>
      </w:r>
      <w:r w:rsidR="00FF6F3C" w:rsidRPr="00742FDE">
        <w:rPr>
          <w:rStyle w:val="ECCParagraph"/>
        </w:rPr>
        <w:t>:</w:t>
      </w:r>
      <w:r w:rsidRPr="00742FDE">
        <w:rPr>
          <w:rStyle w:val="ECCParagraph"/>
        </w:rPr>
        <w:t xml:space="preserve"> </w:t>
      </w:r>
      <w:r w:rsidR="00FF6F3C" w:rsidRPr="00742FDE">
        <w:rPr>
          <w:rStyle w:val="ECCParagraph"/>
        </w:rPr>
        <w:t>"</w:t>
      </w:r>
      <w:r w:rsidR="00055D0B" w:rsidRPr="00742FDE">
        <w:rPr>
          <w:rStyle w:val="ECCParagraph"/>
        </w:rPr>
        <w:t>T</w:t>
      </w:r>
      <w:r w:rsidRPr="00742FDE">
        <w:rPr>
          <w:rStyle w:val="ECCParagraph"/>
        </w:rPr>
        <w:t>echnical toolkit to support the introduction of 5G while ensuring, in a proportionate way, the use of existing and planned EESS/SRS receiving earth stations in the 26 GHz band and the possibility for future deployment of these earth stations"</w:t>
      </w:r>
      <w:bookmarkEnd w:id="170"/>
      <w:r w:rsidR="00055D0B" w:rsidRPr="00742FDE">
        <w:rPr>
          <w:rStyle w:val="ECCParagraph"/>
        </w:rPr>
        <w:t>, approved March 2019</w:t>
      </w:r>
    </w:p>
    <w:p w14:paraId="4C65644F" w14:textId="12443019" w:rsidR="00413E40" w:rsidRPr="00742FDE" w:rsidRDefault="00413E40" w:rsidP="00413E40">
      <w:pPr>
        <w:pStyle w:val="ECCReference"/>
        <w:rPr>
          <w:rStyle w:val="ECCParagraph"/>
        </w:rPr>
      </w:pPr>
      <w:bookmarkStart w:id="171" w:name="_Ref32245251"/>
      <w:r w:rsidRPr="00742FDE">
        <w:rPr>
          <w:rStyle w:val="ECCParagraph"/>
        </w:rPr>
        <w:t>ECC Recommendation (20)01</w:t>
      </w:r>
      <w:r w:rsidR="00FF6F3C" w:rsidRPr="00742FDE">
        <w:rPr>
          <w:rStyle w:val="ECCParagraph"/>
        </w:rPr>
        <w:t>: "</w:t>
      </w:r>
      <w:r w:rsidRPr="00742FDE">
        <w:rPr>
          <w:rStyle w:val="ECCParagraph"/>
        </w:rPr>
        <w:t>Guidelines to support the introduction of 5G while ensuring, in a proportionate way, the use of existing and planned FSS transmitting earth stations in the frequency band 24.65-25.25 GHz and the possibility for future deployment of these earth stations</w:t>
      </w:r>
      <w:r w:rsidR="00FF6F3C" w:rsidRPr="00742FDE">
        <w:rPr>
          <w:rStyle w:val="ECCParagraph"/>
        </w:rPr>
        <w:t>"</w:t>
      </w:r>
      <w:bookmarkEnd w:id="171"/>
      <w:r w:rsidR="00055D0B" w:rsidRPr="00742FDE">
        <w:rPr>
          <w:rStyle w:val="ECCParagraph"/>
        </w:rPr>
        <w:t>, approved March 2020</w:t>
      </w:r>
    </w:p>
    <w:p w14:paraId="68C5FA7F" w14:textId="0C3A05F9" w:rsidR="00413E40" w:rsidRPr="00742FDE" w:rsidRDefault="00413E40" w:rsidP="00413E40">
      <w:pPr>
        <w:pStyle w:val="ECCReference"/>
        <w:rPr>
          <w:rStyle w:val="ECCParagraph"/>
        </w:rPr>
      </w:pPr>
      <w:bookmarkStart w:id="172" w:name="_Ref32245256"/>
      <w:r w:rsidRPr="00742FDE">
        <w:rPr>
          <w:rStyle w:val="ECCParagraph"/>
        </w:rPr>
        <w:t>ECC Report 303</w:t>
      </w:r>
      <w:r w:rsidR="00FF6F3C" w:rsidRPr="00742FDE">
        <w:rPr>
          <w:rStyle w:val="ECCParagraph"/>
        </w:rPr>
        <w:t>:</w:t>
      </w:r>
      <w:r w:rsidRPr="00742FDE">
        <w:rPr>
          <w:rStyle w:val="ECCParagraph"/>
        </w:rPr>
        <w:t xml:space="preserve"> "Guidance to administrations for Coexistence between 5G and Fixed Links in the 26 GHz band ("Toolbox")"</w:t>
      </w:r>
      <w:bookmarkEnd w:id="172"/>
      <w:r w:rsidR="00055D0B" w:rsidRPr="00742FDE">
        <w:rPr>
          <w:rStyle w:val="ECCParagraph"/>
        </w:rPr>
        <w:t xml:space="preserve">, </w:t>
      </w:r>
      <w:r w:rsidR="00FE35CC" w:rsidRPr="00742FDE">
        <w:rPr>
          <w:rStyle w:val="ECCParagraph"/>
        </w:rPr>
        <w:t xml:space="preserve">approved </w:t>
      </w:r>
      <w:r w:rsidR="00055D0B" w:rsidRPr="00742FDE">
        <w:rPr>
          <w:rStyle w:val="ECCParagraph"/>
        </w:rPr>
        <w:t>July 2019</w:t>
      </w:r>
    </w:p>
    <w:p w14:paraId="43559B85" w14:textId="3BB3D693" w:rsidR="00413E40" w:rsidRPr="00742FDE" w:rsidRDefault="00413E40" w:rsidP="00413E40">
      <w:pPr>
        <w:pStyle w:val="ECCReference"/>
        <w:rPr>
          <w:rStyle w:val="ECCParagraph"/>
        </w:rPr>
      </w:pPr>
      <w:bookmarkStart w:id="173" w:name="_Ref32245273"/>
      <w:r w:rsidRPr="00742FDE">
        <w:rPr>
          <w:rStyle w:val="ECCParagraph"/>
        </w:rPr>
        <w:t>ECC Report 307</w:t>
      </w:r>
      <w:r w:rsidR="00FF6F3C" w:rsidRPr="00742FDE">
        <w:rPr>
          <w:rStyle w:val="ECCParagraph"/>
        </w:rPr>
        <w:t>: "</w:t>
      </w:r>
      <w:r w:rsidRPr="00742FDE">
        <w:rPr>
          <w:rStyle w:val="ECCParagraph"/>
        </w:rPr>
        <w:t>Toolbox for the most appropriate synchronisation regulatory framework including coexistence of MFCN in 24.25-27.5 GHz in unsynchronised and semi-synchronised mode</w:t>
      </w:r>
      <w:r w:rsidR="00FF6F3C" w:rsidRPr="00742FDE">
        <w:rPr>
          <w:rStyle w:val="ECCParagraph"/>
        </w:rPr>
        <w:t>"</w:t>
      </w:r>
      <w:bookmarkEnd w:id="173"/>
      <w:r w:rsidR="00055D0B" w:rsidRPr="00742FDE">
        <w:rPr>
          <w:rStyle w:val="ECCParagraph"/>
        </w:rPr>
        <w:t xml:space="preserve">, </w:t>
      </w:r>
      <w:r w:rsidR="00FE35CC" w:rsidRPr="00742FDE">
        <w:rPr>
          <w:rStyle w:val="ECCParagraph"/>
        </w:rPr>
        <w:t xml:space="preserve">approved </w:t>
      </w:r>
      <w:r w:rsidR="00055D0B" w:rsidRPr="00742FDE">
        <w:rPr>
          <w:rStyle w:val="ECCParagraph"/>
        </w:rPr>
        <w:t>March 2020</w:t>
      </w:r>
    </w:p>
    <w:p w14:paraId="5CDA13BA" w14:textId="73503F95" w:rsidR="007328B4" w:rsidRPr="00742FDE" w:rsidRDefault="007328B4" w:rsidP="007328B4">
      <w:pPr>
        <w:pStyle w:val="ECCReference"/>
      </w:pPr>
      <w:bookmarkStart w:id="174" w:name="_Ref32245294"/>
      <w:r w:rsidRPr="00742FDE">
        <w:rPr>
          <w:rStyle w:val="ECCParagraph"/>
        </w:rPr>
        <w:t>ECC Report 132</w:t>
      </w:r>
      <w:r w:rsidR="00055D0B" w:rsidRPr="00742FDE">
        <w:rPr>
          <w:rStyle w:val="ECCParagraph"/>
        </w:rPr>
        <w:t>:</w:t>
      </w:r>
      <w:r w:rsidRPr="00742FDE">
        <w:rPr>
          <w:rStyle w:val="ECCParagraph"/>
        </w:rPr>
        <w:t xml:space="preserve"> </w:t>
      </w:r>
      <w:r w:rsidR="00055D0B" w:rsidRPr="00742FDE">
        <w:rPr>
          <w:rStyle w:val="ECCParagraph"/>
        </w:rPr>
        <w:t>"</w:t>
      </w:r>
      <w:r w:rsidRPr="00742FDE">
        <w:t>Light Licensing, Licence-Exempt and Commons</w:t>
      </w:r>
      <w:bookmarkEnd w:id="174"/>
      <w:r w:rsidR="00055D0B" w:rsidRPr="00742FDE">
        <w:t xml:space="preserve">", </w:t>
      </w:r>
      <w:r w:rsidR="00FE35CC" w:rsidRPr="00742FDE">
        <w:rPr>
          <w:rStyle w:val="ECCParagraph"/>
        </w:rPr>
        <w:t xml:space="preserve">approved </w:t>
      </w:r>
      <w:r w:rsidR="00055D0B" w:rsidRPr="00742FDE">
        <w:t>June 2009</w:t>
      </w:r>
    </w:p>
    <w:p w14:paraId="296DE3C0" w14:textId="4AA00AD8" w:rsidR="00451BA7" w:rsidRPr="00742FDE" w:rsidRDefault="00FF61D2" w:rsidP="00FF6F3C">
      <w:pPr>
        <w:pStyle w:val="ECCReference"/>
        <w:rPr>
          <w:rStyle w:val="ECCParagraph"/>
        </w:rPr>
      </w:pPr>
      <w:bookmarkStart w:id="175" w:name="_Ref32245353"/>
      <w:r w:rsidRPr="00742FDE">
        <w:rPr>
          <w:rStyle w:val="ECCParagraph"/>
        </w:rPr>
        <w:t>ECO Report 03: "Licensing of mobile bands in CEPT"</w:t>
      </w:r>
      <w:bookmarkEnd w:id="175"/>
      <w:r w:rsidR="00055D0B" w:rsidRPr="00742FDE">
        <w:rPr>
          <w:rStyle w:val="ECCParagraph"/>
        </w:rPr>
        <w:t>, November 2019</w:t>
      </w:r>
    </w:p>
    <w:p w14:paraId="493C67DA" w14:textId="572D7DCE" w:rsidR="001A4731" w:rsidRPr="00742FDE" w:rsidRDefault="001A4731" w:rsidP="00454FA0">
      <w:pPr>
        <w:pStyle w:val="ECCReference"/>
        <w:numPr>
          <w:ilvl w:val="0"/>
          <w:numId w:val="0"/>
        </w:numPr>
        <w:ind w:left="397" w:hanging="397"/>
      </w:pPr>
    </w:p>
    <w:sectPr w:rsidR="001A4731" w:rsidRPr="00742FDE" w:rsidSect="009B022D">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4E924F" w14:textId="77777777" w:rsidR="00FF0B56" w:rsidRDefault="00FF0B56" w:rsidP="004930E1">
      <w:r>
        <w:separator/>
      </w:r>
    </w:p>
    <w:p w14:paraId="144FB572" w14:textId="77777777" w:rsidR="00FF0B56" w:rsidRDefault="00FF0B56" w:rsidP="004930E1"/>
  </w:endnote>
  <w:endnote w:type="continuationSeparator" w:id="0">
    <w:p w14:paraId="3967C4A9" w14:textId="77777777" w:rsidR="00FF0B56" w:rsidRDefault="00FF0B56" w:rsidP="004930E1">
      <w:r>
        <w:continuationSeparator/>
      </w:r>
    </w:p>
    <w:p w14:paraId="5CF06282" w14:textId="77777777" w:rsidR="00FF0B56" w:rsidRDefault="00FF0B56" w:rsidP="004930E1"/>
  </w:endnote>
  <w:endnote w:type="continuationNotice" w:id="1">
    <w:p w14:paraId="50CB3920" w14:textId="77777777" w:rsidR="00FF0B56" w:rsidRDefault="00FF0B5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5BB70F" w14:textId="77777777" w:rsidR="005F4D12" w:rsidRDefault="005F4D12">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9470D" w14:textId="77777777" w:rsidR="005F4D12" w:rsidRDefault="005F4D12">
    <w:pPr>
      <w:spacing w:before="0"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4CD492" w14:textId="77777777" w:rsidR="005F4D12" w:rsidRDefault="005F4D12">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91D876" w14:textId="77777777" w:rsidR="00FF0B56" w:rsidRPr="00F7440E" w:rsidRDefault="00FF0B56" w:rsidP="004930E1">
      <w:pPr>
        <w:pStyle w:val="FootnoteText"/>
      </w:pPr>
      <w:r>
        <w:separator/>
      </w:r>
    </w:p>
  </w:footnote>
  <w:footnote w:type="continuationSeparator" w:id="0">
    <w:p w14:paraId="2ADA8EEA" w14:textId="77777777" w:rsidR="00FF0B56" w:rsidRPr="00F7440E" w:rsidRDefault="00FF0B56" w:rsidP="004930E1">
      <w:r>
        <w:continuationSeparator/>
      </w:r>
    </w:p>
  </w:footnote>
  <w:footnote w:type="continuationNotice" w:id="1">
    <w:p w14:paraId="07C9F8A6" w14:textId="77777777" w:rsidR="00FF0B56" w:rsidRPr="00CD07E7" w:rsidRDefault="00FF0B56" w:rsidP="004930E1"/>
  </w:footnote>
  <w:footnote w:id="2">
    <w:p w14:paraId="3E7FC06B" w14:textId="20204BEE" w:rsidR="005F4D12" w:rsidRPr="00AC2132" w:rsidRDefault="005F4D12" w:rsidP="003D291A">
      <w:pPr>
        <w:pStyle w:val="FootnoteText"/>
        <w:rPr>
          <w:lang w:val="en-US"/>
        </w:rPr>
      </w:pPr>
      <w:r>
        <w:rPr>
          <w:rStyle w:val="FootnoteReference"/>
        </w:rPr>
        <w:footnoteRef/>
      </w:r>
      <w:r w:rsidRPr="00AC2132">
        <w:rPr>
          <w:lang w:val="en-US"/>
        </w:rPr>
        <w:t xml:space="preserve"> including local general </w:t>
      </w:r>
      <w:r w:rsidRPr="00405EB1">
        <w:rPr>
          <w:lang w:val="en-GB"/>
        </w:rPr>
        <w:t>authorisation</w:t>
      </w:r>
      <w:r w:rsidRPr="00AC2132">
        <w:rPr>
          <w:lang w:val="en-US"/>
        </w:rPr>
        <w:t>, light licensing (Option 2</w:t>
      </w:r>
    </w:p>
  </w:footnote>
  <w:footnote w:id="3">
    <w:p w14:paraId="310D84D4" w14:textId="39A4B607" w:rsidR="00B11A4F" w:rsidRPr="00FE35CC" w:rsidRDefault="00B11A4F">
      <w:pPr>
        <w:pStyle w:val="FootnoteText"/>
        <w:rPr>
          <w:lang w:val="en-GB"/>
        </w:rPr>
      </w:pPr>
      <w:r>
        <w:rPr>
          <w:rStyle w:val="FootnoteReference"/>
        </w:rPr>
        <w:footnoteRef/>
      </w:r>
      <w:r w:rsidRPr="00FE35CC">
        <w:rPr>
          <w:lang w:val="en-GB"/>
        </w:rPr>
        <w:t xml:space="preserve"> </w:t>
      </w:r>
      <w:r>
        <w:rPr>
          <w:lang w:val="en-GB"/>
        </w:rPr>
        <w:t>a revision of this Decision is currently under public consultation and is expected to be approved in November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ACF65C" w14:textId="25613D4D" w:rsidR="005F4D12" w:rsidRPr="00AD1BE1" w:rsidRDefault="005F4D12" w:rsidP="00AD1BE1">
    <w:pPr>
      <w:pStyle w:val="ECCpageHeader"/>
    </w:pPr>
    <w:r w:rsidRPr="00AD1BE1">
      <w:t xml:space="preserve">ECC REPORT </w:t>
    </w:r>
    <w:r>
      <w:t>317</w:t>
    </w:r>
    <w:r w:rsidRPr="00AD1BE1">
      <w:t xml:space="preserve"> - Page </w:t>
    </w:r>
    <w:r w:rsidRPr="00AD1BE1">
      <w:fldChar w:fldCharType="begin"/>
    </w:r>
    <w:r w:rsidRPr="00AD1BE1">
      <w:instrText xml:space="preserve"> PAGE  \* Arabic  \* MERGEFORMAT </w:instrText>
    </w:r>
    <w:r w:rsidRPr="00AD1BE1">
      <w:fldChar w:fldCharType="separate"/>
    </w:r>
    <w:r>
      <w:rPr>
        <w:noProof/>
      </w:rPr>
      <w:t>18</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26B68B" w14:textId="1E7979A2" w:rsidR="005F4D12" w:rsidRPr="00966560" w:rsidRDefault="005F4D12" w:rsidP="00E36601">
    <w:pPr>
      <w:pStyle w:val="ECCpageHeader"/>
      <w:rPr>
        <w:lang w:val="en-GB"/>
      </w:rPr>
    </w:pPr>
    <w:r w:rsidRPr="00966560">
      <w:rPr>
        <w:lang w:val="en-GB"/>
      </w:rPr>
      <w:tab/>
    </w:r>
    <w:r w:rsidRPr="00966560">
      <w:rPr>
        <w:lang w:val="en-GB"/>
      </w:rPr>
      <w:tab/>
      <w:t xml:space="preserve">ECC REPORT </w:t>
    </w:r>
    <w:r>
      <w:t>317</w:t>
    </w:r>
    <w:r w:rsidRPr="00966560">
      <w:rPr>
        <w:lang w:val="en-GB"/>
      </w:rPr>
      <w:t xml:space="preserve"> - Page </w:t>
    </w:r>
    <w:r w:rsidRPr="00296C44">
      <w:fldChar w:fldCharType="begin"/>
    </w:r>
    <w:r w:rsidRPr="00966560">
      <w:rPr>
        <w:lang w:val="en-GB"/>
      </w:rPr>
      <w:instrText xml:space="preserve"> PAGE  \* Arabic  \* MERGEFORMAT </w:instrText>
    </w:r>
    <w:r w:rsidRPr="00296C44">
      <w:fldChar w:fldCharType="separate"/>
    </w:r>
    <w:r>
      <w:rPr>
        <w:noProof/>
        <w:lang w:val="en-GB"/>
      </w:rPr>
      <w:t>17</w:t>
    </w:r>
    <w:r w:rsidRPr="00296C44">
      <w:fldChar w:fldCharType="end"/>
    </w:r>
  </w:p>
  <w:p w14:paraId="38359D48" w14:textId="77777777" w:rsidR="005F4D12" w:rsidRDefault="005F4D12" w:rsidP="004930E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CCBDA" w14:textId="00F95139" w:rsidR="005F4D12" w:rsidRPr="005611D0" w:rsidRDefault="005F4D12" w:rsidP="009B022D">
    <w:pPr>
      <w:pStyle w:val="ECCpageHeader"/>
    </w:pPr>
    <w:r w:rsidRPr="0011108A">
      <w:rPr>
        <w:noProof/>
        <w:lang w:eastAsia="da-DK"/>
      </w:rPr>
      <w:drawing>
        <wp:anchor distT="0" distB="0" distL="114300" distR="114300" simplePos="0" relativeHeight="251658752" behindDoc="0" locked="0" layoutInCell="1" allowOverlap="1" wp14:anchorId="4160AECF" wp14:editId="351F19FC">
          <wp:simplePos x="0" y="0"/>
          <wp:positionH relativeFrom="page">
            <wp:posOffset>5717540</wp:posOffset>
          </wp:positionH>
          <wp:positionV relativeFrom="page">
            <wp:posOffset>648335</wp:posOffset>
          </wp:positionV>
          <wp:extent cx="1461770" cy="546100"/>
          <wp:effectExtent l="25400" t="0" r="11430" b="0"/>
          <wp:wrapNone/>
          <wp:docPr id="1"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11108A">
      <w:rPr>
        <w:noProof/>
        <w:lang w:eastAsia="da-DK"/>
      </w:rPr>
      <w:drawing>
        <wp:anchor distT="0" distB="0" distL="114300" distR="114300" simplePos="0" relativeHeight="251657728" behindDoc="0" locked="0" layoutInCell="1" allowOverlap="1" wp14:anchorId="0534A9C6" wp14:editId="5061C082">
          <wp:simplePos x="0" y="0"/>
          <wp:positionH relativeFrom="page">
            <wp:posOffset>572770</wp:posOffset>
          </wp:positionH>
          <wp:positionV relativeFrom="page">
            <wp:posOffset>457200</wp:posOffset>
          </wp:positionV>
          <wp:extent cx="889000" cy="889000"/>
          <wp:effectExtent l="25400" t="0" r="0" b="0"/>
          <wp:wrapNone/>
          <wp:docPr id="2"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14:paraId="65951E45" w14:textId="77777777" w:rsidR="005F4D12" w:rsidRPr="005611D0" w:rsidRDefault="005F4D12" w:rsidP="000F0A57">
    <w:pPr>
      <w:pStyle w:val="ECCpageHeader"/>
    </w:pPr>
  </w:p>
  <w:p w14:paraId="24B72020" w14:textId="77777777" w:rsidR="005F4D12" w:rsidRPr="005611D0" w:rsidRDefault="005F4D12" w:rsidP="000F0A57">
    <w:pPr>
      <w:pStyle w:val="ECCpageHeader"/>
    </w:pPr>
  </w:p>
  <w:p w14:paraId="2058240C" w14:textId="1E9605AC" w:rsidR="005F4D12" w:rsidRPr="005611D0" w:rsidRDefault="005F4D12" w:rsidP="000F0A57">
    <w:pPr>
      <w:pStyle w:val="ECCpageHeader"/>
    </w:pPr>
  </w:p>
  <w:p w14:paraId="706BB194" w14:textId="77777777" w:rsidR="005F4D12" w:rsidRPr="005611D0" w:rsidRDefault="005F4D12" w:rsidP="000F0A57">
    <w:pPr>
      <w:pStyle w:val="ECCpage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25.4pt;height:58.9pt" o:bullet="t">
        <v:imagedata r:id="rId1" o:title="Editor's Note"/>
      </v:shape>
    </w:pict>
  </w:numPicBullet>
  <w:abstractNum w:abstractNumId="0" w15:restartNumberingAfterBreak="0">
    <w:nsid w:val="0E197A08"/>
    <w:multiLevelType w:val="multilevel"/>
    <w:tmpl w:val="C468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A0A7C33"/>
    <w:multiLevelType w:val="hybridMultilevel"/>
    <w:tmpl w:val="CF3A79E8"/>
    <w:lvl w:ilvl="0" w:tplc="22940032">
      <w:start w:val="1"/>
      <w:numFmt w:val="decimal"/>
      <w:pStyle w:val="ECCEditorsNote"/>
      <w:lvlText w:val="Editor's Note %1:"/>
      <w:lvlJc w:val="left"/>
      <w:pPr>
        <w:tabs>
          <w:tab w:val="num" w:pos="2836"/>
        </w:tabs>
        <w:ind w:left="2836" w:hanging="1559"/>
      </w:pPr>
      <w:rPr>
        <w:b w:val="0"/>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5" w15:restartNumberingAfterBreak="0">
    <w:nsid w:val="3AE47334"/>
    <w:multiLevelType w:val="hybridMultilevel"/>
    <w:tmpl w:val="35D210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D163F7A"/>
    <w:multiLevelType w:val="multilevel"/>
    <w:tmpl w:val="FC9C957A"/>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862"/>
        </w:tabs>
        <w:ind w:left="862"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71D84267"/>
    <w:multiLevelType w:val="hybridMultilevel"/>
    <w:tmpl w:val="7D6060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6FC698D"/>
    <w:multiLevelType w:val="hybridMultilevel"/>
    <w:tmpl w:val="6290AEB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
  </w:num>
  <w:num w:numId="2">
    <w:abstractNumId w:val="1"/>
  </w:num>
  <w:num w:numId="3">
    <w:abstractNumId w:val="9"/>
  </w:num>
  <w:num w:numId="4">
    <w:abstractNumId w:val="4"/>
  </w:num>
  <w:num w:numId="5">
    <w:abstractNumId w:val="7"/>
  </w:num>
  <w:num w:numId="6">
    <w:abstractNumId w:val="6"/>
  </w:num>
  <w:num w:numId="7">
    <w:abstractNumId w:val="8"/>
  </w:num>
  <w:num w:numId="8">
    <w:abstractNumId w:val="3"/>
  </w:num>
  <w:num w:numId="9">
    <w:abstractNumId w:val="3"/>
  </w:num>
  <w:num w:numId="10">
    <w:abstractNumId w:val="1"/>
  </w:num>
  <w:num w:numId="11">
    <w:abstractNumId w:val="10"/>
  </w:num>
  <w:num w:numId="12">
    <w:abstractNumId w:val="0"/>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6"/>
  </w:num>
  <w:num w:numId="1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da-DK"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6" w:nlCheck="1" w:checkStyle="0"/>
  <w:activeWritingStyle w:appName="MSWord" w:lang="da-DK" w:vendorID="64" w:dllVersion="0" w:nlCheck="1" w:checkStyle="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trackRevisions/>
  <w:documentProtection w:formatting="1" w:enforcement="1" w:cryptProviderType="rsaAES" w:cryptAlgorithmClass="hash" w:cryptAlgorithmType="typeAny" w:cryptAlgorithmSid="14" w:cryptSpinCount="100000" w:hash="0Rl26envijT0klFtGoilW70WN5G69oXUnh+oJAsgXEMPmPsMowka3lB8zCbjuBXkwZSszAReYBhOv+F7XnpJiA==" w:salt="Az0KB4/8ZEnUykXFMZDdoA=="/>
  <w:styleLockTheme/>
  <w:defaultTabStop w:val="567"/>
  <w:hyphenationZone w:val="425"/>
  <w:evenAndOddHeaders/>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8B8"/>
    <w:rsid w:val="000007FF"/>
    <w:rsid w:val="00000AC3"/>
    <w:rsid w:val="00001D3E"/>
    <w:rsid w:val="00001D97"/>
    <w:rsid w:val="00001EAC"/>
    <w:rsid w:val="00002FBB"/>
    <w:rsid w:val="00004B9A"/>
    <w:rsid w:val="000053DC"/>
    <w:rsid w:val="00006B4E"/>
    <w:rsid w:val="000074D5"/>
    <w:rsid w:val="000102F0"/>
    <w:rsid w:val="00010EEC"/>
    <w:rsid w:val="0001112E"/>
    <w:rsid w:val="000111F2"/>
    <w:rsid w:val="000115E6"/>
    <w:rsid w:val="000120BE"/>
    <w:rsid w:val="000121C7"/>
    <w:rsid w:val="00012DF8"/>
    <w:rsid w:val="00012E3B"/>
    <w:rsid w:val="00014303"/>
    <w:rsid w:val="00014BDB"/>
    <w:rsid w:val="00014EDF"/>
    <w:rsid w:val="00015DF6"/>
    <w:rsid w:val="000161B2"/>
    <w:rsid w:val="00016AFE"/>
    <w:rsid w:val="00017C0A"/>
    <w:rsid w:val="00020443"/>
    <w:rsid w:val="00020FDA"/>
    <w:rsid w:val="000213AB"/>
    <w:rsid w:val="0002217A"/>
    <w:rsid w:val="00022BB7"/>
    <w:rsid w:val="00024EF9"/>
    <w:rsid w:val="00025D47"/>
    <w:rsid w:val="0002666E"/>
    <w:rsid w:val="000272D0"/>
    <w:rsid w:val="00027458"/>
    <w:rsid w:val="00027CF7"/>
    <w:rsid w:val="000321E7"/>
    <w:rsid w:val="0003281B"/>
    <w:rsid w:val="00032CA0"/>
    <w:rsid w:val="000339EB"/>
    <w:rsid w:val="000340C3"/>
    <w:rsid w:val="00034E94"/>
    <w:rsid w:val="000356F8"/>
    <w:rsid w:val="0004018C"/>
    <w:rsid w:val="000403D4"/>
    <w:rsid w:val="00040716"/>
    <w:rsid w:val="00040CC1"/>
    <w:rsid w:val="00041350"/>
    <w:rsid w:val="0004176A"/>
    <w:rsid w:val="00041A18"/>
    <w:rsid w:val="00042402"/>
    <w:rsid w:val="00043655"/>
    <w:rsid w:val="00043A15"/>
    <w:rsid w:val="00045700"/>
    <w:rsid w:val="00045848"/>
    <w:rsid w:val="000458C5"/>
    <w:rsid w:val="00051E7B"/>
    <w:rsid w:val="000539C7"/>
    <w:rsid w:val="00054E81"/>
    <w:rsid w:val="00055D0B"/>
    <w:rsid w:val="00057EC2"/>
    <w:rsid w:val="000616AA"/>
    <w:rsid w:val="000633DF"/>
    <w:rsid w:val="00065848"/>
    <w:rsid w:val="000660AA"/>
    <w:rsid w:val="00067793"/>
    <w:rsid w:val="00067920"/>
    <w:rsid w:val="00070C42"/>
    <w:rsid w:val="00070C63"/>
    <w:rsid w:val="00070E82"/>
    <w:rsid w:val="00071122"/>
    <w:rsid w:val="00074F6D"/>
    <w:rsid w:val="0007526D"/>
    <w:rsid w:val="00075A84"/>
    <w:rsid w:val="00077814"/>
    <w:rsid w:val="00080D4D"/>
    <w:rsid w:val="00080D86"/>
    <w:rsid w:val="00081D02"/>
    <w:rsid w:val="0008235C"/>
    <w:rsid w:val="00082DD7"/>
    <w:rsid w:val="000876CE"/>
    <w:rsid w:val="00087ABF"/>
    <w:rsid w:val="00091B11"/>
    <w:rsid w:val="00091CF7"/>
    <w:rsid w:val="00092561"/>
    <w:rsid w:val="0009281C"/>
    <w:rsid w:val="00095620"/>
    <w:rsid w:val="00096140"/>
    <w:rsid w:val="00096242"/>
    <w:rsid w:val="00096BE4"/>
    <w:rsid w:val="000A0C46"/>
    <w:rsid w:val="000A14D9"/>
    <w:rsid w:val="000A19D0"/>
    <w:rsid w:val="000A1B57"/>
    <w:rsid w:val="000A3940"/>
    <w:rsid w:val="000A3ABA"/>
    <w:rsid w:val="000A47F3"/>
    <w:rsid w:val="000A6DFC"/>
    <w:rsid w:val="000A70D7"/>
    <w:rsid w:val="000A7ACC"/>
    <w:rsid w:val="000B29FE"/>
    <w:rsid w:val="000B453F"/>
    <w:rsid w:val="000B5BB5"/>
    <w:rsid w:val="000B5D2E"/>
    <w:rsid w:val="000B68D7"/>
    <w:rsid w:val="000B6D45"/>
    <w:rsid w:val="000B7167"/>
    <w:rsid w:val="000B7C0B"/>
    <w:rsid w:val="000C028F"/>
    <w:rsid w:val="000C03E4"/>
    <w:rsid w:val="000C2689"/>
    <w:rsid w:val="000C2C9D"/>
    <w:rsid w:val="000C4A4F"/>
    <w:rsid w:val="000C5AD5"/>
    <w:rsid w:val="000C6DA3"/>
    <w:rsid w:val="000D00F1"/>
    <w:rsid w:val="000D1710"/>
    <w:rsid w:val="000D248B"/>
    <w:rsid w:val="000D2FEF"/>
    <w:rsid w:val="000D32F7"/>
    <w:rsid w:val="000D43BB"/>
    <w:rsid w:val="000D7581"/>
    <w:rsid w:val="000D76A4"/>
    <w:rsid w:val="000D76CB"/>
    <w:rsid w:val="000E042D"/>
    <w:rsid w:val="000E0AD2"/>
    <w:rsid w:val="000E18F7"/>
    <w:rsid w:val="000E42F5"/>
    <w:rsid w:val="000E474F"/>
    <w:rsid w:val="000E4ED4"/>
    <w:rsid w:val="000E694C"/>
    <w:rsid w:val="000E6E63"/>
    <w:rsid w:val="000E725D"/>
    <w:rsid w:val="000F01FC"/>
    <w:rsid w:val="000F0594"/>
    <w:rsid w:val="000F0A57"/>
    <w:rsid w:val="000F0BA7"/>
    <w:rsid w:val="000F0CA8"/>
    <w:rsid w:val="000F24F5"/>
    <w:rsid w:val="000F2ED9"/>
    <w:rsid w:val="000F3A5B"/>
    <w:rsid w:val="000F3D2C"/>
    <w:rsid w:val="000F49ED"/>
    <w:rsid w:val="000F56F7"/>
    <w:rsid w:val="000F6692"/>
    <w:rsid w:val="000F6F15"/>
    <w:rsid w:val="000F7232"/>
    <w:rsid w:val="001006CA"/>
    <w:rsid w:val="00100F8B"/>
    <w:rsid w:val="0010102B"/>
    <w:rsid w:val="00102172"/>
    <w:rsid w:val="001034BF"/>
    <w:rsid w:val="001043D0"/>
    <w:rsid w:val="00105310"/>
    <w:rsid w:val="001053A1"/>
    <w:rsid w:val="001054D0"/>
    <w:rsid w:val="001104A8"/>
    <w:rsid w:val="00110652"/>
    <w:rsid w:val="0011108A"/>
    <w:rsid w:val="0011162A"/>
    <w:rsid w:val="00111D68"/>
    <w:rsid w:val="00111EBE"/>
    <w:rsid w:val="001120D8"/>
    <w:rsid w:val="0011372D"/>
    <w:rsid w:val="00113CB7"/>
    <w:rsid w:val="0011499B"/>
    <w:rsid w:val="00116A59"/>
    <w:rsid w:val="00120767"/>
    <w:rsid w:val="00120A17"/>
    <w:rsid w:val="00121973"/>
    <w:rsid w:val="00123B16"/>
    <w:rsid w:val="00125A60"/>
    <w:rsid w:val="00125E1F"/>
    <w:rsid w:val="00126B92"/>
    <w:rsid w:val="001270EB"/>
    <w:rsid w:val="0012774D"/>
    <w:rsid w:val="00134633"/>
    <w:rsid w:val="00136690"/>
    <w:rsid w:val="001408B8"/>
    <w:rsid w:val="001456CA"/>
    <w:rsid w:val="00146380"/>
    <w:rsid w:val="0014726D"/>
    <w:rsid w:val="001526A2"/>
    <w:rsid w:val="001555E1"/>
    <w:rsid w:val="00155BEB"/>
    <w:rsid w:val="00156314"/>
    <w:rsid w:val="001578B4"/>
    <w:rsid w:val="00157C13"/>
    <w:rsid w:val="0016029E"/>
    <w:rsid w:val="00161512"/>
    <w:rsid w:val="001629A1"/>
    <w:rsid w:val="00164341"/>
    <w:rsid w:val="00167775"/>
    <w:rsid w:val="00170461"/>
    <w:rsid w:val="001727AA"/>
    <w:rsid w:val="00172B28"/>
    <w:rsid w:val="00172E78"/>
    <w:rsid w:val="0017315F"/>
    <w:rsid w:val="00173394"/>
    <w:rsid w:val="00173601"/>
    <w:rsid w:val="001743A2"/>
    <w:rsid w:val="00176E2D"/>
    <w:rsid w:val="00177C7D"/>
    <w:rsid w:val="00180882"/>
    <w:rsid w:val="0018111A"/>
    <w:rsid w:val="00183661"/>
    <w:rsid w:val="00183BB5"/>
    <w:rsid w:val="00183CBD"/>
    <w:rsid w:val="00183FE0"/>
    <w:rsid w:val="001848C2"/>
    <w:rsid w:val="0018553F"/>
    <w:rsid w:val="00186C2A"/>
    <w:rsid w:val="00187031"/>
    <w:rsid w:val="001937CA"/>
    <w:rsid w:val="00193D93"/>
    <w:rsid w:val="001945F6"/>
    <w:rsid w:val="00194852"/>
    <w:rsid w:val="001953A0"/>
    <w:rsid w:val="00195488"/>
    <w:rsid w:val="00195706"/>
    <w:rsid w:val="001A226A"/>
    <w:rsid w:val="001A2BF4"/>
    <w:rsid w:val="001A4731"/>
    <w:rsid w:val="001A7085"/>
    <w:rsid w:val="001B190A"/>
    <w:rsid w:val="001B50F8"/>
    <w:rsid w:val="001B523D"/>
    <w:rsid w:val="001B6C7B"/>
    <w:rsid w:val="001B7328"/>
    <w:rsid w:val="001C2D04"/>
    <w:rsid w:val="001C2EB5"/>
    <w:rsid w:val="001C30A8"/>
    <w:rsid w:val="001C36C7"/>
    <w:rsid w:val="001C39DE"/>
    <w:rsid w:val="001C3B82"/>
    <w:rsid w:val="001C3CC7"/>
    <w:rsid w:val="001C7512"/>
    <w:rsid w:val="001D01D6"/>
    <w:rsid w:val="001D0AD8"/>
    <w:rsid w:val="001D2CAC"/>
    <w:rsid w:val="001D301D"/>
    <w:rsid w:val="001D5171"/>
    <w:rsid w:val="001D68AA"/>
    <w:rsid w:val="001D7256"/>
    <w:rsid w:val="001D7C0E"/>
    <w:rsid w:val="001E04FD"/>
    <w:rsid w:val="001E09F4"/>
    <w:rsid w:val="001E2183"/>
    <w:rsid w:val="001E3FFB"/>
    <w:rsid w:val="001E44BB"/>
    <w:rsid w:val="001E5678"/>
    <w:rsid w:val="001F0E9D"/>
    <w:rsid w:val="001F1EEC"/>
    <w:rsid w:val="001F2A42"/>
    <w:rsid w:val="001F39BA"/>
    <w:rsid w:val="001F56F5"/>
    <w:rsid w:val="001F60CC"/>
    <w:rsid w:val="001F64B8"/>
    <w:rsid w:val="001F69A2"/>
    <w:rsid w:val="001F7246"/>
    <w:rsid w:val="001F7494"/>
    <w:rsid w:val="0020079A"/>
    <w:rsid w:val="00200BF0"/>
    <w:rsid w:val="002010E2"/>
    <w:rsid w:val="00202553"/>
    <w:rsid w:val="00203B63"/>
    <w:rsid w:val="00203E26"/>
    <w:rsid w:val="00206968"/>
    <w:rsid w:val="00210414"/>
    <w:rsid w:val="00212771"/>
    <w:rsid w:val="0021291B"/>
    <w:rsid w:val="00212D3B"/>
    <w:rsid w:val="002141C0"/>
    <w:rsid w:val="00215030"/>
    <w:rsid w:val="00216E59"/>
    <w:rsid w:val="00220299"/>
    <w:rsid w:val="002207CB"/>
    <w:rsid w:val="00220F24"/>
    <w:rsid w:val="00222F9E"/>
    <w:rsid w:val="00223586"/>
    <w:rsid w:val="0022363F"/>
    <w:rsid w:val="0022395A"/>
    <w:rsid w:val="00223B9C"/>
    <w:rsid w:val="00224A8A"/>
    <w:rsid w:val="002300AD"/>
    <w:rsid w:val="002301A7"/>
    <w:rsid w:val="002302A9"/>
    <w:rsid w:val="00230E3A"/>
    <w:rsid w:val="0023310A"/>
    <w:rsid w:val="00233B6E"/>
    <w:rsid w:val="00234E40"/>
    <w:rsid w:val="002356DA"/>
    <w:rsid w:val="002359C4"/>
    <w:rsid w:val="002360FC"/>
    <w:rsid w:val="00237473"/>
    <w:rsid w:val="00240BAB"/>
    <w:rsid w:val="0024242E"/>
    <w:rsid w:val="00243AE8"/>
    <w:rsid w:val="002476C9"/>
    <w:rsid w:val="002476EA"/>
    <w:rsid w:val="00247F50"/>
    <w:rsid w:val="00250861"/>
    <w:rsid w:val="00251CCF"/>
    <w:rsid w:val="00251CD0"/>
    <w:rsid w:val="00252D5B"/>
    <w:rsid w:val="0025413E"/>
    <w:rsid w:val="002549E5"/>
    <w:rsid w:val="00257715"/>
    <w:rsid w:val="002578EB"/>
    <w:rsid w:val="00261D7C"/>
    <w:rsid w:val="00262BB6"/>
    <w:rsid w:val="00262F5B"/>
    <w:rsid w:val="00264464"/>
    <w:rsid w:val="002646A2"/>
    <w:rsid w:val="00265B5B"/>
    <w:rsid w:val="00266229"/>
    <w:rsid w:val="00266840"/>
    <w:rsid w:val="002668D6"/>
    <w:rsid w:val="002672F5"/>
    <w:rsid w:val="0026791B"/>
    <w:rsid w:val="002708CC"/>
    <w:rsid w:val="0027099B"/>
    <w:rsid w:val="00271D8B"/>
    <w:rsid w:val="00272668"/>
    <w:rsid w:val="00273238"/>
    <w:rsid w:val="00274DD2"/>
    <w:rsid w:val="00274F84"/>
    <w:rsid w:val="00276C8D"/>
    <w:rsid w:val="0027787F"/>
    <w:rsid w:val="0028060B"/>
    <w:rsid w:val="0028120C"/>
    <w:rsid w:val="00283417"/>
    <w:rsid w:val="002852DE"/>
    <w:rsid w:val="00292586"/>
    <w:rsid w:val="00292A5F"/>
    <w:rsid w:val="00292FE6"/>
    <w:rsid w:val="0029470A"/>
    <w:rsid w:val="002954F0"/>
    <w:rsid w:val="00295827"/>
    <w:rsid w:val="00295F16"/>
    <w:rsid w:val="002960DF"/>
    <w:rsid w:val="00296C44"/>
    <w:rsid w:val="00297A0E"/>
    <w:rsid w:val="002A033F"/>
    <w:rsid w:val="002A563D"/>
    <w:rsid w:val="002A5DD3"/>
    <w:rsid w:val="002A6882"/>
    <w:rsid w:val="002A7403"/>
    <w:rsid w:val="002B0AFB"/>
    <w:rsid w:val="002B126F"/>
    <w:rsid w:val="002B16F7"/>
    <w:rsid w:val="002B2A5F"/>
    <w:rsid w:val="002B42A0"/>
    <w:rsid w:val="002B5411"/>
    <w:rsid w:val="002B694D"/>
    <w:rsid w:val="002B6EFA"/>
    <w:rsid w:val="002B7C91"/>
    <w:rsid w:val="002C0D36"/>
    <w:rsid w:val="002C15F7"/>
    <w:rsid w:val="002C6515"/>
    <w:rsid w:val="002C6DC3"/>
    <w:rsid w:val="002C7E54"/>
    <w:rsid w:val="002D08EA"/>
    <w:rsid w:val="002D1A1C"/>
    <w:rsid w:val="002D1B0E"/>
    <w:rsid w:val="002D1FA9"/>
    <w:rsid w:val="002D228E"/>
    <w:rsid w:val="002D48C1"/>
    <w:rsid w:val="002D50A3"/>
    <w:rsid w:val="002D63ED"/>
    <w:rsid w:val="002D6D45"/>
    <w:rsid w:val="002D6D94"/>
    <w:rsid w:val="002D6E67"/>
    <w:rsid w:val="002D71B6"/>
    <w:rsid w:val="002D7B36"/>
    <w:rsid w:val="002E0657"/>
    <w:rsid w:val="002E0AF4"/>
    <w:rsid w:val="002E0C3A"/>
    <w:rsid w:val="002E0DEA"/>
    <w:rsid w:val="002E265D"/>
    <w:rsid w:val="002E26E2"/>
    <w:rsid w:val="002E37DB"/>
    <w:rsid w:val="002E5A53"/>
    <w:rsid w:val="002E5D5C"/>
    <w:rsid w:val="002E7F89"/>
    <w:rsid w:val="002F2B8E"/>
    <w:rsid w:val="002F2E73"/>
    <w:rsid w:val="002F38A0"/>
    <w:rsid w:val="002F43B5"/>
    <w:rsid w:val="002F6D2D"/>
    <w:rsid w:val="00300049"/>
    <w:rsid w:val="0030255A"/>
    <w:rsid w:val="003056B6"/>
    <w:rsid w:val="00306252"/>
    <w:rsid w:val="00306A55"/>
    <w:rsid w:val="00307046"/>
    <w:rsid w:val="00307A79"/>
    <w:rsid w:val="00307AF6"/>
    <w:rsid w:val="00310A81"/>
    <w:rsid w:val="003129AA"/>
    <w:rsid w:val="00313C9A"/>
    <w:rsid w:val="00314C1F"/>
    <w:rsid w:val="00315992"/>
    <w:rsid w:val="00315F78"/>
    <w:rsid w:val="0031725B"/>
    <w:rsid w:val="003204D5"/>
    <w:rsid w:val="003226D8"/>
    <w:rsid w:val="00322E6A"/>
    <w:rsid w:val="00323D5F"/>
    <w:rsid w:val="0032658C"/>
    <w:rsid w:val="00326763"/>
    <w:rsid w:val="00330C00"/>
    <w:rsid w:val="003314A0"/>
    <w:rsid w:val="00332A8C"/>
    <w:rsid w:val="00332AD8"/>
    <w:rsid w:val="003334BC"/>
    <w:rsid w:val="003340A0"/>
    <w:rsid w:val="0033495D"/>
    <w:rsid w:val="00335A25"/>
    <w:rsid w:val="00336183"/>
    <w:rsid w:val="003368EA"/>
    <w:rsid w:val="003369B4"/>
    <w:rsid w:val="00337AB4"/>
    <w:rsid w:val="00337D50"/>
    <w:rsid w:val="00340B38"/>
    <w:rsid w:val="003411D7"/>
    <w:rsid w:val="00342D5B"/>
    <w:rsid w:val="0034524C"/>
    <w:rsid w:val="00346457"/>
    <w:rsid w:val="00350CF9"/>
    <w:rsid w:val="00352A1A"/>
    <w:rsid w:val="00354B63"/>
    <w:rsid w:val="00355637"/>
    <w:rsid w:val="003559B3"/>
    <w:rsid w:val="003562B1"/>
    <w:rsid w:val="00360FB5"/>
    <w:rsid w:val="00361118"/>
    <w:rsid w:val="003617C2"/>
    <w:rsid w:val="003625E6"/>
    <w:rsid w:val="0036387D"/>
    <w:rsid w:val="003639DE"/>
    <w:rsid w:val="00363BDD"/>
    <w:rsid w:val="0036446C"/>
    <w:rsid w:val="003675BA"/>
    <w:rsid w:val="00372578"/>
    <w:rsid w:val="00372B45"/>
    <w:rsid w:val="00372C4F"/>
    <w:rsid w:val="00373BB8"/>
    <w:rsid w:val="00373E87"/>
    <w:rsid w:val="00374797"/>
    <w:rsid w:val="00377C89"/>
    <w:rsid w:val="00381169"/>
    <w:rsid w:val="0038205F"/>
    <w:rsid w:val="0038358E"/>
    <w:rsid w:val="00384352"/>
    <w:rsid w:val="00386181"/>
    <w:rsid w:val="00387AB8"/>
    <w:rsid w:val="00387DDE"/>
    <w:rsid w:val="00390531"/>
    <w:rsid w:val="00391136"/>
    <w:rsid w:val="00391A01"/>
    <w:rsid w:val="003935AC"/>
    <w:rsid w:val="003937B6"/>
    <w:rsid w:val="00395E1C"/>
    <w:rsid w:val="003974AC"/>
    <w:rsid w:val="003A048F"/>
    <w:rsid w:val="003A0E1A"/>
    <w:rsid w:val="003A0EB5"/>
    <w:rsid w:val="003A27D7"/>
    <w:rsid w:val="003A2986"/>
    <w:rsid w:val="003A343E"/>
    <w:rsid w:val="003A3F08"/>
    <w:rsid w:val="003A55A8"/>
    <w:rsid w:val="003A5711"/>
    <w:rsid w:val="003A76E9"/>
    <w:rsid w:val="003B1553"/>
    <w:rsid w:val="003B1BEE"/>
    <w:rsid w:val="003B2F43"/>
    <w:rsid w:val="003B3038"/>
    <w:rsid w:val="003B4650"/>
    <w:rsid w:val="003B4962"/>
    <w:rsid w:val="003B5BA1"/>
    <w:rsid w:val="003B6FD7"/>
    <w:rsid w:val="003B7189"/>
    <w:rsid w:val="003B7C36"/>
    <w:rsid w:val="003C0597"/>
    <w:rsid w:val="003C1D22"/>
    <w:rsid w:val="003C4793"/>
    <w:rsid w:val="003C510F"/>
    <w:rsid w:val="003C64D9"/>
    <w:rsid w:val="003C6C48"/>
    <w:rsid w:val="003D291A"/>
    <w:rsid w:val="003D2AC0"/>
    <w:rsid w:val="003D468E"/>
    <w:rsid w:val="003D4D5D"/>
    <w:rsid w:val="003D75FE"/>
    <w:rsid w:val="003D7616"/>
    <w:rsid w:val="003E02F1"/>
    <w:rsid w:val="003E0591"/>
    <w:rsid w:val="003E2E42"/>
    <w:rsid w:val="003E470E"/>
    <w:rsid w:val="003E6521"/>
    <w:rsid w:val="003E65F5"/>
    <w:rsid w:val="003E6BF9"/>
    <w:rsid w:val="003E70E0"/>
    <w:rsid w:val="003E7754"/>
    <w:rsid w:val="003E7CD2"/>
    <w:rsid w:val="003F2917"/>
    <w:rsid w:val="003F30BF"/>
    <w:rsid w:val="003F3C38"/>
    <w:rsid w:val="003F5701"/>
    <w:rsid w:val="003F67EB"/>
    <w:rsid w:val="003F77DB"/>
    <w:rsid w:val="004001D2"/>
    <w:rsid w:val="00401823"/>
    <w:rsid w:val="00403CE6"/>
    <w:rsid w:val="00404071"/>
    <w:rsid w:val="0040427E"/>
    <w:rsid w:val="00404DBB"/>
    <w:rsid w:val="00405EB1"/>
    <w:rsid w:val="00406810"/>
    <w:rsid w:val="0040694F"/>
    <w:rsid w:val="00407A0A"/>
    <w:rsid w:val="004110CA"/>
    <w:rsid w:val="0041160E"/>
    <w:rsid w:val="00411CB6"/>
    <w:rsid w:val="00412289"/>
    <w:rsid w:val="00412EC4"/>
    <w:rsid w:val="004138DD"/>
    <w:rsid w:val="00413E40"/>
    <w:rsid w:val="00422007"/>
    <w:rsid w:val="0042288C"/>
    <w:rsid w:val="00426ADE"/>
    <w:rsid w:val="00426E0D"/>
    <w:rsid w:val="00430FF4"/>
    <w:rsid w:val="00431162"/>
    <w:rsid w:val="00434849"/>
    <w:rsid w:val="004357E9"/>
    <w:rsid w:val="00435921"/>
    <w:rsid w:val="00436FE5"/>
    <w:rsid w:val="0043786C"/>
    <w:rsid w:val="004410AC"/>
    <w:rsid w:val="00442557"/>
    <w:rsid w:val="00442828"/>
    <w:rsid w:val="00443482"/>
    <w:rsid w:val="0044552E"/>
    <w:rsid w:val="004459E7"/>
    <w:rsid w:val="00445E1A"/>
    <w:rsid w:val="00445FFD"/>
    <w:rsid w:val="004465AC"/>
    <w:rsid w:val="0044662A"/>
    <w:rsid w:val="00450308"/>
    <w:rsid w:val="00450F5B"/>
    <w:rsid w:val="00451BA7"/>
    <w:rsid w:val="00451D0E"/>
    <w:rsid w:val="00451E23"/>
    <w:rsid w:val="004534E4"/>
    <w:rsid w:val="004541FE"/>
    <w:rsid w:val="00454B45"/>
    <w:rsid w:val="00454FA0"/>
    <w:rsid w:val="00455AE8"/>
    <w:rsid w:val="004576F7"/>
    <w:rsid w:val="00457AD1"/>
    <w:rsid w:val="00460ED0"/>
    <w:rsid w:val="00463536"/>
    <w:rsid w:val="0046427F"/>
    <w:rsid w:val="00464968"/>
    <w:rsid w:val="00465F13"/>
    <w:rsid w:val="004677D7"/>
    <w:rsid w:val="00471F0A"/>
    <w:rsid w:val="00473945"/>
    <w:rsid w:val="00474614"/>
    <w:rsid w:val="004768C8"/>
    <w:rsid w:val="0047784A"/>
    <w:rsid w:val="00477C9F"/>
    <w:rsid w:val="00482508"/>
    <w:rsid w:val="00482D31"/>
    <w:rsid w:val="00485665"/>
    <w:rsid w:val="00485E08"/>
    <w:rsid w:val="00491977"/>
    <w:rsid w:val="00492AD4"/>
    <w:rsid w:val="004930E1"/>
    <w:rsid w:val="004933D7"/>
    <w:rsid w:val="00494F61"/>
    <w:rsid w:val="0049554D"/>
    <w:rsid w:val="0049696D"/>
    <w:rsid w:val="004A04B7"/>
    <w:rsid w:val="004A0BF2"/>
    <w:rsid w:val="004A1329"/>
    <w:rsid w:val="004A154A"/>
    <w:rsid w:val="004A3262"/>
    <w:rsid w:val="004A3524"/>
    <w:rsid w:val="004A66FD"/>
    <w:rsid w:val="004A7F7D"/>
    <w:rsid w:val="004B07D7"/>
    <w:rsid w:val="004B0D22"/>
    <w:rsid w:val="004B3165"/>
    <w:rsid w:val="004B33F2"/>
    <w:rsid w:val="004B3B59"/>
    <w:rsid w:val="004B3C8C"/>
    <w:rsid w:val="004B465A"/>
    <w:rsid w:val="004B5503"/>
    <w:rsid w:val="004B6363"/>
    <w:rsid w:val="004C1652"/>
    <w:rsid w:val="004C1EF3"/>
    <w:rsid w:val="004C2390"/>
    <w:rsid w:val="004C335A"/>
    <w:rsid w:val="004C4A2E"/>
    <w:rsid w:val="004C4AE4"/>
    <w:rsid w:val="004C5A40"/>
    <w:rsid w:val="004D04D0"/>
    <w:rsid w:val="004D0807"/>
    <w:rsid w:val="004D227D"/>
    <w:rsid w:val="004D25CF"/>
    <w:rsid w:val="004D4096"/>
    <w:rsid w:val="004D51F3"/>
    <w:rsid w:val="004E057E"/>
    <w:rsid w:val="004E14A4"/>
    <w:rsid w:val="004E40AF"/>
    <w:rsid w:val="004E44C8"/>
    <w:rsid w:val="004E53BE"/>
    <w:rsid w:val="004E5E23"/>
    <w:rsid w:val="004E62FA"/>
    <w:rsid w:val="004E77DD"/>
    <w:rsid w:val="004E7F82"/>
    <w:rsid w:val="004F1145"/>
    <w:rsid w:val="004F20A2"/>
    <w:rsid w:val="004F2F38"/>
    <w:rsid w:val="004F3843"/>
    <w:rsid w:val="004F6582"/>
    <w:rsid w:val="004F6CF2"/>
    <w:rsid w:val="004F7D53"/>
    <w:rsid w:val="00500CBF"/>
    <w:rsid w:val="00501992"/>
    <w:rsid w:val="00502FD7"/>
    <w:rsid w:val="0050598D"/>
    <w:rsid w:val="00506622"/>
    <w:rsid w:val="00507581"/>
    <w:rsid w:val="00510792"/>
    <w:rsid w:val="00510BA0"/>
    <w:rsid w:val="005126C6"/>
    <w:rsid w:val="00514DC7"/>
    <w:rsid w:val="00514E55"/>
    <w:rsid w:val="00516D78"/>
    <w:rsid w:val="0051739A"/>
    <w:rsid w:val="00520069"/>
    <w:rsid w:val="005203AA"/>
    <w:rsid w:val="005215E0"/>
    <w:rsid w:val="00521637"/>
    <w:rsid w:val="00522206"/>
    <w:rsid w:val="00525EC3"/>
    <w:rsid w:val="005267FC"/>
    <w:rsid w:val="0052698A"/>
    <w:rsid w:val="00526F3D"/>
    <w:rsid w:val="00527295"/>
    <w:rsid w:val="005301EA"/>
    <w:rsid w:val="005304EE"/>
    <w:rsid w:val="0053062A"/>
    <w:rsid w:val="00531468"/>
    <w:rsid w:val="00532ECC"/>
    <w:rsid w:val="00533EB8"/>
    <w:rsid w:val="00534712"/>
    <w:rsid w:val="00535050"/>
    <w:rsid w:val="00536F3C"/>
    <w:rsid w:val="00537C8E"/>
    <w:rsid w:val="0054260E"/>
    <w:rsid w:val="00542CED"/>
    <w:rsid w:val="005451B4"/>
    <w:rsid w:val="00546B79"/>
    <w:rsid w:val="005471E6"/>
    <w:rsid w:val="00550ADF"/>
    <w:rsid w:val="00550D79"/>
    <w:rsid w:val="00552395"/>
    <w:rsid w:val="00553E25"/>
    <w:rsid w:val="005559AC"/>
    <w:rsid w:val="00555CEA"/>
    <w:rsid w:val="00555FB3"/>
    <w:rsid w:val="0055643D"/>
    <w:rsid w:val="00557B5A"/>
    <w:rsid w:val="005604BD"/>
    <w:rsid w:val="0056074C"/>
    <w:rsid w:val="00560846"/>
    <w:rsid w:val="005611D0"/>
    <w:rsid w:val="00561E52"/>
    <w:rsid w:val="00561FE7"/>
    <w:rsid w:val="005630AE"/>
    <w:rsid w:val="00563A30"/>
    <w:rsid w:val="005643CE"/>
    <w:rsid w:val="00565B65"/>
    <w:rsid w:val="00565B93"/>
    <w:rsid w:val="0056602D"/>
    <w:rsid w:val="00566BD4"/>
    <w:rsid w:val="005676B1"/>
    <w:rsid w:val="005711D0"/>
    <w:rsid w:val="0057132A"/>
    <w:rsid w:val="0057371B"/>
    <w:rsid w:val="00573C6B"/>
    <w:rsid w:val="00575620"/>
    <w:rsid w:val="005756CD"/>
    <w:rsid w:val="0057652B"/>
    <w:rsid w:val="00577A99"/>
    <w:rsid w:val="00577CAF"/>
    <w:rsid w:val="00580223"/>
    <w:rsid w:val="00581743"/>
    <w:rsid w:val="00581797"/>
    <w:rsid w:val="005822CC"/>
    <w:rsid w:val="005827B0"/>
    <w:rsid w:val="005828C0"/>
    <w:rsid w:val="005829EE"/>
    <w:rsid w:val="00584726"/>
    <w:rsid w:val="00592096"/>
    <w:rsid w:val="005931A3"/>
    <w:rsid w:val="00594186"/>
    <w:rsid w:val="00594D3A"/>
    <w:rsid w:val="0059689F"/>
    <w:rsid w:val="00596CCA"/>
    <w:rsid w:val="00597DD6"/>
    <w:rsid w:val="005A05D1"/>
    <w:rsid w:val="005A07EC"/>
    <w:rsid w:val="005A197F"/>
    <w:rsid w:val="005A29BF"/>
    <w:rsid w:val="005A3C29"/>
    <w:rsid w:val="005A4854"/>
    <w:rsid w:val="005A4B2A"/>
    <w:rsid w:val="005A4C3B"/>
    <w:rsid w:val="005A4F3E"/>
    <w:rsid w:val="005A5056"/>
    <w:rsid w:val="005A53B8"/>
    <w:rsid w:val="005A6E46"/>
    <w:rsid w:val="005A74EE"/>
    <w:rsid w:val="005B051F"/>
    <w:rsid w:val="005B12B5"/>
    <w:rsid w:val="005B1438"/>
    <w:rsid w:val="005B18CE"/>
    <w:rsid w:val="005B202B"/>
    <w:rsid w:val="005B43AE"/>
    <w:rsid w:val="005B48B7"/>
    <w:rsid w:val="005B7F3F"/>
    <w:rsid w:val="005C0AAB"/>
    <w:rsid w:val="005C0B31"/>
    <w:rsid w:val="005C10EB"/>
    <w:rsid w:val="005C5A96"/>
    <w:rsid w:val="005C5F61"/>
    <w:rsid w:val="005C6938"/>
    <w:rsid w:val="005C6B5E"/>
    <w:rsid w:val="005C7632"/>
    <w:rsid w:val="005D0613"/>
    <w:rsid w:val="005D14A1"/>
    <w:rsid w:val="005D28A5"/>
    <w:rsid w:val="005D371D"/>
    <w:rsid w:val="005D46BD"/>
    <w:rsid w:val="005D5487"/>
    <w:rsid w:val="005D5769"/>
    <w:rsid w:val="005E1000"/>
    <w:rsid w:val="005E4ABA"/>
    <w:rsid w:val="005E56AD"/>
    <w:rsid w:val="005E60D2"/>
    <w:rsid w:val="005E64A4"/>
    <w:rsid w:val="005E6847"/>
    <w:rsid w:val="005E696A"/>
    <w:rsid w:val="005E71F3"/>
    <w:rsid w:val="005E7495"/>
    <w:rsid w:val="005E76FB"/>
    <w:rsid w:val="005F0012"/>
    <w:rsid w:val="005F1A9F"/>
    <w:rsid w:val="005F223C"/>
    <w:rsid w:val="005F3C3B"/>
    <w:rsid w:val="005F4D12"/>
    <w:rsid w:val="005F524A"/>
    <w:rsid w:val="005F66B4"/>
    <w:rsid w:val="005F6C06"/>
    <w:rsid w:val="005F6FFD"/>
    <w:rsid w:val="00601320"/>
    <w:rsid w:val="00602516"/>
    <w:rsid w:val="00604CC7"/>
    <w:rsid w:val="006064A8"/>
    <w:rsid w:val="006109EB"/>
    <w:rsid w:val="00610AB1"/>
    <w:rsid w:val="00611351"/>
    <w:rsid w:val="00613744"/>
    <w:rsid w:val="006139C0"/>
    <w:rsid w:val="00614873"/>
    <w:rsid w:val="00616F9F"/>
    <w:rsid w:val="006172A3"/>
    <w:rsid w:val="0062003E"/>
    <w:rsid w:val="00620662"/>
    <w:rsid w:val="00621222"/>
    <w:rsid w:val="00621C12"/>
    <w:rsid w:val="00621DAB"/>
    <w:rsid w:val="00622714"/>
    <w:rsid w:val="00623E18"/>
    <w:rsid w:val="006244F5"/>
    <w:rsid w:val="006248B3"/>
    <w:rsid w:val="00625C5D"/>
    <w:rsid w:val="0062759B"/>
    <w:rsid w:val="00630CA2"/>
    <w:rsid w:val="00631147"/>
    <w:rsid w:val="006341B3"/>
    <w:rsid w:val="0063544A"/>
    <w:rsid w:val="00635A22"/>
    <w:rsid w:val="00642083"/>
    <w:rsid w:val="00642FC2"/>
    <w:rsid w:val="006435E9"/>
    <w:rsid w:val="00644B06"/>
    <w:rsid w:val="00644EFD"/>
    <w:rsid w:val="0064653E"/>
    <w:rsid w:val="00646D9D"/>
    <w:rsid w:val="006502BD"/>
    <w:rsid w:val="00652154"/>
    <w:rsid w:val="00653B4B"/>
    <w:rsid w:val="0065550D"/>
    <w:rsid w:val="006576AE"/>
    <w:rsid w:val="0066074D"/>
    <w:rsid w:val="00661E6B"/>
    <w:rsid w:val="00663990"/>
    <w:rsid w:val="00663DB7"/>
    <w:rsid w:val="00664295"/>
    <w:rsid w:val="00665364"/>
    <w:rsid w:val="00666AC7"/>
    <w:rsid w:val="00667B35"/>
    <w:rsid w:val="00670EA2"/>
    <w:rsid w:val="0067132B"/>
    <w:rsid w:val="0067265C"/>
    <w:rsid w:val="00672E11"/>
    <w:rsid w:val="00673125"/>
    <w:rsid w:val="00673A9B"/>
    <w:rsid w:val="006752AD"/>
    <w:rsid w:val="00676574"/>
    <w:rsid w:val="00677D24"/>
    <w:rsid w:val="00681A74"/>
    <w:rsid w:val="00681B88"/>
    <w:rsid w:val="00682F99"/>
    <w:rsid w:val="00683302"/>
    <w:rsid w:val="006836C7"/>
    <w:rsid w:val="00685710"/>
    <w:rsid w:val="00685790"/>
    <w:rsid w:val="006876A8"/>
    <w:rsid w:val="00690BBD"/>
    <w:rsid w:val="00696488"/>
    <w:rsid w:val="006969E0"/>
    <w:rsid w:val="00697AB6"/>
    <w:rsid w:val="006A0E6D"/>
    <w:rsid w:val="006A1A30"/>
    <w:rsid w:val="006A214F"/>
    <w:rsid w:val="006A23DB"/>
    <w:rsid w:val="006A276C"/>
    <w:rsid w:val="006A49E3"/>
    <w:rsid w:val="006A63EF"/>
    <w:rsid w:val="006B0875"/>
    <w:rsid w:val="006B12EA"/>
    <w:rsid w:val="006B1EFD"/>
    <w:rsid w:val="006B45C1"/>
    <w:rsid w:val="006B5BC7"/>
    <w:rsid w:val="006B65B9"/>
    <w:rsid w:val="006B676B"/>
    <w:rsid w:val="006B67C8"/>
    <w:rsid w:val="006B73DC"/>
    <w:rsid w:val="006C10CD"/>
    <w:rsid w:val="006C14E4"/>
    <w:rsid w:val="006C3D0A"/>
    <w:rsid w:val="006C3F73"/>
    <w:rsid w:val="006C63D0"/>
    <w:rsid w:val="006C6CDE"/>
    <w:rsid w:val="006C6DA8"/>
    <w:rsid w:val="006C7F61"/>
    <w:rsid w:val="006D03BC"/>
    <w:rsid w:val="006D407F"/>
    <w:rsid w:val="006D42D8"/>
    <w:rsid w:val="006D4CB5"/>
    <w:rsid w:val="006D4F1E"/>
    <w:rsid w:val="006E207B"/>
    <w:rsid w:val="006E43F3"/>
    <w:rsid w:val="006E643D"/>
    <w:rsid w:val="006F0442"/>
    <w:rsid w:val="006F0D4B"/>
    <w:rsid w:val="006F19FD"/>
    <w:rsid w:val="006F7315"/>
    <w:rsid w:val="0070148E"/>
    <w:rsid w:val="007015A9"/>
    <w:rsid w:val="007028FD"/>
    <w:rsid w:val="007031AA"/>
    <w:rsid w:val="007037B0"/>
    <w:rsid w:val="00705DE5"/>
    <w:rsid w:val="007067D0"/>
    <w:rsid w:val="00707F4F"/>
    <w:rsid w:val="00710731"/>
    <w:rsid w:val="00710CEF"/>
    <w:rsid w:val="0071222E"/>
    <w:rsid w:val="00712C23"/>
    <w:rsid w:val="00714C63"/>
    <w:rsid w:val="007160BE"/>
    <w:rsid w:val="0071647F"/>
    <w:rsid w:val="007200D9"/>
    <w:rsid w:val="00721284"/>
    <w:rsid w:val="007219FF"/>
    <w:rsid w:val="00722F65"/>
    <w:rsid w:val="007240F2"/>
    <w:rsid w:val="0072432F"/>
    <w:rsid w:val="00724605"/>
    <w:rsid w:val="007251DF"/>
    <w:rsid w:val="007257CD"/>
    <w:rsid w:val="00727A95"/>
    <w:rsid w:val="00727E60"/>
    <w:rsid w:val="00730BDA"/>
    <w:rsid w:val="00730C6E"/>
    <w:rsid w:val="007328B4"/>
    <w:rsid w:val="007334C3"/>
    <w:rsid w:val="00734A4F"/>
    <w:rsid w:val="00734D22"/>
    <w:rsid w:val="0074009A"/>
    <w:rsid w:val="007414C6"/>
    <w:rsid w:val="00741926"/>
    <w:rsid w:val="00742C79"/>
    <w:rsid w:val="00742FD7"/>
    <w:rsid w:val="00742FDE"/>
    <w:rsid w:val="007438C8"/>
    <w:rsid w:val="00744F98"/>
    <w:rsid w:val="00745364"/>
    <w:rsid w:val="00746295"/>
    <w:rsid w:val="00746530"/>
    <w:rsid w:val="007476DD"/>
    <w:rsid w:val="00750459"/>
    <w:rsid w:val="007516A5"/>
    <w:rsid w:val="00753D68"/>
    <w:rsid w:val="00753DC8"/>
    <w:rsid w:val="00755525"/>
    <w:rsid w:val="00757F24"/>
    <w:rsid w:val="00760844"/>
    <w:rsid w:val="00762BCC"/>
    <w:rsid w:val="0076393A"/>
    <w:rsid w:val="00763BA3"/>
    <w:rsid w:val="00765B66"/>
    <w:rsid w:val="00766CF7"/>
    <w:rsid w:val="00767734"/>
    <w:rsid w:val="00767A0F"/>
    <w:rsid w:val="00767BB2"/>
    <w:rsid w:val="00767CCE"/>
    <w:rsid w:val="0077159C"/>
    <w:rsid w:val="00771BFC"/>
    <w:rsid w:val="00773C88"/>
    <w:rsid w:val="007772DA"/>
    <w:rsid w:val="00777337"/>
    <w:rsid w:val="00777818"/>
    <w:rsid w:val="00777A2C"/>
    <w:rsid w:val="0078031F"/>
    <w:rsid w:val="00780376"/>
    <w:rsid w:val="00780EE3"/>
    <w:rsid w:val="007829CB"/>
    <w:rsid w:val="007829FB"/>
    <w:rsid w:val="00782A84"/>
    <w:rsid w:val="0078336E"/>
    <w:rsid w:val="00785FC2"/>
    <w:rsid w:val="00786D5D"/>
    <w:rsid w:val="00791AAC"/>
    <w:rsid w:val="00791C87"/>
    <w:rsid w:val="00792D15"/>
    <w:rsid w:val="007949CF"/>
    <w:rsid w:val="00794AA3"/>
    <w:rsid w:val="00794B9D"/>
    <w:rsid w:val="007952F7"/>
    <w:rsid w:val="00795A88"/>
    <w:rsid w:val="00796DE5"/>
    <w:rsid w:val="00796F27"/>
    <w:rsid w:val="007971B4"/>
    <w:rsid w:val="00797D4C"/>
    <w:rsid w:val="007A0B12"/>
    <w:rsid w:val="007A0C5E"/>
    <w:rsid w:val="007A1250"/>
    <w:rsid w:val="007A268D"/>
    <w:rsid w:val="007A2C65"/>
    <w:rsid w:val="007A3354"/>
    <w:rsid w:val="007A4C06"/>
    <w:rsid w:val="007A4F7F"/>
    <w:rsid w:val="007A5158"/>
    <w:rsid w:val="007A653A"/>
    <w:rsid w:val="007A7B5F"/>
    <w:rsid w:val="007B0759"/>
    <w:rsid w:val="007B0D71"/>
    <w:rsid w:val="007B1594"/>
    <w:rsid w:val="007B439A"/>
    <w:rsid w:val="007B470F"/>
    <w:rsid w:val="007B4784"/>
    <w:rsid w:val="007B4ABA"/>
    <w:rsid w:val="007B745B"/>
    <w:rsid w:val="007B778B"/>
    <w:rsid w:val="007C0DE7"/>
    <w:rsid w:val="007C0E7E"/>
    <w:rsid w:val="007C22F8"/>
    <w:rsid w:val="007C3850"/>
    <w:rsid w:val="007C3928"/>
    <w:rsid w:val="007C4098"/>
    <w:rsid w:val="007C6A36"/>
    <w:rsid w:val="007D0007"/>
    <w:rsid w:val="007D06F4"/>
    <w:rsid w:val="007D17C5"/>
    <w:rsid w:val="007D208A"/>
    <w:rsid w:val="007D383A"/>
    <w:rsid w:val="007D3A68"/>
    <w:rsid w:val="007D522F"/>
    <w:rsid w:val="007D52EC"/>
    <w:rsid w:val="007D63FF"/>
    <w:rsid w:val="007D7D6F"/>
    <w:rsid w:val="007E0DCD"/>
    <w:rsid w:val="007E3751"/>
    <w:rsid w:val="007E48BB"/>
    <w:rsid w:val="007E64CE"/>
    <w:rsid w:val="007E662E"/>
    <w:rsid w:val="007E6F04"/>
    <w:rsid w:val="007E7FE1"/>
    <w:rsid w:val="007F0C0A"/>
    <w:rsid w:val="007F16E0"/>
    <w:rsid w:val="007F1B63"/>
    <w:rsid w:val="007F1CEE"/>
    <w:rsid w:val="007F3990"/>
    <w:rsid w:val="007F462D"/>
    <w:rsid w:val="007F5AD7"/>
    <w:rsid w:val="007F5D5E"/>
    <w:rsid w:val="007F7479"/>
    <w:rsid w:val="007F7C55"/>
    <w:rsid w:val="00800BAD"/>
    <w:rsid w:val="00802898"/>
    <w:rsid w:val="00802AE5"/>
    <w:rsid w:val="00803575"/>
    <w:rsid w:val="00805E61"/>
    <w:rsid w:val="00806718"/>
    <w:rsid w:val="008068F8"/>
    <w:rsid w:val="00815BCC"/>
    <w:rsid w:val="00815E8A"/>
    <w:rsid w:val="0081659E"/>
    <w:rsid w:val="00816AA1"/>
    <w:rsid w:val="008200C4"/>
    <w:rsid w:val="00820445"/>
    <w:rsid w:val="0082256E"/>
    <w:rsid w:val="00822AFB"/>
    <w:rsid w:val="00822F25"/>
    <w:rsid w:val="00823A8E"/>
    <w:rsid w:val="00823BA1"/>
    <w:rsid w:val="00826CE4"/>
    <w:rsid w:val="00827B3B"/>
    <w:rsid w:val="008304DA"/>
    <w:rsid w:val="00830BAC"/>
    <w:rsid w:val="008346A9"/>
    <w:rsid w:val="00837537"/>
    <w:rsid w:val="00842766"/>
    <w:rsid w:val="0084330B"/>
    <w:rsid w:val="00843C0C"/>
    <w:rsid w:val="00844D4B"/>
    <w:rsid w:val="00854314"/>
    <w:rsid w:val="00855569"/>
    <w:rsid w:val="00855A0A"/>
    <w:rsid w:val="00856F0C"/>
    <w:rsid w:val="008603D3"/>
    <w:rsid w:val="0086094D"/>
    <w:rsid w:val="00860BED"/>
    <w:rsid w:val="00861E10"/>
    <w:rsid w:val="00862180"/>
    <w:rsid w:val="00862968"/>
    <w:rsid w:val="0086296B"/>
    <w:rsid w:val="00863A8B"/>
    <w:rsid w:val="00864775"/>
    <w:rsid w:val="00866FDB"/>
    <w:rsid w:val="008670F2"/>
    <w:rsid w:val="0086767D"/>
    <w:rsid w:val="008711D1"/>
    <w:rsid w:val="00872382"/>
    <w:rsid w:val="00872DE0"/>
    <w:rsid w:val="0087356C"/>
    <w:rsid w:val="00873B8F"/>
    <w:rsid w:val="00873B9E"/>
    <w:rsid w:val="008752CC"/>
    <w:rsid w:val="00875707"/>
    <w:rsid w:val="00875F57"/>
    <w:rsid w:val="00876911"/>
    <w:rsid w:val="0088072D"/>
    <w:rsid w:val="00881FEF"/>
    <w:rsid w:val="0088262A"/>
    <w:rsid w:val="00883261"/>
    <w:rsid w:val="00883DC8"/>
    <w:rsid w:val="00886786"/>
    <w:rsid w:val="00886BBF"/>
    <w:rsid w:val="00887427"/>
    <w:rsid w:val="00890C3C"/>
    <w:rsid w:val="008912FE"/>
    <w:rsid w:val="008939E1"/>
    <w:rsid w:val="00894602"/>
    <w:rsid w:val="00896ECC"/>
    <w:rsid w:val="008A245D"/>
    <w:rsid w:val="008A274A"/>
    <w:rsid w:val="008A3B60"/>
    <w:rsid w:val="008A52C0"/>
    <w:rsid w:val="008A54FC"/>
    <w:rsid w:val="008A5FD7"/>
    <w:rsid w:val="008A7AF6"/>
    <w:rsid w:val="008B06E8"/>
    <w:rsid w:val="008B2240"/>
    <w:rsid w:val="008B448A"/>
    <w:rsid w:val="008B44AA"/>
    <w:rsid w:val="008B575B"/>
    <w:rsid w:val="008B685B"/>
    <w:rsid w:val="008B69A8"/>
    <w:rsid w:val="008B6ABD"/>
    <w:rsid w:val="008B70CD"/>
    <w:rsid w:val="008C023F"/>
    <w:rsid w:val="008C1400"/>
    <w:rsid w:val="008C1ABF"/>
    <w:rsid w:val="008C493D"/>
    <w:rsid w:val="008C4CEF"/>
    <w:rsid w:val="008C55C6"/>
    <w:rsid w:val="008C697B"/>
    <w:rsid w:val="008D0C13"/>
    <w:rsid w:val="008D0D9A"/>
    <w:rsid w:val="008D141C"/>
    <w:rsid w:val="008D2C13"/>
    <w:rsid w:val="008D48D3"/>
    <w:rsid w:val="008D4D75"/>
    <w:rsid w:val="008D61AE"/>
    <w:rsid w:val="008D6B1D"/>
    <w:rsid w:val="008D6C54"/>
    <w:rsid w:val="008D79C6"/>
    <w:rsid w:val="008E025D"/>
    <w:rsid w:val="008E0D20"/>
    <w:rsid w:val="008E2407"/>
    <w:rsid w:val="008E5B13"/>
    <w:rsid w:val="008E6109"/>
    <w:rsid w:val="008E68D7"/>
    <w:rsid w:val="008E70D1"/>
    <w:rsid w:val="008F08C6"/>
    <w:rsid w:val="008F0D64"/>
    <w:rsid w:val="008F2CB1"/>
    <w:rsid w:val="008F47AB"/>
    <w:rsid w:val="008F7957"/>
    <w:rsid w:val="009007E0"/>
    <w:rsid w:val="0090291A"/>
    <w:rsid w:val="00904D73"/>
    <w:rsid w:val="00905EDD"/>
    <w:rsid w:val="00911CC7"/>
    <w:rsid w:val="00912C6D"/>
    <w:rsid w:val="00913283"/>
    <w:rsid w:val="00914FEB"/>
    <w:rsid w:val="009154EE"/>
    <w:rsid w:val="0091568B"/>
    <w:rsid w:val="009159B1"/>
    <w:rsid w:val="009170EA"/>
    <w:rsid w:val="0092076F"/>
    <w:rsid w:val="009208FF"/>
    <w:rsid w:val="00920B9B"/>
    <w:rsid w:val="0092255A"/>
    <w:rsid w:val="009249CF"/>
    <w:rsid w:val="009254A4"/>
    <w:rsid w:val="00926943"/>
    <w:rsid w:val="00927025"/>
    <w:rsid w:val="00927A58"/>
    <w:rsid w:val="00930439"/>
    <w:rsid w:val="00930D64"/>
    <w:rsid w:val="00931BD1"/>
    <w:rsid w:val="0093256F"/>
    <w:rsid w:val="00936E4C"/>
    <w:rsid w:val="00937234"/>
    <w:rsid w:val="00937303"/>
    <w:rsid w:val="00937AEB"/>
    <w:rsid w:val="009410BC"/>
    <w:rsid w:val="0094133F"/>
    <w:rsid w:val="00941D3A"/>
    <w:rsid w:val="0094277D"/>
    <w:rsid w:val="00944439"/>
    <w:rsid w:val="009465E0"/>
    <w:rsid w:val="0095141C"/>
    <w:rsid w:val="00951A1D"/>
    <w:rsid w:val="009520E0"/>
    <w:rsid w:val="0095285F"/>
    <w:rsid w:val="009530A3"/>
    <w:rsid w:val="009531C0"/>
    <w:rsid w:val="00954E7D"/>
    <w:rsid w:val="0095793E"/>
    <w:rsid w:val="0096096E"/>
    <w:rsid w:val="009620A2"/>
    <w:rsid w:val="00962C0C"/>
    <w:rsid w:val="009635BB"/>
    <w:rsid w:val="00964234"/>
    <w:rsid w:val="009662E3"/>
    <w:rsid w:val="00966560"/>
    <w:rsid w:val="00966DD9"/>
    <w:rsid w:val="00970234"/>
    <w:rsid w:val="009710F0"/>
    <w:rsid w:val="009716CB"/>
    <w:rsid w:val="0097352A"/>
    <w:rsid w:val="00973595"/>
    <w:rsid w:val="009742EE"/>
    <w:rsid w:val="00975BEF"/>
    <w:rsid w:val="00976C5D"/>
    <w:rsid w:val="00977074"/>
    <w:rsid w:val="00980DFC"/>
    <w:rsid w:val="00981314"/>
    <w:rsid w:val="00981AE5"/>
    <w:rsid w:val="00982B3A"/>
    <w:rsid w:val="00986677"/>
    <w:rsid w:val="009871B5"/>
    <w:rsid w:val="0098781E"/>
    <w:rsid w:val="00987D5B"/>
    <w:rsid w:val="0099183C"/>
    <w:rsid w:val="00991B65"/>
    <w:rsid w:val="00992791"/>
    <w:rsid w:val="0099347C"/>
    <w:rsid w:val="0099421C"/>
    <w:rsid w:val="0099422E"/>
    <w:rsid w:val="00995A53"/>
    <w:rsid w:val="00996A27"/>
    <w:rsid w:val="009970CC"/>
    <w:rsid w:val="0099719C"/>
    <w:rsid w:val="009A0A3A"/>
    <w:rsid w:val="009A2F3A"/>
    <w:rsid w:val="009A335B"/>
    <w:rsid w:val="009A3D42"/>
    <w:rsid w:val="009A5C84"/>
    <w:rsid w:val="009A6109"/>
    <w:rsid w:val="009A6BB0"/>
    <w:rsid w:val="009A7A45"/>
    <w:rsid w:val="009B022D"/>
    <w:rsid w:val="009B14A9"/>
    <w:rsid w:val="009B3110"/>
    <w:rsid w:val="009B3B3E"/>
    <w:rsid w:val="009B5388"/>
    <w:rsid w:val="009B7A77"/>
    <w:rsid w:val="009C01AD"/>
    <w:rsid w:val="009C054A"/>
    <w:rsid w:val="009C0AE4"/>
    <w:rsid w:val="009C2044"/>
    <w:rsid w:val="009C3803"/>
    <w:rsid w:val="009C4D35"/>
    <w:rsid w:val="009C6EF7"/>
    <w:rsid w:val="009D0822"/>
    <w:rsid w:val="009D1748"/>
    <w:rsid w:val="009D26F6"/>
    <w:rsid w:val="009D27F3"/>
    <w:rsid w:val="009D2C13"/>
    <w:rsid w:val="009D3BA5"/>
    <w:rsid w:val="009D460D"/>
    <w:rsid w:val="009D4BA1"/>
    <w:rsid w:val="009D602E"/>
    <w:rsid w:val="009D76B0"/>
    <w:rsid w:val="009D7D5A"/>
    <w:rsid w:val="009E0834"/>
    <w:rsid w:val="009E47EB"/>
    <w:rsid w:val="009E47EE"/>
    <w:rsid w:val="009E513F"/>
    <w:rsid w:val="009E5BA8"/>
    <w:rsid w:val="009F01A3"/>
    <w:rsid w:val="009F083C"/>
    <w:rsid w:val="009F1AC1"/>
    <w:rsid w:val="009F2FBF"/>
    <w:rsid w:val="009F3A37"/>
    <w:rsid w:val="009F6EA2"/>
    <w:rsid w:val="009F742C"/>
    <w:rsid w:val="00A001C1"/>
    <w:rsid w:val="00A01A74"/>
    <w:rsid w:val="00A02090"/>
    <w:rsid w:val="00A03731"/>
    <w:rsid w:val="00A061CE"/>
    <w:rsid w:val="00A07511"/>
    <w:rsid w:val="00A076B5"/>
    <w:rsid w:val="00A10419"/>
    <w:rsid w:val="00A1078B"/>
    <w:rsid w:val="00A11B4E"/>
    <w:rsid w:val="00A12739"/>
    <w:rsid w:val="00A13136"/>
    <w:rsid w:val="00A13522"/>
    <w:rsid w:val="00A16E1B"/>
    <w:rsid w:val="00A17F69"/>
    <w:rsid w:val="00A2095F"/>
    <w:rsid w:val="00A20C1B"/>
    <w:rsid w:val="00A20DEA"/>
    <w:rsid w:val="00A21500"/>
    <w:rsid w:val="00A23870"/>
    <w:rsid w:val="00A26003"/>
    <w:rsid w:val="00A2690B"/>
    <w:rsid w:val="00A26AC6"/>
    <w:rsid w:val="00A274DB"/>
    <w:rsid w:val="00A318E2"/>
    <w:rsid w:val="00A32047"/>
    <w:rsid w:val="00A322D5"/>
    <w:rsid w:val="00A334D5"/>
    <w:rsid w:val="00A337F1"/>
    <w:rsid w:val="00A37A07"/>
    <w:rsid w:val="00A4333F"/>
    <w:rsid w:val="00A46C4E"/>
    <w:rsid w:val="00A46EE9"/>
    <w:rsid w:val="00A5269E"/>
    <w:rsid w:val="00A53712"/>
    <w:rsid w:val="00A54418"/>
    <w:rsid w:val="00A54457"/>
    <w:rsid w:val="00A54773"/>
    <w:rsid w:val="00A5535A"/>
    <w:rsid w:val="00A564EF"/>
    <w:rsid w:val="00A567B1"/>
    <w:rsid w:val="00A6411D"/>
    <w:rsid w:val="00A6651E"/>
    <w:rsid w:val="00A67361"/>
    <w:rsid w:val="00A675E4"/>
    <w:rsid w:val="00A67803"/>
    <w:rsid w:val="00A716A9"/>
    <w:rsid w:val="00A71983"/>
    <w:rsid w:val="00A7250E"/>
    <w:rsid w:val="00A73298"/>
    <w:rsid w:val="00A734CC"/>
    <w:rsid w:val="00A73B37"/>
    <w:rsid w:val="00A73E08"/>
    <w:rsid w:val="00A73ED2"/>
    <w:rsid w:val="00A74149"/>
    <w:rsid w:val="00A77398"/>
    <w:rsid w:val="00A77E4D"/>
    <w:rsid w:val="00A807C0"/>
    <w:rsid w:val="00A8111E"/>
    <w:rsid w:val="00A82468"/>
    <w:rsid w:val="00A83412"/>
    <w:rsid w:val="00A839D1"/>
    <w:rsid w:val="00A83C10"/>
    <w:rsid w:val="00A84802"/>
    <w:rsid w:val="00A861AE"/>
    <w:rsid w:val="00A86F1E"/>
    <w:rsid w:val="00A90997"/>
    <w:rsid w:val="00A920A3"/>
    <w:rsid w:val="00A93AEB"/>
    <w:rsid w:val="00A94FCC"/>
    <w:rsid w:val="00A958E0"/>
    <w:rsid w:val="00A95ACB"/>
    <w:rsid w:val="00A95D7E"/>
    <w:rsid w:val="00A97942"/>
    <w:rsid w:val="00A97B4A"/>
    <w:rsid w:val="00AA03F1"/>
    <w:rsid w:val="00AA079B"/>
    <w:rsid w:val="00AA086A"/>
    <w:rsid w:val="00AA14A1"/>
    <w:rsid w:val="00AA1838"/>
    <w:rsid w:val="00AA2639"/>
    <w:rsid w:val="00AA2E0D"/>
    <w:rsid w:val="00AA50BA"/>
    <w:rsid w:val="00AA60F9"/>
    <w:rsid w:val="00AA6A11"/>
    <w:rsid w:val="00AA75C1"/>
    <w:rsid w:val="00AA7870"/>
    <w:rsid w:val="00AB0B05"/>
    <w:rsid w:val="00AB0C3B"/>
    <w:rsid w:val="00AB2B4F"/>
    <w:rsid w:val="00AB5821"/>
    <w:rsid w:val="00AB63AF"/>
    <w:rsid w:val="00AC0EA5"/>
    <w:rsid w:val="00AC2132"/>
    <w:rsid w:val="00AC2564"/>
    <w:rsid w:val="00AC2686"/>
    <w:rsid w:val="00AC29D1"/>
    <w:rsid w:val="00AC3C4F"/>
    <w:rsid w:val="00AC3F77"/>
    <w:rsid w:val="00AC4F6E"/>
    <w:rsid w:val="00AC5D68"/>
    <w:rsid w:val="00AC6914"/>
    <w:rsid w:val="00AD1BE1"/>
    <w:rsid w:val="00AD324A"/>
    <w:rsid w:val="00AD32EB"/>
    <w:rsid w:val="00AD4CD6"/>
    <w:rsid w:val="00AD4FB0"/>
    <w:rsid w:val="00AD6813"/>
    <w:rsid w:val="00AD6D65"/>
    <w:rsid w:val="00AD7257"/>
    <w:rsid w:val="00AE09B5"/>
    <w:rsid w:val="00AE2B3B"/>
    <w:rsid w:val="00AE332D"/>
    <w:rsid w:val="00AE33FE"/>
    <w:rsid w:val="00AE6ABF"/>
    <w:rsid w:val="00AF0E67"/>
    <w:rsid w:val="00AF16C4"/>
    <w:rsid w:val="00AF2D0C"/>
    <w:rsid w:val="00AF40B6"/>
    <w:rsid w:val="00AF4C0E"/>
    <w:rsid w:val="00AF6270"/>
    <w:rsid w:val="00B005A0"/>
    <w:rsid w:val="00B03F6C"/>
    <w:rsid w:val="00B065DE"/>
    <w:rsid w:val="00B07C7F"/>
    <w:rsid w:val="00B10EC7"/>
    <w:rsid w:val="00B11A4F"/>
    <w:rsid w:val="00B144DE"/>
    <w:rsid w:val="00B1455A"/>
    <w:rsid w:val="00B14B57"/>
    <w:rsid w:val="00B14E5E"/>
    <w:rsid w:val="00B15014"/>
    <w:rsid w:val="00B15C13"/>
    <w:rsid w:val="00B161A2"/>
    <w:rsid w:val="00B17AFB"/>
    <w:rsid w:val="00B201FE"/>
    <w:rsid w:val="00B20E6D"/>
    <w:rsid w:val="00B21312"/>
    <w:rsid w:val="00B231A3"/>
    <w:rsid w:val="00B24803"/>
    <w:rsid w:val="00B24E0E"/>
    <w:rsid w:val="00B25910"/>
    <w:rsid w:val="00B26551"/>
    <w:rsid w:val="00B26973"/>
    <w:rsid w:val="00B271B0"/>
    <w:rsid w:val="00B301AC"/>
    <w:rsid w:val="00B30D3B"/>
    <w:rsid w:val="00B31D53"/>
    <w:rsid w:val="00B3241F"/>
    <w:rsid w:val="00B32C94"/>
    <w:rsid w:val="00B32C98"/>
    <w:rsid w:val="00B32FD0"/>
    <w:rsid w:val="00B33400"/>
    <w:rsid w:val="00B36B84"/>
    <w:rsid w:val="00B36D0F"/>
    <w:rsid w:val="00B4149E"/>
    <w:rsid w:val="00B41B64"/>
    <w:rsid w:val="00B424EF"/>
    <w:rsid w:val="00B426D1"/>
    <w:rsid w:val="00B42C6A"/>
    <w:rsid w:val="00B43209"/>
    <w:rsid w:val="00B432D4"/>
    <w:rsid w:val="00B4472C"/>
    <w:rsid w:val="00B44DC6"/>
    <w:rsid w:val="00B46292"/>
    <w:rsid w:val="00B507A9"/>
    <w:rsid w:val="00B50956"/>
    <w:rsid w:val="00B51484"/>
    <w:rsid w:val="00B51C55"/>
    <w:rsid w:val="00B5315C"/>
    <w:rsid w:val="00B5344C"/>
    <w:rsid w:val="00B535E5"/>
    <w:rsid w:val="00B54296"/>
    <w:rsid w:val="00B55251"/>
    <w:rsid w:val="00B56032"/>
    <w:rsid w:val="00B572C1"/>
    <w:rsid w:val="00B5758E"/>
    <w:rsid w:val="00B576D7"/>
    <w:rsid w:val="00B57C76"/>
    <w:rsid w:val="00B61952"/>
    <w:rsid w:val="00B61BFB"/>
    <w:rsid w:val="00B635B9"/>
    <w:rsid w:val="00B70A0B"/>
    <w:rsid w:val="00B722AD"/>
    <w:rsid w:val="00B745A9"/>
    <w:rsid w:val="00B74813"/>
    <w:rsid w:val="00B74BC8"/>
    <w:rsid w:val="00B758B9"/>
    <w:rsid w:val="00B77476"/>
    <w:rsid w:val="00B80892"/>
    <w:rsid w:val="00B82735"/>
    <w:rsid w:val="00B836AE"/>
    <w:rsid w:val="00B84A6E"/>
    <w:rsid w:val="00B85860"/>
    <w:rsid w:val="00B86AA9"/>
    <w:rsid w:val="00B90408"/>
    <w:rsid w:val="00B908A8"/>
    <w:rsid w:val="00B92306"/>
    <w:rsid w:val="00B9235D"/>
    <w:rsid w:val="00B92861"/>
    <w:rsid w:val="00B928C7"/>
    <w:rsid w:val="00B93C80"/>
    <w:rsid w:val="00B9566D"/>
    <w:rsid w:val="00B95F89"/>
    <w:rsid w:val="00B976E0"/>
    <w:rsid w:val="00BA06FC"/>
    <w:rsid w:val="00BA2A10"/>
    <w:rsid w:val="00BA35F1"/>
    <w:rsid w:val="00BA4D55"/>
    <w:rsid w:val="00BA7A69"/>
    <w:rsid w:val="00BB1128"/>
    <w:rsid w:val="00BB15E2"/>
    <w:rsid w:val="00BB2392"/>
    <w:rsid w:val="00BB2936"/>
    <w:rsid w:val="00BB2D6A"/>
    <w:rsid w:val="00BB3C5F"/>
    <w:rsid w:val="00BB5CC7"/>
    <w:rsid w:val="00BC03FD"/>
    <w:rsid w:val="00BC0721"/>
    <w:rsid w:val="00BC0BF2"/>
    <w:rsid w:val="00BC178E"/>
    <w:rsid w:val="00BC4174"/>
    <w:rsid w:val="00BC74D7"/>
    <w:rsid w:val="00BD181A"/>
    <w:rsid w:val="00BD28DF"/>
    <w:rsid w:val="00BD2C6D"/>
    <w:rsid w:val="00BD6876"/>
    <w:rsid w:val="00BE2864"/>
    <w:rsid w:val="00BE45CF"/>
    <w:rsid w:val="00BE51D6"/>
    <w:rsid w:val="00BE5264"/>
    <w:rsid w:val="00BE5BDA"/>
    <w:rsid w:val="00BE61C7"/>
    <w:rsid w:val="00BE7832"/>
    <w:rsid w:val="00BF0F7E"/>
    <w:rsid w:val="00BF2678"/>
    <w:rsid w:val="00BF2B91"/>
    <w:rsid w:val="00BF3C88"/>
    <w:rsid w:val="00BF4158"/>
    <w:rsid w:val="00BF44C5"/>
    <w:rsid w:val="00BF54F3"/>
    <w:rsid w:val="00BF5841"/>
    <w:rsid w:val="00BF5A77"/>
    <w:rsid w:val="00BF7BF1"/>
    <w:rsid w:val="00C00565"/>
    <w:rsid w:val="00C00EFC"/>
    <w:rsid w:val="00C06786"/>
    <w:rsid w:val="00C0767A"/>
    <w:rsid w:val="00C076BF"/>
    <w:rsid w:val="00C1077E"/>
    <w:rsid w:val="00C10A7E"/>
    <w:rsid w:val="00C12619"/>
    <w:rsid w:val="00C16888"/>
    <w:rsid w:val="00C16D8E"/>
    <w:rsid w:val="00C212B5"/>
    <w:rsid w:val="00C21F71"/>
    <w:rsid w:val="00C22366"/>
    <w:rsid w:val="00C22922"/>
    <w:rsid w:val="00C23186"/>
    <w:rsid w:val="00C23B92"/>
    <w:rsid w:val="00C23CA5"/>
    <w:rsid w:val="00C244A6"/>
    <w:rsid w:val="00C24A03"/>
    <w:rsid w:val="00C25F81"/>
    <w:rsid w:val="00C278DE"/>
    <w:rsid w:val="00C27C2E"/>
    <w:rsid w:val="00C27F02"/>
    <w:rsid w:val="00C302A4"/>
    <w:rsid w:val="00C351DC"/>
    <w:rsid w:val="00C36134"/>
    <w:rsid w:val="00C36630"/>
    <w:rsid w:val="00C36FCD"/>
    <w:rsid w:val="00C40D53"/>
    <w:rsid w:val="00C4181C"/>
    <w:rsid w:val="00C418C5"/>
    <w:rsid w:val="00C421C9"/>
    <w:rsid w:val="00C426E9"/>
    <w:rsid w:val="00C42CAE"/>
    <w:rsid w:val="00C43ED2"/>
    <w:rsid w:val="00C44908"/>
    <w:rsid w:val="00C4780E"/>
    <w:rsid w:val="00C503F6"/>
    <w:rsid w:val="00C504F4"/>
    <w:rsid w:val="00C510B8"/>
    <w:rsid w:val="00C54B39"/>
    <w:rsid w:val="00C564B3"/>
    <w:rsid w:val="00C56CD8"/>
    <w:rsid w:val="00C57E85"/>
    <w:rsid w:val="00C57EBB"/>
    <w:rsid w:val="00C57F0F"/>
    <w:rsid w:val="00C60777"/>
    <w:rsid w:val="00C616BE"/>
    <w:rsid w:val="00C65BB4"/>
    <w:rsid w:val="00C669F4"/>
    <w:rsid w:val="00C66DE3"/>
    <w:rsid w:val="00C705E3"/>
    <w:rsid w:val="00C70777"/>
    <w:rsid w:val="00C71599"/>
    <w:rsid w:val="00C72D9E"/>
    <w:rsid w:val="00C731B7"/>
    <w:rsid w:val="00C73BA1"/>
    <w:rsid w:val="00C746D6"/>
    <w:rsid w:val="00C753EB"/>
    <w:rsid w:val="00C765B8"/>
    <w:rsid w:val="00C8071C"/>
    <w:rsid w:val="00C816CB"/>
    <w:rsid w:val="00C82461"/>
    <w:rsid w:val="00C83878"/>
    <w:rsid w:val="00C854EA"/>
    <w:rsid w:val="00C85755"/>
    <w:rsid w:val="00C8638D"/>
    <w:rsid w:val="00C86A0E"/>
    <w:rsid w:val="00C87EE1"/>
    <w:rsid w:val="00C90965"/>
    <w:rsid w:val="00C90B60"/>
    <w:rsid w:val="00C91110"/>
    <w:rsid w:val="00C91E3B"/>
    <w:rsid w:val="00C94735"/>
    <w:rsid w:val="00C96FAB"/>
    <w:rsid w:val="00C975E8"/>
    <w:rsid w:val="00C979F2"/>
    <w:rsid w:val="00C97EB9"/>
    <w:rsid w:val="00CA07CC"/>
    <w:rsid w:val="00CA128C"/>
    <w:rsid w:val="00CA1D39"/>
    <w:rsid w:val="00CA25B5"/>
    <w:rsid w:val="00CA3804"/>
    <w:rsid w:val="00CA411B"/>
    <w:rsid w:val="00CA4FCE"/>
    <w:rsid w:val="00CA5782"/>
    <w:rsid w:val="00CA5F8F"/>
    <w:rsid w:val="00CA79D1"/>
    <w:rsid w:val="00CA7C7A"/>
    <w:rsid w:val="00CA7D15"/>
    <w:rsid w:val="00CB3EE5"/>
    <w:rsid w:val="00CB5886"/>
    <w:rsid w:val="00CB6310"/>
    <w:rsid w:val="00CB7BAD"/>
    <w:rsid w:val="00CC04E5"/>
    <w:rsid w:val="00CC05B3"/>
    <w:rsid w:val="00CC0C51"/>
    <w:rsid w:val="00CC1A47"/>
    <w:rsid w:val="00CC1AF5"/>
    <w:rsid w:val="00CC2396"/>
    <w:rsid w:val="00CC3591"/>
    <w:rsid w:val="00CC3C14"/>
    <w:rsid w:val="00CC3E81"/>
    <w:rsid w:val="00CC4344"/>
    <w:rsid w:val="00CC439E"/>
    <w:rsid w:val="00CC5A6F"/>
    <w:rsid w:val="00CD07E7"/>
    <w:rsid w:val="00CD173A"/>
    <w:rsid w:val="00CD1F81"/>
    <w:rsid w:val="00CD26C7"/>
    <w:rsid w:val="00CD4DB5"/>
    <w:rsid w:val="00CD4E11"/>
    <w:rsid w:val="00CD62FD"/>
    <w:rsid w:val="00CD7F7A"/>
    <w:rsid w:val="00CE0C82"/>
    <w:rsid w:val="00CE1B49"/>
    <w:rsid w:val="00CE271A"/>
    <w:rsid w:val="00CE2D90"/>
    <w:rsid w:val="00CE461C"/>
    <w:rsid w:val="00CE48EE"/>
    <w:rsid w:val="00CE4D51"/>
    <w:rsid w:val="00CE4F50"/>
    <w:rsid w:val="00CE6FF5"/>
    <w:rsid w:val="00CF1565"/>
    <w:rsid w:val="00CF4621"/>
    <w:rsid w:val="00CF4DA9"/>
    <w:rsid w:val="00CF5245"/>
    <w:rsid w:val="00CF5839"/>
    <w:rsid w:val="00CF6511"/>
    <w:rsid w:val="00D00EA7"/>
    <w:rsid w:val="00D06683"/>
    <w:rsid w:val="00D07B1A"/>
    <w:rsid w:val="00D07E18"/>
    <w:rsid w:val="00D10786"/>
    <w:rsid w:val="00D10DC2"/>
    <w:rsid w:val="00D1167E"/>
    <w:rsid w:val="00D11B62"/>
    <w:rsid w:val="00D12F43"/>
    <w:rsid w:val="00D130A0"/>
    <w:rsid w:val="00D1320D"/>
    <w:rsid w:val="00D13DAE"/>
    <w:rsid w:val="00D179F0"/>
    <w:rsid w:val="00D20341"/>
    <w:rsid w:val="00D20858"/>
    <w:rsid w:val="00D21215"/>
    <w:rsid w:val="00D2146B"/>
    <w:rsid w:val="00D218AD"/>
    <w:rsid w:val="00D2227D"/>
    <w:rsid w:val="00D230ED"/>
    <w:rsid w:val="00D234E7"/>
    <w:rsid w:val="00D23E1D"/>
    <w:rsid w:val="00D26077"/>
    <w:rsid w:val="00D27223"/>
    <w:rsid w:val="00D2735C"/>
    <w:rsid w:val="00D30960"/>
    <w:rsid w:val="00D30A2D"/>
    <w:rsid w:val="00D30E01"/>
    <w:rsid w:val="00D30E46"/>
    <w:rsid w:val="00D310CA"/>
    <w:rsid w:val="00D325D3"/>
    <w:rsid w:val="00D32888"/>
    <w:rsid w:val="00D33D9C"/>
    <w:rsid w:val="00D33E49"/>
    <w:rsid w:val="00D35874"/>
    <w:rsid w:val="00D36CD6"/>
    <w:rsid w:val="00D3760A"/>
    <w:rsid w:val="00D377AD"/>
    <w:rsid w:val="00D40C4D"/>
    <w:rsid w:val="00D4159A"/>
    <w:rsid w:val="00D424F6"/>
    <w:rsid w:val="00D45AE9"/>
    <w:rsid w:val="00D47EF6"/>
    <w:rsid w:val="00D504A7"/>
    <w:rsid w:val="00D509E9"/>
    <w:rsid w:val="00D50AC8"/>
    <w:rsid w:val="00D53130"/>
    <w:rsid w:val="00D54AFE"/>
    <w:rsid w:val="00D6054D"/>
    <w:rsid w:val="00D60A44"/>
    <w:rsid w:val="00D615B2"/>
    <w:rsid w:val="00D615D6"/>
    <w:rsid w:val="00D6186B"/>
    <w:rsid w:val="00D61F41"/>
    <w:rsid w:val="00D629B0"/>
    <w:rsid w:val="00D62A2E"/>
    <w:rsid w:val="00D62E9C"/>
    <w:rsid w:val="00D639E8"/>
    <w:rsid w:val="00D6404F"/>
    <w:rsid w:val="00D64092"/>
    <w:rsid w:val="00D64AD5"/>
    <w:rsid w:val="00D6578A"/>
    <w:rsid w:val="00D66690"/>
    <w:rsid w:val="00D67BB0"/>
    <w:rsid w:val="00D72FDB"/>
    <w:rsid w:val="00D7390F"/>
    <w:rsid w:val="00D74F04"/>
    <w:rsid w:val="00D758F2"/>
    <w:rsid w:val="00D75CAB"/>
    <w:rsid w:val="00D766F1"/>
    <w:rsid w:val="00D7690F"/>
    <w:rsid w:val="00D76BAF"/>
    <w:rsid w:val="00D77EE8"/>
    <w:rsid w:val="00D82FDA"/>
    <w:rsid w:val="00D83EC5"/>
    <w:rsid w:val="00D841B7"/>
    <w:rsid w:val="00D8617C"/>
    <w:rsid w:val="00D86A92"/>
    <w:rsid w:val="00D90B35"/>
    <w:rsid w:val="00D91DA7"/>
    <w:rsid w:val="00D92BEC"/>
    <w:rsid w:val="00D92F4A"/>
    <w:rsid w:val="00D93517"/>
    <w:rsid w:val="00D936C7"/>
    <w:rsid w:val="00D9515D"/>
    <w:rsid w:val="00D95BD9"/>
    <w:rsid w:val="00D975BC"/>
    <w:rsid w:val="00D97E3C"/>
    <w:rsid w:val="00DA052B"/>
    <w:rsid w:val="00DA18F2"/>
    <w:rsid w:val="00DA26DC"/>
    <w:rsid w:val="00DA3BA1"/>
    <w:rsid w:val="00DA6705"/>
    <w:rsid w:val="00DB17F9"/>
    <w:rsid w:val="00DB2AB6"/>
    <w:rsid w:val="00DB3640"/>
    <w:rsid w:val="00DB663D"/>
    <w:rsid w:val="00DB7AC7"/>
    <w:rsid w:val="00DC2976"/>
    <w:rsid w:val="00DC42C3"/>
    <w:rsid w:val="00DC447B"/>
    <w:rsid w:val="00DC600A"/>
    <w:rsid w:val="00DC7A37"/>
    <w:rsid w:val="00DC7F52"/>
    <w:rsid w:val="00DD21BD"/>
    <w:rsid w:val="00DD2A81"/>
    <w:rsid w:val="00DD2AF3"/>
    <w:rsid w:val="00DD360F"/>
    <w:rsid w:val="00DD3A62"/>
    <w:rsid w:val="00DD4D1A"/>
    <w:rsid w:val="00DD55D5"/>
    <w:rsid w:val="00DD5E14"/>
    <w:rsid w:val="00DD6973"/>
    <w:rsid w:val="00DD6E82"/>
    <w:rsid w:val="00DE044E"/>
    <w:rsid w:val="00DE0C4B"/>
    <w:rsid w:val="00DE30E7"/>
    <w:rsid w:val="00DE3297"/>
    <w:rsid w:val="00DE4DC2"/>
    <w:rsid w:val="00DE5521"/>
    <w:rsid w:val="00DE566A"/>
    <w:rsid w:val="00DE7879"/>
    <w:rsid w:val="00DF0082"/>
    <w:rsid w:val="00DF0FB8"/>
    <w:rsid w:val="00DF2533"/>
    <w:rsid w:val="00DF2C67"/>
    <w:rsid w:val="00DF3AE2"/>
    <w:rsid w:val="00DF3D5C"/>
    <w:rsid w:val="00DF5DA7"/>
    <w:rsid w:val="00DF7813"/>
    <w:rsid w:val="00DF7D1E"/>
    <w:rsid w:val="00DF7D21"/>
    <w:rsid w:val="00E021EE"/>
    <w:rsid w:val="00E04CCC"/>
    <w:rsid w:val="00E059C5"/>
    <w:rsid w:val="00E05F74"/>
    <w:rsid w:val="00E067AE"/>
    <w:rsid w:val="00E06D08"/>
    <w:rsid w:val="00E10062"/>
    <w:rsid w:val="00E1088B"/>
    <w:rsid w:val="00E11D7E"/>
    <w:rsid w:val="00E12D9D"/>
    <w:rsid w:val="00E1323B"/>
    <w:rsid w:val="00E14334"/>
    <w:rsid w:val="00E15462"/>
    <w:rsid w:val="00E159DB"/>
    <w:rsid w:val="00E16065"/>
    <w:rsid w:val="00E172CC"/>
    <w:rsid w:val="00E205A0"/>
    <w:rsid w:val="00E21047"/>
    <w:rsid w:val="00E213DF"/>
    <w:rsid w:val="00E224B0"/>
    <w:rsid w:val="00E22954"/>
    <w:rsid w:val="00E2303A"/>
    <w:rsid w:val="00E2343B"/>
    <w:rsid w:val="00E23803"/>
    <w:rsid w:val="00E2386A"/>
    <w:rsid w:val="00E24A33"/>
    <w:rsid w:val="00E2503A"/>
    <w:rsid w:val="00E25050"/>
    <w:rsid w:val="00E263D3"/>
    <w:rsid w:val="00E26AAC"/>
    <w:rsid w:val="00E270E5"/>
    <w:rsid w:val="00E308A4"/>
    <w:rsid w:val="00E30F0C"/>
    <w:rsid w:val="00E33D2C"/>
    <w:rsid w:val="00E343BD"/>
    <w:rsid w:val="00E348D9"/>
    <w:rsid w:val="00E35199"/>
    <w:rsid w:val="00E354D8"/>
    <w:rsid w:val="00E36601"/>
    <w:rsid w:val="00E37C21"/>
    <w:rsid w:val="00E40945"/>
    <w:rsid w:val="00E40E55"/>
    <w:rsid w:val="00E45B16"/>
    <w:rsid w:val="00E45CEE"/>
    <w:rsid w:val="00E50D6B"/>
    <w:rsid w:val="00E52435"/>
    <w:rsid w:val="00E53993"/>
    <w:rsid w:val="00E5430B"/>
    <w:rsid w:val="00E548AE"/>
    <w:rsid w:val="00E571D6"/>
    <w:rsid w:val="00E57729"/>
    <w:rsid w:val="00E602F3"/>
    <w:rsid w:val="00E60351"/>
    <w:rsid w:val="00E63C7C"/>
    <w:rsid w:val="00E64AAB"/>
    <w:rsid w:val="00E668CE"/>
    <w:rsid w:val="00E67F16"/>
    <w:rsid w:val="00E71AE7"/>
    <w:rsid w:val="00E7318C"/>
    <w:rsid w:val="00E752E6"/>
    <w:rsid w:val="00E76E82"/>
    <w:rsid w:val="00E773DB"/>
    <w:rsid w:val="00E80513"/>
    <w:rsid w:val="00E871F2"/>
    <w:rsid w:val="00E90236"/>
    <w:rsid w:val="00E90937"/>
    <w:rsid w:val="00E93A86"/>
    <w:rsid w:val="00E94BDA"/>
    <w:rsid w:val="00E96210"/>
    <w:rsid w:val="00E964AC"/>
    <w:rsid w:val="00E97E20"/>
    <w:rsid w:val="00EA1C4C"/>
    <w:rsid w:val="00EA296B"/>
    <w:rsid w:val="00EA2CDD"/>
    <w:rsid w:val="00EA2ED5"/>
    <w:rsid w:val="00EA2EFE"/>
    <w:rsid w:val="00EA52A5"/>
    <w:rsid w:val="00EA6088"/>
    <w:rsid w:val="00EB0891"/>
    <w:rsid w:val="00EB14FB"/>
    <w:rsid w:val="00EB1503"/>
    <w:rsid w:val="00EB1CEE"/>
    <w:rsid w:val="00EB2ACA"/>
    <w:rsid w:val="00EB659F"/>
    <w:rsid w:val="00EC003F"/>
    <w:rsid w:val="00EC11EC"/>
    <w:rsid w:val="00EC170F"/>
    <w:rsid w:val="00EC1A2C"/>
    <w:rsid w:val="00EC1AF4"/>
    <w:rsid w:val="00EC1D8C"/>
    <w:rsid w:val="00EC4CB2"/>
    <w:rsid w:val="00EC6B48"/>
    <w:rsid w:val="00EC6D68"/>
    <w:rsid w:val="00EC7B6D"/>
    <w:rsid w:val="00ED0E17"/>
    <w:rsid w:val="00ED15FD"/>
    <w:rsid w:val="00ED1D5C"/>
    <w:rsid w:val="00ED2C10"/>
    <w:rsid w:val="00ED2FC3"/>
    <w:rsid w:val="00EE1A32"/>
    <w:rsid w:val="00EE4014"/>
    <w:rsid w:val="00EE63DC"/>
    <w:rsid w:val="00EE6858"/>
    <w:rsid w:val="00EE785B"/>
    <w:rsid w:val="00EE7E76"/>
    <w:rsid w:val="00EF01AA"/>
    <w:rsid w:val="00EF13A7"/>
    <w:rsid w:val="00EF1B95"/>
    <w:rsid w:val="00EF1D98"/>
    <w:rsid w:val="00EF2405"/>
    <w:rsid w:val="00EF3189"/>
    <w:rsid w:val="00EF4364"/>
    <w:rsid w:val="00EF48E4"/>
    <w:rsid w:val="00EF4E15"/>
    <w:rsid w:val="00EF7298"/>
    <w:rsid w:val="00EF7F27"/>
    <w:rsid w:val="00F01F37"/>
    <w:rsid w:val="00F06D3D"/>
    <w:rsid w:val="00F10F5D"/>
    <w:rsid w:val="00F112B7"/>
    <w:rsid w:val="00F12027"/>
    <w:rsid w:val="00F12523"/>
    <w:rsid w:val="00F127BD"/>
    <w:rsid w:val="00F12DA9"/>
    <w:rsid w:val="00F14775"/>
    <w:rsid w:val="00F161E5"/>
    <w:rsid w:val="00F1705D"/>
    <w:rsid w:val="00F176A8"/>
    <w:rsid w:val="00F20838"/>
    <w:rsid w:val="00F212EB"/>
    <w:rsid w:val="00F23D13"/>
    <w:rsid w:val="00F2474A"/>
    <w:rsid w:val="00F25115"/>
    <w:rsid w:val="00F25728"/>
    <w:rsid w:val="00F26CA5"/>
    <w:rsid w:val="00F30F11"/>
    <w:rsid w:val="00F31805"/>
    <w:rsid w:val="00F3291A"/>
    <w:rsid w:val="00F342DF"/>
    <w:rsid w:val="00F350C3"/>
    <w:rsid w:val="00F35421"/>
    <w:rsid w:val="00F356CD"/>
    <w:rsid w:val="00F360AC"/>
    <w:rsid w:val="00F36919"/>
    <w:rsid w:val="00F40CE4"/>
    <w:rsid w:val="00F43E24"/>
    <w:rsid w:val="00F465D3"/>
    <w:rsid w:val="00F46A7D"/>
    <w:rsid w:val="00F46BF6"/>
    <w:rsid w:val="00F4729B"/>
    <w:rsid w:val="00F4784A"/>
    <w:rsid w:val="00F50555"/>
    <w:rsid w:val="00F51BD6"/>
    <w:rsid w:val="00F52257"/>
    <w:rsid w:val="00F54444"/>
    <w:rsid w:val="00F54908"/>
    <w:rsid w:val="00F56F06"/>
    <w:rsid w:val="00F56F62"/>
    <w:rsid w:val="00F578CB"/>
    <w:rsid w:val="00F64C7C"/>
    <w:rsid w:val="00F6714F"/>
    <w:rsid w:val="00F6720E"/>
    <w:rsid w:val="00F67740"/>
    <w:rsid w:val="00F67787"/>
    <w:rsid w:val="00F67B46"/>
    <w:rsid w:val="00F70AE7"/>
    <w:rsid w:val="00F712EF"/>
    <w:rsid w:val="00F71E4F"/>
    <w:rsid w:val="00F7278D"/>
    <w:rsid w:val="00F7338B"/>
    <w:rsid w:val="00F73815"/>
    <w:rsid w:val="00F7440E"/>
    <w:rsid w:val="00F749CB"/>
    <w:rsid w:val="00F76A22"/>
    <w:rsid w:val="00F77680"/>
    <w:rsid w:val="00F7770D"/>
    <w:rsid w:val="00F7797A"/>
    <w:rsid w:val="00F77DA6"/>
    <w:rsid w:val="00F807B7"/>
    <w:rsid w:val="00F8115D"/>
    <w:rsid w:val="00F84DFB"/>
    <w:rsid w:val="00F8578E"/>
    <w:rsid w:val="00F85E36"/>
    <w:rsid w:val="00F8677C"/>
    <w:rsid w:val="00F91AA4"/>
    <w:rsid w:val="00F92AE2"/>
    <w:rsid w:val="00F93115"/>
    <w:rsid w:val="00F93522"/>
    <w:rsid w:val="00F96499"/>
    <w:rsid w:val="00F96686"/>
    <w:rsid w:val="00FA14EC"/>
    <w:rsid w:val="00FA5792"/>
    <w:rsid w:val="00FA626F"/>
    <w:rsid w:val="00FA6DBD"/>
    <w:rsid w:val="00FB04BE"/>
    <w:rsid w:val="00FB200D"/>
    <w:rsid w:val="00FB30DA"/>
    <w:rsid w:val="00FB3447"/>
    <w:rsid w:val="00FB3571"/>
    <w:rsid w:val="00FB4C73"/>
    <w:rsid w:val="00FB4CCB"/>
    <w:rsid w:val="00FB4E64"/>
    <w:rsid w:val="00FB4F1D"/>
    <w:rsid w:val="00FC0B3E"/>
    <w:rsid w:val="00FC2E4D"/>
    <w:rsid w:val="00FC4318"/>
    <w:rsid w:val="00FC4478"/>
    <w:rsid w:val="00FC7C8F"/>
    <w:rsid w:val="00FC7DFA"/>
    <w:rsid w:val="00FD0292"/>
    <w:rsid w:val="00FD04C7"/>
    <w:rsid w:val="00FD04CE"/>
    <w:rsid w:val="00FD0B04"/>
    <w:rsid w:val="00FD328C"/>
    <w:rsid w:val="00FD7F8D"/>
    <w:rsid w:val="00FE041A"/>
    <w:rsid w:val="00FE0B28"/>
    <w:rsid w:val="00FE35CC"/>
    <w:rsid w:val="00FE5FFD"/>
    <w:rsid w:val="00FE6C61"/>
    <w:rsid w:val="00FE7EEC"/>
    <w:rsid w:val="00FF0B56"/>
    <w:rsid w:val="00FF1E60"/>
    <w:rsid w:val="00FF1FE5"/>
    <w:rsid w:val="00FF2107"/>
    <w:rsid w:val="00FF2D4C"/>
    <w:rsid w:val="00FF3075"/>
    <w:rsid w:val="00FF3418"/>
    <w:rsid w:val="00FF4936"/>
    <w:rsid w:val="00FF61D2"/>
    <w:rsid w:val="00FF6F3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9C011F2"/>
  <w15:docId w15:val="{84712E75-81CB-4837-8060-7D8735CA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unhideWhenUsed="1" w:qFormat="1"/>
    <w:lsdException w:name="heading 4" w:locked="0" w:uiPriority="0"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locked="0" w:uiPriority="0"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ECC Base"/>
    <w:qFormat/>
    <w:rsid w:val="0031725B"/>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link w:val="Heading2Char"/>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tabs>
        <w:tab w:val="clear" w:pos="862"/>
        <w:tab w:val="num" w:pos="720"/>
      </w:tabs>
      <w:spacing w:before="360"/>
      <w:ind w:left="720"/>
      <w:outlineLvl w:val="2"/>
    </w:pPr>
    <w:rPr>
      <w:rFonts w:cs="Arial"/>
      <w:b/>
      <w:bCs/>
      <w:szCs w:val="26"/>
    </w:rPr>
  </w:style>
  <w:style w:type="paragraph" w:styleId="Heading4">
    <w:name w:val="heading 4"/>
    <w:aliases w:val="ECC Heading 4,H4,h4,H41,h41,H42,h42,H43,h43,H411,h411,H421,h421,H44,h44,H412,h412,H422,h422,H431,h431,H45,h45,H413,h413,H423,h423,H432,h432,H46,h46,H47,h47,Memo Heading 4"/>
    <w:next w:val="Normal"/>
    <w:qFormat/>
    <w:rsid w:val="00F51BD6"/>
    <w:pPr>
      <w:numPr>
        <w:ilvl w:val="3"/>
        <w:numId w:val="6"/>
      </w:numPr>
      <w:tabs>
        <w:tab w:val="clear" w:pos="864"/>
        <w:tab w:val="num" w:pos="1715"/>
      </w:tabs>
      <w:spacing w:before="360"/>
      <w:ind w:left="1715"/>
      <w:outlineLvl w:val="3"/>
    </w:pPr>
    <w:rPr>
      <w:rFonts w:cs="Arial"/>
      <w:bCs/>
      <w:i/>
      <w:color w:val="D2232A"/>
      <w:szCs w:val="26"/>
    </w:rPr>
  </w:style>
  <w:style w:type="paragraph" w:styleId="Heading5">
    <w:name w:val="heading 5"/>
    <w:basedOn w:val="Normal"/>
    <w:next w:val="Normal"/>
    <w:qFormat/>
    <w:locked/>
    <w:rsid w:val="009E47EB"/>
    <w:pPr>
      <w:numPr>
        <w:ilvl w:val="4"/>
        <w:numId w:val="6"/>
      </w:numPr>
      <w:outlineLvl w:val="4"/>
    </w:pPr>
    <w:rPr>
      <w:b/>
      <w:bCs/>
      <w:i/>
      <w:iCs/>
      <w:sz w:val="26"/>
      <w:szCs w:val="26"/>
    </w:rPr>
  </w:style>
  <w:style w:type="paragraph" w:styleId="Heading6">
    <w:name w:val="heading 6"/>
    <w:basedOn w:val="Normal"/>
    <w:next w:val="Normal"/>
    <w:qFormat/>
    <w:locked/>
    <w:rsid w:val="009E47EB"/>
    <w:pPr>
      <w:numPr>
        <w:ilvl w:val="5"/>
        <w:numId w:val="6"/>
      </w:numPr>
      <w:outlineLvl w:val="5"/>
    </w:pPr>
    <w:rPr>
      <w:b/>
      <w:bCs/>
      <w:sz w:val="22"/>
    </w:rPr>
  </w:style>
  <w:style w:type="paragraph" w:styleId="Heading7">
    <w:name w:val="heading 7"/>
    <w:basedOn w:val="Normal"/>
    <w:next w:val="Normal"/>
    <w:qFormat/>
    <w:locked/>
    <w:rsid w:val="009E47EB"/>
    <w:pPr>
      <w:numPr>
        <w:ilvl w:val="6"/>
        <w:numId w:val="6"/>
      </w:numPr>
      <w:outlineLvl w:val="6"/>
    </w:pPr>
    <w:rPr>
      <w:sz w:val="24"/>
    </w:rPr>
  </w:style>
  <w:style w:type="paragraph" w:styleId="Heading8">
    <w:name w:val="heading 8"/>
    <w:basedOn w:val="Normal"/>
    <w:next w:val="Normal"/>
    <w:qFormat/>
    <w:locked/>
    <w:rsid w:val="009E47EB"/>
    <w:pPr>
      <w:numPr>
        <w:ilvl w:val="7"/>
        <w:numId w:val="6"/>
      </w:numPr>
      <w:outlineLvl w:val="7"/>
    </w:pPr>
    <w:rPr>
      <w:i/>
      <w:iCs/>
      <w:sz w:val="24"/>
    </w:rPr>
  </w:style>
  <w:style w:type="paragraph" w:styleId="Heading9">
    <w:name w:val="heading 9"/>
    <w:basedOn w:val="Normal"/>
    <w:next w:val="Normal"/>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BC03FD"/>
    <w:pPr>
      <w:numPr>
        <w:numId w:val="2"/>
      </w:numPr>
      <w:tabs>
        <w:tab w:val="left" w:pos="340"/>
      </w:tabs>
      <w:spacing w:before="60" w:after="0"/>
      <w:ind w:left="340" w:hanging="34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Footnote Text Char3 Char,Footnote Text Char2 Char Char,Footnote Text Char Char Char1 Char Char,Footnote Text Char1 Char1 Char Char,Footnote Text Char Char Char2 Char,ALTS FOOTNOTE Char,Footnote Text Char3,ALTS FOOTNOTE,f"/>
    <w:basedOn w:val="Normal"/>
    <w:link w:val="FootnoteTextChar"/>
    <w:uiPriority w:val="99"/>
    <w:qFormat/>
    <w:rsid w:val="00CD1F81"/>
    <w:pPr>
      <w:widowControl w:val="0"/>
      <w:tabs>
        <w:tab w:val="left" w:pos="284"/>
      </w:tabs>
      <w:spacing w:before="60" w:after="0" w:line="288" w:lineRule="auto"/>
      <w:ind w:left="284" w:hanging="284"/>
    </w:pPr>
    <w:rPr>
      <w:sz w:val="16"/>
      <w:szCs w:val="16"/>
      <w:lang w:val="da-DK"/>
      <w14:cntxtAlts/>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Footnote Text Char3 Char Char,Footnote Text Char2 Char Char Char,Footnote Text Char Char Char1 Char Char Char,Footnote Text Char1 Char1 Char Char Char,Footnote Text Char Char Char2 Char Char,ALTS FOOTNOTE Char Char"/>
    <w:basedOn w:val="DefaultParagraphFont"/>
    <w:link w:val="FootnoteText"/>
    <w:rsid w:val="00CD1F81"/>
    <w:rPr>
      <w:rFonts w:eastAsia="Calibri"/>
      <w:sz w:val="16"/>
      <w:szCs w:val="16"/>
      <w14:cntxtAlts/>
    </w:rPr>
  </w:style>
  <w:style w:type="character" w:styleId="FootnoteReference">
    <w:name w:val="footnote reference"/>
    <w:aliases w:val="ECC Footnote number,Footnote symbol,Footnote,Appel note de bas de p,Appel note de bas de p + (Asian) Batang,Black,(NECG) Footnote Reference,Nota,BVI fnr,SUPERS,(Footnote Reference),Voetnootverwijzing,Times 10 Point,o"/>
    <w:basedOn w:val="DefaultParagraphFont"/>
    <w:uiPriority w:val="99"/>
    <w:qFormat/>
    <w:rsid w:val="00DB17F9"/>
    <w:rPr>
      <w:rFonts w:ascii="Arial" w:hAnsi="Arial"/>
      <w:sz w:val="20"/>
      <w:vertAlign w:val="superscript"/>
    </w:rPr>
  </w:style>
  <w:style w:type="paragraph" w:styleId="Caption">
    <w:name w:val="caption"/>
    <w:aliases w:val="ECC Caption"/>
    <w:next w:val="Normal"/>
    <w:rsid w:val="00F51BD6"/>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textboxTightWrap w:val="firstLineOnly"/>
    </w:pPr>
    <w:rPr>
      <w:sz w:val="24"/>
    </w:rPr>
  </w:style>
  <w:style w:type="paragraph" w:customStyle="1" w:styleId="ECCEditorsNote">
    <w:name w:val="ECC Editor's Note"/>
    <w:next w:val="Normal"/>
    <w:qFormat/>
    <w:rsid w:val="00A26AC6"/>
    <w:pPr>
      <w:numPr>
        <w:numId w:val="8"/>
      </w:numPr>
      <w:shd w:val="solid" w:color="FFFF00" w:fill="auto"/>
      <w:tabs>
        <w:tab w:val="clear" w:pos="2836"/>
        <w:tab w:val="num" w:pos="1559"/>
      </w:tabs>
      <w:spacing w:before="120"/>
      <w:ind w:left="1559"/>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14:cntxtAlts/>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semiHidden/>
    <w:qFormat/>
    <w:locked/>
    <w:rsid w:val="005C5A96"/>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NormalWeb">
    <w:name w:val="Normal (Web)"/>
    <w:basedOn w:val="Normal"/>
    <w:uiPriority w:val="99"/>
    <w:semiHidden/>
    <w:unhideWhenUsed/>
    <w:locked/>
    <w:rsid w:val="00514DC7"/>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395E1C"/>
    <w:rPr>
      <w:color w:val="605E5C"/>
      <w:shd w:val="clear" w:color="auto" w:fill="E1DFDD"/>
    </w:rPr>
  </w:style>
  <w:style w:type="character" w:styleId="CommentReference">
    <w:name w:val="annotation reference"/>
    <w:basedOn w:val="DefaultParagraphFont"/>
    <w:uiPriority w:val="99"/>
    <w:semiHidden/>
    <w:unhideWhenUsed/>
    <w:locked/>
    <w:rsid w:val="00B5758E"/>
    <w:rPr>
      <w:sz w:val="16"/>
      <w:szCs w:val="16"/>
    </w:rPr>
  </w:style>
  <w:style w:type="paragraph" w:styleId="CommentText">
    <w:name w:val="annotation text"/>
    <w:basedOn w:val="Normal"/>
    <w:link w:val="CommentTextChar"/>
    <w:uiPriority w:val="99"/>
    <w:semiHidden/>
    <w:unhideWhenUsed/>
    <w:locked/>
    <w:rsid w:val="00B5758E"/>
    <w:rPr>
      <w:szCs w:val="20"/>
    </w:rPr>
  </w:style>
  <w:style w:type="character" w:customStyle="1" w:styleId="CommentTextChar">
    <w:name w:val="Comment Text Char"/>
    <w:basedOn w:val="DefaultParagraphFont"/>
    <w:link w:val="CommentText"/>
    <w:uiPriority w:val="99"/>
    <w:semiHidden/>
    <w:rsid w:val="00B5758E"/>
    <w:rPr>
      <w:rFonts w:eastAsia="Calibri"/>
      <w:lang w:val="en-GB"/>
    </w:rPr>
  </w:style>
  <w:style w:type="paragraph" w:styleId="CommentSubject">
    <w:name w:val="annotation subject"/>
    <w:basedOn w:val="CommentText"/>
    <w:next w:val="CommentText"/>
    <w:link w:val="CommentSubjectChar"/>
    <w:uiPriority w:val="99"/>
    <w:semiHidden/>
    <w:unhideWhenUsed/>
    <w:locked/>
    <w:rsid w:val="00B5758E"/>
    <w:rPr>
      <w:b/>
      <w:bCs/>
    </w:rPr>
  </w:style>
  <w:style w:type="character" w:customStyle="1" w:styleId="CommentSubjectChar">
    <w:name w:val="Comment Subject Char"/>
    <w:basedOn w:val="CommentTextChar"/>
    <w:link w:val="CommentSubject"/>
    <w:uiPriority w:val="99"/>
    <w:semiHidden/>
    <w:rsid w:val="00B5758E"/>
    <w:rPr>
      <w:rFonts w:eastAsia="Calibri"/>
      <w:b/>
      <w:bCs/>
      <w:lang w:val="en-GB"/>
    </w:rPr>
  </w:style>
  <w:style w:type="paragraph" w:styleId="Revision">
    <w:name w:val="Revision"/>
    <w:hidden/>
    <w:uiPriority w:val="99"/>
    <w:semiHidden/>
    <w:rsid w:val="0011162A"/>
    <w:pPr>
      <w:spacing w:before="0" w:after="0"/>
      <w:jc w:val="left"/>
    </w:pPr>
    <w:rPr>
      <w:rFonts w:eastAsia="Calibri"/>
      <w:szCs w:val="22"/>
      <w:lang w:val="en-GB"/>
    </w:rPr>
  </w:style>
  <w:style w:type="character" w:styleId="FollowedHyperlink">
    <w:name w:val="FollowedHyperlink"/>
    <w:basedOn w:val="DefaultParagraphFont"/>
    <w:uiPriority w:val="99"/>
    <w:semiHidden/>
    <w:unhideWhenUsed/>
    <w:locked/>
    <w:rsid w:val="00FF6F3C"/>
    <w:rPr>
      <w:color w:val="800080" w:themeColor="followedHyperlink"/>
      <w:u w:val="single"/>
    </w:rPr>
  </w:style>
  <w:style w:type="character" w:customStyle="1" w:styleId="Heading2Char">
    <w:name w:val="Heading 2 Char"/>
    <w:aliases w:val="ECC Heading 2 Char"/>
    <w:link w:val="Heading2"/>
    <w:rsid w:val="00445FFD"/>
    <w:rPr>
      <w:rFonts w:cs="Arial"/>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14048">
      <w:bodyDiv w:val="1"/>
      <w:marLeft w:val="0"/>
      <w:marRight w:val="0"/>
      <w:marTop w:val="0"/>
      <w:marBottom w:val="0"/>
      <w:divBdr>
        <w:top w:val="none" w:sz="0" w:space="0" w:color="auto"/>
        <w:left w:val="none" w:sz="0" w:space="0" w:color="auto"/>
        <w:bottom w:val="none" w:sz="0" w:space="0" w:color="auto"/>
        <w:right w:val="none" w:sz="0" w:space="0" w:color="auto"/>
      </w:divBdr>
    </w:div>
    <w:div w:id="67266237">
      <w:bodyDiv w:val="1"/>
      <w:marLeft w:val="0"/>
      <w:marRight w:val="0"/>
      <w:marTop w:val="0"/>
      <w:marBottom w:val="0"/>
      <w:divBdr>
        <w:top w:val="none" w:sz="0" w:space="0" w:color="auto"/>
        <w:left w:val="none" w:sz="0" w:space="0" w:color="auto"/>
        <w:bottom w:val="none" w:sz="0" w:space="0" w:color="auto"/>
        <w:right w:val="none" w:sz="0" w:space="0" w:color="auto"/>
      </w:divBdr>
    </w:div>
    <w:div w:id="125702458">
      <w:bodyDiv w:val="1"/>
      <w:marLeft w:val="0"/>
      <w:marRight w:val="0"/>
      <w:marTop w:val="0"/>
      <w:marBottom w:val="0"/>
      <w:divBdr>
        <w:top w:val="none" w:sz="0" w:space="0" w:color="auto"/>
        <w:left w:val="none" w:sz="0" w:space="0" w:color="auto"/>
        <w:bottom w:val="none" w:sz="0" w:space="0" w:color="auto"/>
        <w:right w:val="none" w:sz="0" w:space="0" w:color="auto"/>
      </w:divBdr>
    </w:div>
    <w:div w:id="225457190">
      <w:bodyDiv w:val="1"/>
      <w:marLeft w:val="0"/>
      <w:marRight w:val="0"/>
      <w:marTop w:val="0"/>
      <w:marBottom w:val="0"/>
      <w:divBdr>
        <w:top w:val="none" w:sz="0" w:space="0" w:color="auto"/>
        <w:left w:val="none" w:sz="0" w:space="0" w:color="auto"/>
        <w:bottom w:val="none" w:sz="0" w:space="0" w:color="auto"/>
        <w:right w:val="none" w:sz="0" w:space="0" w:color="auto"/>
      </w:divBdr>
    </w:div>
    <w:div w:id="412354721">
      <w:bodyDiv w:val="1"/>
      <w:marLeft w:val="0"/>
      <w:marRight w:val="0"/>
      <w:marTop w:val="0"/>
      <w:marBottom w:val="0"/>
      <w:divBdr>
        <w:top w:val="none" w:sz="0" w:space="0" w:color="auto"/>
        <w:left w:val="none" w:sz="0" w:space="0" w:color="auto"/>
        <w:bottom w:val="none" w:sz="0" w:space="0" w:color="auto"/>
        <w:right w:val="none" w:sz="0" w:space="0" w:color="auto"/>
      </w:divBdr>
    </w:div>
    <w:div w:id="416366761">
      <w:bodyDiv w:val="1"/>
      <w:marLeft w:val="0"/>
      <w:marRight w:val="0"/>
      <w:marTop w:val="0"/>
      <w:marBottom w:val="0"/>
      <w:divBdr>
        <w:top w:val="none" w:sz="0" w:space="0" w:color="auto"/>
        <w:left w:val="none" w:sz="0" w:space="0" w:color="auto"/>
        <w:bottom w:val="none" w:sz="0" w:space="0" w:color="auto"/>
        <w:right w:val="none" w:sz="0" w:space="0" w:color="auto"/>
      </w:divBdr>
    </w:div>
    <w:div w:id="603340052">
      <w:bodyDiv w:val="1"/>
      <w:marLeft w:val="0"/>
      <w:marRight w:val="0"/>
      <w:marTop w:val="0"/>
      <w:marBottom w:val="0"/>
      <w:divBdr>
        <w:top w:val="none" w:sz="0" w:space="0" w:color="auto"/>
        <w:left w:val="none" w:sz="0" w:space="0" w:color="auto"/>
        <w:bottom w:val="none" w:sz="0" w:space="0" w:color="auto"/>
        <w:right w:val="none" w:sz="0" w:space="0" w:color="auto"/>
      </w:divBdr>
    </w:div>
    <w:div w:id="889616166">
      <w:bodyDiv w:val="1"/>
      <w:marLeft w:val="0"/>
      <w:marRight w:val="0"/>
      <w:marTop w:val="0"/>
      <w:marBottom w:val="0"/>
      <w:divBdr>
        <w:top w:val="none" w:sz="0" w:space="0" w:color="auto"/>
        <w:left w:val="none" w:sz="0" w:space="0" w:color="auto"/>
        <w:bottom w:val="none" w:sz="0" w:space="0" w:color="auto"/>
        <w:right w:val="none" w:sz="0" w:space="0" w:color="auto"/>
      </w:divBdr>
    </w:div>
    <w:div w:id="982387104">
      <w:bodyDiv w:val="1"/>
      <w:marLeft w:val="0"/>
      <w:marRight w:val="0"/>
      <w:marTop w:val="0"/>
      <w:marBottom w:val="0"/>
      <w:divBdr>
        <w:top w:val="none" w:sz="0" w:space="0" w:color="auto"/>
        <w:left w:val="none" w:sz="0" w:space="0" w:color="auto"/>
        <w:bottom w:val="none" w:sz="0" w:space="0" w:color="auto"/>
        <w:right w:val="none" w:sz="0" w:space="0" w:color="auto"/>
      </w:divBdr>
    </w:div>
    <w:div w:id="1075785364">
      <w:bodyDiv w:val="1"/>
      <w:marLeft w:val="0"/>
      <w:marRight w:val="0"/>
      <w:marTop w:val="0"/>
      <w:marBottom w:val="0"/>
      <w:divBdr>
        <w:top w:val="none" w:sz="0" w:space="0" w:color="auto"/>
        <w:left w:val="none" w:sz="0" w:space="0" w:color="auto"/>
        <w:bottom w:val="none" w:sz="0" w:space="0" w:color="auto"/>
        <w:right w:val="none" w:sz="0" w:space="0" w:color="auto"/>
      </w:divBdr>
    </w:div>
    <w:div w:id="1241258428">
      <w:bodyDiv w:val="1"/>
      <w:marLeft w:val="0"/>
      <w:marRight w:val="0"/>
      <w:marTop w:val="0"/>
      <w:marBottom w:val="0"/>
      <w:divBdr>
        <w:top w:val="none" w:sz="0" w:space="0" w:color="auto"/>
        <w:left w:val="none" w:sz="0" w:space="0" w:color="auto"/>
        <w:bottom w:val="none" w:sz="0" w:space="0" w:color="auto"/>
        <w:right w:val="none" w:sz="0" w:space="0" w:color="auto"/>
      </w:divBdr>
    </w:div>
    <w:div w:id="1265188337">
      <w:bodyDiv w:val="1"/>
      <w:marLeft w:val="0"/>
      <w:marRight w:val="0"/>
      <w:marTop w:val="0"/>
      <w:marBottom w:val="0"/>
      <w:divBdr>
        <w:top w:val="none" w:sz="0" w:space="0" w:color="auto"/>
        <w:left w:val="none" w:sz="0" w:space="0" w:color="auto"/>
        <w:bottom w:val="none" w:sz="0" w:space="0" w:color="auto"/>
        <w:right w:val="none" w:sz="0" w:space="0" w:color="auto"/>
      </w:divBdr>
    </w:div>
    <w:div w:id="1424957629">
      <w:bodyDiv w:val="1"/>
      <w:marLeft w:val="0"/>
      <w:marRight w:val="0"/>
      <w:marTop w:val="0"/>
      <w:marBottom w:val="0"/>
      <w:divBdr>
        <w:top w:val="none" w:sz="0" w:space="0" w:color="auto"/>
        <w:left w:val="none" w:sz="0" w:space="0" w:color="auto"/>
        <w:bottom w:val="none" w:sz="0" w:space="0" w:color="auto"/>
        <w:right w:val="none" w:sz="0" w:space="0" w:color="auto"/>
      </w:divBdr>
    </w:div>
    <w:div w:id="1511872151">
      <w:bodyDiv w:val="1"/>
      <w:marLeft w:val="0"/>
      <w:marRight w:val="0"/>
      <w:marTop w:val="0"/>
      <w:marBottom w:val="0"/>
      <w:divBdr>
        <w:top w:val="none" w:sz="0" w:space="0" w:color="auto"/>
        <w:left w:val="none" w:sz="0" w:space="0" w:color="auto"/>
        <w:bottom w:val="none" w:sz="0" w:space="0" w:color="auto"/>
        <w:right w:val="none" w:sz="0" w:space="0" w:color="auto"/>
      </w:divBdr>
    </w:div>
    <w:div w:id="1585457375">
      <w:bodyDiv w:val="1"/>
      <w:marLeft w:val="0"/>
      <w:marRight w:val="0"/>
      <w:marTop w:val="0"/>
      <w:marBottom w:val="0"/>
      <w:divBdr>
        <w:top w:val="none" w:sz="0" w:space="0" w:color="auto"/>
        <w:left w:val="none" w:sz="0" w:space="0" w:color="auto"/>
        <w:bottom w:val="none" w:sz="0" w:space="0" w:color="auto"/>
        <w:right w:val="none" w:sz="0" w:space="0" w:color="auto"/>
      </w:divBdr>
    </w:div>
    <w:div w:id="1719426577">
      <w:bodyDiv w:val="1"/>
      <w:marLeft w:val="0"/>
      <w:marRight w:val="0"/>
      <w:marTop w:val="0"/>
      <w:marBottom w:val="0"/>
      <w:divBdr>
        <w:top w:val="none" w:sz="0" w:space="0" w:color="auto"/>
        <w:left w:val="none" w:sz="0" w:space="0" w:color="auto"/>
        <w:bottom w:val="none" w:sz="0" w:space="0" w:color="auto"/>
        <w:right w:val="none" w:sz="0" w:space="0" w:color="auto"/>
      </w:divBdr>
    </w:div>
    <w:div w:id="204409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rcep.fr/uploads/tx_gsavis/19-1067.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rcep.fr/uploads/tx_gsavis/19-1277.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n.arcep.fr/news/press-releases/p/n/5g-6.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e-Dorthe\Downloads\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104C6FEEE3CD41AD0C335AAE6BA97C" ma:contentTypeVersion="13" ma:contentTypeDescription="Create a new document." ma:contentTypeScope="" ma:versionID="69281f3db67165fb1d24d111080aa3de">
  <xsd:schema xmlns:xsd="http://www.w3.org/2001/XMLSchema" xmlns:xs="http://www.w3.org/2001/XMLSchema" xmlns:p="http://schemas.microsoft.com/office/2006/metadata/properties" xmlns:ns3="2d78068c-6926-401d-90ac-7ebbca57bff5" xmlns:ns4="084448f3-190e-46c5-976c-9d19122fb21c" targetNamespace="http://schemas.microsoft.com/office/2006/metadata/properties" ma:root="true" ma:fieldsID="c64366c4f155297c5dfc153f073a28e5" ns3:_="" ns4:_="">
    <xsd:import namespace="2d78068c-6926-401d-90ac-7ebbca57bff5"/>
    <xsd:import namespace="084448f3-190e-46c5-976c-9d19122fb2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78068c-6926-401d-90ac-7ebbca57bf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4448f3-190e-46c5-976c-9d19122fb2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D0F37-C873-4D9C-83CD-F6F001D8AF77}">
  <ds:schemaRefs>
    <ds:schemaRef ds:uri="http://schemas.microsoft.com/office/infopath/2007/PartnerControls"/>
    <ds:schemaRef ds:uri="http://purl.org/dc/elements/1.1/"/>
    <ds:schemaRef ds:uri="http://schemas.microsoft.com/office/2006/metadata/properties"/>
    <ds:schemaRef ds:uri="084448f3-190e-46c5-976c-9d19122fb21c"/>
    <ds:schemaRef ds:uri="http://purl.org/dc/terms/"/>
    <ds:schemaRef ds:uri="http://schemas.openxmlformats.org/package/2006/metadata/core-properties"/>
    <ds:schemaRef ds:uri="http://schemas.microsoft.com/office/2006/documentManagement/types"/>
    <ds:schemaRef ds:uri="2d78068c-6926-401d-90ac-7ebbca57bff5"/>
    <ds:schemaRef ds:uri="http://www.w3.org/XML/1998/namespace"/>
    <ds:schemaRef ds:uri="http://purl.org/dc/dcmitype/"/>
  </ds:schemaRefs>
</ds:datastoreItem>
</file>

<file path=customXml/itemProps2.xml><?xml version="1.0" encoding="utf-8"?>
<ds:datastoreItem xmlns:ds="http://schemas.openxmlformats.org/officeDocument/2006/customXml" ds:itemID="{3D6CA5A2-BBED-4501-9E08-71AB2EC9B9ED}">
  <ds:schemaRefs>
    <ds:schemaRef ds:uri="http://schemas.microsoft.com/sharepoint/v3/contenttype/forms"/>
  </ds:schemaRefs>
</ds:datastoreItem>
</file>

<file path=customXml/itemProps3.xml><?xml version="1.0" encoding="utf-8"?>
<ds:datastoreItem xmlns:ds="http://schemas.openxmlformats.org/officeDocument/2006/customXml" ds:itemID="{565507F1-6FFE-4F3C-8AE7-8AF8AA55B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78068c-6926-401d-90ac-7ebbca57bff5"/>
    <ds:schemaRef ds:uri="084448f3-190e-46c5-976c-9d19122fb2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A0589D-6ED2-4989-B9F6-63CC4533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12</TotalTime>
  <Pages>18</Pages>
  <Words>6215</Words>
  <Characters>37912</Characters>
  <Application>Microsoft Office Word</Application>
  <DocSecurity>0</DocSecurity>
  <Lines>315</Lines>
  <Paragraphs>88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Draft ECC Report 317</vt:lpstr>
      <vt:lpstr>Draft ECC Report 317</vt:lpstr>
      <vt:lpstr>Draft ECC Report XX</vt:lpstr>
    </vt:vector>
  </TitlesOfParts>
  <Manager>stella.lyubchenko@eco.cept.org</Manager>
  <Company>ECO</Company>
  <LinksUpToDate>false</LinksUpToDate>
  <CharactersWithSpaces>44039</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Report 317</dc:title>
  <dc:subject/>
  <dc:creator>Peter Faris</dc:creator>
  <cp:keywords>CTPClassification=CTP_NT</cp:keywords>
  <dc:description/>
  <cp:lastModifiedBy>ECO</cp:lastModifiedBy>
  <cp:revision>8</cp:revision>
  <cp:lastPrinted>1901-01-01T00:00:00Z</cp:lastPrinted>
  <dcterms:created xsi:type="dcterms:W3CDTF">2020-07-14T07:05:00Z</dcterms:created>
  <dcterms:modified xsi:type="dcterms:W3CDTF">2020-07-21T13:41:00Z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0x01010092104C6FEEE3CD41AD0C335AAE6BA97C</vt:lpwstr>
  </property>
  <property fmtid="{D5CDD505-2E9C-101B-9397-08002B2CF9AE}" pid="3" name="TitusGUID">
    <vt:lpwstr>436a32b9-741b-46d0-a76f-50625a40df8e</vt:lpwstr>
  </property>
  <property fmtid="{D5CDD505-2E9C-101B-9397-08002B2CF9AE}" pid="4" name="CTP_TimeStamp">
    <vt:lpwstr>2020-06-17 18:57:33Z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MSIP_Label_5a50d26f-5c2c-4137-8396-1b24eb24286c_Enabled">
    <vt:lpwstr>True</vt:lpwstr>
  </property>
  <property fmtid="{D5CDD505-2E9C-101B-9397-08002B2CF9AE}" pid="9" name="MSIP_Label_5a50d26f-5c2c-4137-8396-1b24eb24286c_SiteId">
    <vt:lpwstr>0af648de-310c-4068-8ae4-f9418bae24cc</vt:lpwstr>
  </property>
  <property fmtid="{D5CDD505-2E9C-101B-9397-08002B2CF9AE}" pid="10" name="MSIP_Label_5a50d26f-5c2c-4137-8396-1b24eb24286c_Owner">
    <vt:lpwstr>Robert.Cooper@ofcom.org.uk</vt:lpwstr>
  </property>
  <property fmtid="{D5CDD505-2E9C-101B-9397-08002B2CF9AE}" pid="11" name="MSIP_Label_5a50d26f-5c2c-4137-8396-1b24eb24286c_SetDate">
    <vt:lpwstr>2019-11-28T10:39:28.6049832Z</vt:lpwstr>
  </property>
  <property fmtid="{D5CDD505-2E9C-101B-9397-08002B2CF9AE}" pid="12" name="MSIP_Label_5a50d26f-5c2c-4137-8396-1b24eb24286c_Name">
    <vt:lpwstr>Protected</vt:lpwstr>
  </property>
  <property fmtid="{D5CDD505-2E9C-101B-9397-08002B2CF9AE}" pid="13" name="MSIP_Label_5a50d26f-5c2c-4137-8396-1b24eb24286c_Application">
    <vt:lpwstr>Microsoft Azure Information Protection</vt:lpwstr>
  </property>
  <property fmtid="{D5CDD505-2E9C-101B-9397-08002B2CF9AE}" pid="14" name="MSIP_Label_5a50d26f-5c2c-4137-8396-1b24eb24286c_ActionId">
    <vt:lpwstr>33f6ba38-8f62-4f94-9c52-ffcbac5eda3f</vt:lpwstr>
  </property>
  <property fmtid="{D5CDD505-2E9C-101B-9397-08002B2CF9AE}" pid="15" name="MSIP_Label_5a50d26f-5c2c-4137-8396-1b24eb24286c_Extended_MSFT_Method">
    <vt:lpwstr>Manual</vt:lpwstr>
  </property>
  <property fmtid="{D5CDD505-2E9C-101B-9397-08002B2CF9AE}" pid="16" name="Sensitivity">
    <vt:lpwstr>Protected</vt:lpwstr>
  </property>
  <property fmtid="{D5CDD505-2E9C-101B-9397-08002B2CF9AE}" pid="17" name="CTPClassification">
    <vt:lpwstr>CTP_NT</vt:lpwstr>
  </property>
</Properties>
</file>