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FF11EB" w14:textId="77777777" w:rsidR="00AB46DF" w:rsidRPr="009451D3" w:rsidRDefault="00AB46DF">
      <w:pPr>
        <w:rPr>
          <w:lang w:val="en-GB"/>
        </w:rPr>
      </w:pPr>
    </w:p>
    <w:p w14:paraId="785F55BC" w14:textId="77777777" w:rsidR="00AB46DF" w:rsidRPr="009451D3" w:rsidRDefault="00AB46DF" w:rsidP="00AB46DF">
      <w:pPr>
        <w:jc w:val="center"/>
        <w:rPr>
          <w:lang w:val="en-GB"/>
        </w:rPr>
      </w:pPr>
    </w:p>
    <w:p w14:paraId="7C6906C1" w14:textId="77777777" w:rsidR="00AB46DF" w:rsidRPr="009451D3" w:rsidRDefault="00AB46DF" w:rsidP="00AB46DF">
      <w:pPr>
        <w:jc w:val="center"/>
        <w:rPr>
          <w:lang w:val="en-GB"/>
        </w:rPr>
      </w:pPr>
    </w:p>
    <w:p w14:paraId="643504E2" w14:textId="77777777" w:rsidR="00AB46DF" w:rsidRPr="009451D3" w:rsidRDefault="00AB46DF" w:rsidP="00AB46DF">
      <w:pPr>
        <w:rPr>
          <w:lang w:val="en-GB"/>
        </w:rPr>
      </w:pPr>
    </w:p>
    <w:p w14:paraId="61094C28" w14:textId="77777777" w:rsidR="00AB46DF" w:rsidRPr="009451D3" w:rsidRDefault="00AB46DF" w:rsidP="00AB46DF">
      <w:pPr>
        <w:rPr>
          <w:lang w:val="en-GB"/>
        </w:rPr>
      </w:pPr>
    </w:p>
    <w:p w14:paraId="3CBB969D" w14:textId="77777777" w:rsidR="00AB46DF" w:rsidRPr="009451D3" w:rsidRDefault="00D20E3B" w:rsidP="00AB46DF">
      <w:pPr>
        <w:jc w:val="center"/>
        <w:rPr>
          <w:b/>
          <w:sz w:val="24"/>
          <w:lang w:val="en-GB"/>
        </w:rPr>
      </w:pPr>
      <w:r w:rsidRPr="009451D3">
        <w:rPr>
          <w:b/>
          <w:noProof/>
          <w:sz w:val="24"/>
          <w:szCs w:val="20"/>
          <w:lang w:val="fr-FR" w:eastAsia="fr-FR"/>
        </w:rPr>
        <mc:AlternateContent>
          <mc:Choice Requires="wpg">
            <w:drawing>
              <wp:anchor distT="0" distB="0" distL="114300" distR="114300" simplePos="0" relativeHeight="251660800" behindDoc="0" locked="0" layoutInCell="1" allowOverlap="1" wp14:anchorId="6291ED3B" wp14:editId="1346CB1A">
                <wp:simplePos x="0" y="0"/>
                <wp:positionH relativeFrom="column">
                  <wp:posOffset>-720090</wp:posOffset>
                </wp:positionH>
                <wp:positionV relativeFrom="paragraph">
                  <wp:posOffset>69850</wp:posOffset>
                </wp:positionV>
                <wp:extent cx="7564120" cy="8268970"/>
                <wp:effectExtent l="0" t="76200" r="5080" b="0"/>
                <wp:wrapNone/>
                <wp:docPr id="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8" name="Rectangle 24"/>
                        <wps:cNvSpPr>
                          <a:spLocks noChangeArrowheads="1"/>
                        </wps:cNvSpPr>
                        <wps:spPr bwMode="auto">
                          <a:xfrm>
                            <a:off x="6" y="15439"/>
                            <a:ext cx="11906" cy="283"/>
                          </a:xfrm>
                          <a:prstGeom prst="rect">
                            <a:avLst/>
                          </a:prstGeom>
                          <a:solidFill>
                            <a:srgbClr val="82828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9" name="Text Box 25"/>
                        <wps:cNvSpPr txBox="1">
                          <a:spLocks noChangeArrowheads="1"/>
                        </wps:cNvSpPr>
                        <wps:spPr bwMode="auto">
                          <a:xfrm>
                            <a:off x="0" y="2700"/>
                            <a:ext cx="11906" cy="2564"/>
                          </a:xfrm>
                          <a:prstGeom prst="rect">
                            <a:avLst/>
                          </a:prstGeom>
                          <a:solidFill>
                            <a:srgbClr val="82828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719B6E" w14:textId="2CAF88AC" w:rsidR="00216BE1" w:rsidRPr="00FE1795" w:rsidRDefault="00216BE1" w:rsidP="00AB46DF">
                              <w:pPr>
                                <w:rPr>
                                  <w:color w:val="57433E"/>
                                  <w:sz w:val="68"/>
                                </w:rPr>
                              </w:pPr>
                              <w:r w:rsidRPr="00FE1795">
                                <w:rPr>
                                  <w:color w:val="FFFFFF"/>
                                  <w:sz w:val="68"/>
                                </w:rPr>
                                <w:t xml:space="preserve">CEPT Report </w:t>
                              </w:r>
                              <w:r w:rsidR="00731998">
                                <w:rPr>
                                  <w:color w:val="D2232A"/>
                                  <w:sz w:val="68"/>
                                </w:rPr>
                                <w:t>78</w:t>
                              </w:r>
                            </w:p>
                          </w:txbxContent>
                        </wps:txbx>
                        <wps:bodyPr rot="0" vert="horz" wrap="square" lIns="2880000" tIns="540000" rIns="72000" bIns="45720" anchor="t" anchorCtr="0" upright="1">
                          <a:noAutofit/>
                        </wps:bodyPr>
                      </wps:wsp>
                      <wpg:grpSp>
                        <wpg:cNvPr id="10" name="Group 36"/>
                        <wpg:cNvGrpSpPr>
                          <a:grpSpLocks/>
                        </wpg:cNvGrpSpPr>
                        <wpg:grpSpPr bwMode="auto">
                          <a:xfrm>
                            <a:off x="1304" y="2744"/>
                            <a:ext cx="2683" cy="2464"/>
                            <a:chOff x="1304" y="2744"/>
                            <a:chExt cx="2683" cy="2464"/>
                          </a:xfrm>
                        </wpg:grpSpPr>
                        <wps:wsp>
                          <wps:cNvPr id="11" name="Line 30"/>
                          <wps:cNvCnPr/>
                          <wps:spPr bwMode="auto">
                            <a:xfrm rot="2700000">
                              <a:off x="2138"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2" name="Line 31"/>
                          <wps:cNvCnPr/>
                          <wps:spPr bwMode="auto">
                            <a:xfrm rot="2700000" flipH="1">
                              <a:off x="1447"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3" name="Line 32"/>
                          <wps:cNvCnPr/>
                          <wps:spPr bwMode="auto">
                            <a:xfrm rot="2700000" flipH="1">
                              <a:off x="3225" y="3653"/>
                              <a:ext cx="1" cy="1555"/>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4" name="Line 33"/>
                          <wps:cNvCnPr/>
                          <wps:spPr bwMode="auto">
                            <a:xfrm rot="2700000" flipH="1">
                              <a:off x="2439" y="3520"/>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5" name="Line 34"/>
                          <wps:cNvCnPr/>
                          <wps:spPr bwMode="auto">
                            <a:xfrm>
                              <a:off x="2670" y="2744"/>
                              <a:ext cx="1" cy="2340"/>
                            </a:xfrm>
                            <a:prstGeom prst="line">
                              <a:avLst/>
                            </a:prstGeom>
                            <a:noFill/>
                            <a:ln w="196850">
                              <a:solidFill>
                                <a:srgbClr val="828282"/>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6291ED3B" id="Group 37" o:spid="_x0000_s1026" style="position:absolute;left:0;text-align:left;margin-left:-56.7pt;margin-top:5.5pt;width:595.6pt;height:651.1pt;z-index:251660800"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">
                <v:rect id="Rectangle 24" o:spid="_x0000_s1027" style="position:absolute;left:6;top:15439;width:1190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" fillcolor="#828282" stroked="f">
                  <v:textbox inset=",15mm,2mm"/>
                </v:rect>
                <v:shapetype id="_x0000_t202" coordsize="21600,21600" o:spt="202" path="m,l,21600r21600,l21600,xe">
                  <v:stroke joinstyle="miter"/>
                  <v:path gradientshapeok="t" o:connecttype="rect"/>
                </v:shapetype>
                <v:shape id="Text Box 25" o:spid="_x0000_s1028" type="#_x0000_t202" style="position:absolute;top:2700;width:11906;height:2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" fillcolor="#828282" stroked="f">
                  <v:textbox inset="80mm,15mm,2mm">
                    <w:txbxContent>
                      <w:p w14:paraId="59719B6E" w14:textId="2CAF88AC" w:rsidR="00216BE1" w:rsidRPr="00FE1795" w:rsidRDefault="00216BE1" w:rsidP="00AB46DF">
                        <w:pPr>
                          <w:rPr>
                            <w:color w:val="57433E"/>
                            <w:sz w:val="68"/>
                          </w:rPr>
                        </w:pPr>
                        <w:r w:rsidRPr="00FE1795">
                          <w:rPr>
                            <w:color w:val="FFFFFF"/>
                            <w:sz w:val="68"/>
                          </w:rPr>
                          <w:t xml:space="preserve">CEPT Report </w:t>
                        </w:r>
                        <w:r w:rsidR="00731998">
                          <w:rPr>
                            <w:color w:val="D2232A"/>
                            <w:sz w:val="68"/>
                          </w:rPr>
                          <w:t>78</w:t>
                        </w:r>
                      </w:p>
                    </w:txbxContent>
                  </v:textbox>
                </v:shape>
                <v:group id="Group 36" o:spid="_x0000_s1029" style="position:absolute;left:1304;top:2744;width:2683;height:2464" coordorigin="1304,2744" coordsize="2683,2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line id="Line 30" o:spid="_x0000_s1030" style="position:absolute;rotation:45;visibility:visible;mso-wrap-style:square" from="2138,2646" to="2152,4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" strokecolor="#d2232a" strokeweight="15pt"/>
                  <v:line id="Line 31" o:spid="_x0000_s1031" style="position:absolute;rotation:-45;flip:x;visibility:visible;mso-wrap-style:square" from="1447,4478" to="2878,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" strokecolor="#d2232a" strokeweight="15pt"/>
                  <v:line id="Line 32" o:spid="_x0000_s1032" style="position:absolute;rotation:-45;flip:x;visibility:visible;mso-wrap-style:square" from="3225,3653" to="3226,5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" strokecolor="white" strokeweight="15pt"/>
                  <v:line id="Line 33" o:spid="_x0000_s1033" style="position:absolute;rotation:-45;flip:x;visibility:visible;mso-wrap-style:square" from="2439,3520" to="3987,3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" strokecolor="white" strokeweight="15pt"/>
                  <v:line id="Line 34" o:spid="_x0000_s1034" style="position:absolute;visibility:visible;mso-wrap-style:square" from="2670,2744" to="2671,5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" strokecolor="#828282" strokeweight="15.5pt"/>
                </v:group>
              </v:group>
            </w:pict>
          </mc:Fallback>
        </mc:AlternateContent>
      </w:r>
    </w:p>
    <w:p w14:paraId="038DD716" w14:textId="77777777" w:rsidR="00AB46DF" w:rsidRPr="009451D3" w:rsidRDefault="00AB46DF" w:rsidP="00AB46DF">
      <w:pPr>
        <w:jc w:val="center"/>
        <w:rPr>
          <w:b/>
          <w:sz w:val="24"/>
          <w:lang w:val="en-GB"/>
        </w:rPr>
      </w:pPr>
    </w:p>
    <w:p w14:paraId="7381167E" w14:textId="77777777" w:rsidR="00AB46DF" w:rsidRPr="009451D3" w:rsidRDefault="00AB46DF" w:rsidP="00AB46DF">
      <w:pPr>
        <w:jc w:val="center"/>
        <w:rPr>
          <w:b/>
          <w:sz w:val="24"/>
          <w:lang w:val="en-GB"/>
        </w:rPr>
      </w:pPr>
    </w:p>
    <w:p w14:paraId="3A48E61F" w14:textId="77777777" w:rsidR="00AB46DF" w:rsidRPr="009451D3" w:rsidRDefault="00AB46DF" w:rsidP="00AB46DF">
      <w:pPr>
        <w:jc w:val="center"/>
        <w:rPr>
          <w:b/>
          <w:sz w:val="24"/>
          <w:lang w:val="en-GB"/>
        </w:rPr>
      </w:pPr>
    </w:p>
    <w:p w14:paraId="19B100F7" w14:textId="77777777" w:rsidR="00AB46DF" w:rsidRPr="009451D3" w:rsidRDefault="00AB46DF" w:rsidP="00AB46DF">
      <w:pPr>
        <w:jc w:val="center"/>
        <w:rPr>
          <w:b/>
          <w:sz w:val="24"/>
          <w:lang w:val="en-GB"/>
        </w:rPr>
      </w:pPr>
    </w:p>
    <w:p w14:paraId="367EC512" w14:textId="77777777" w:rsidR="00AB46DF" w:rsidRPr="009451D3" w:rsidRDefault="00AB46DF" w:rsidP="00AB46DF">
      <w:pPr>
        <w:jc w:val="center"/>
        <w:rPr>
          <w:b/>
          <w:sz w:val="24"/>
          <w:lang w:val="en-GB"/>
        </w:rPr>
      </w:pPr>
    </w:p>
    <w:p w14:paraId="385B0600" w14:textId="77777777" w:rsidR="00AB46DF" w:rsidRPr="009451D3" w:rsidRDefault="00AB46DF" w:rsidP="00AB46DF">
      <w:pPr>
        <w:jc w:val="center"/>
        <w:rPr>
          <w:b/>
          <w:sz w:val="24"/>
          <w:lang w:val="en-GB"/>
        </w:rPr>
      </w:pPr>
    </w:p>
    <w:p w14:paraId="17020C43" w14:textId="77777777" w:rsidR="00AB46DF" w:rsidRPr="009451D3" w:rsidRDefault="00AB46DF" w:rsidP="00AB46DF">
      <w:pPr>
        <w:jc w:val="center"/>
        <w:rPr>
          <w:b/>
          <w:sz w:val="24"/>
          <w:lang w:val="en-GB"/>
        </w:rPr>
      </w:pPr>
    </w:p>
    <w:p w14:paraId="449D2D26" w14:textId="77777777" w:rsidR="00AB46DF" w:rsidRPr="009451D3" w:rsidRDefault="00AB46DF" w:rsidP="00AB46DF">
      <w:pPr>
        <w:jc w:val="center"/>
        <w:rPr>
          <w:b/>
          <w:sz w:val="24"/>
          <w:lang w:val="en-GB"/>
        </w:rPr>
      </w:pPr>
    </w:p>
    <w:p w14:paraId="5CD9D73B" w14:textId="77777777" w:rsidR="00AB46DF" w:rsidRPr="009451D3" w:rsidRDefault="00AB46DF" w:rsidP="00AB46DF">
      <w:pPr>
        <w:jc w:val="center"/>
        <w:rPr>
          <w:b/>
          <w:sz w:val="24"/>
          <w:lang w:val="en-GB"/>
        </w:rPr>
      </w:pPr>
    </w:p>
    <w:p w14:paraId="2C22D6C4" w14:textId="77777777" w:rsidR="00AB46DF" w:rsidRPr="009451D3" w:rsidRDefault="00AB46DF" w:rsidP="00AB46DF">
      <w:pPr>
        <w:jc w:val="center"/>
        <w:rPr>
          <w:b/>
          <w:sz w:val="24"/>
          <w:lang w:val="en-GB"/>
        </w:rPr>
      </w:pPr>
    </w:p>
    <w:p w14:paraId="4F95D8FF" w14:textId="77777777" w:rsidR="00AB46DF" w:rsidRPr="009451D3" w:rsidRDefault="00AB46DF" w:rsidP="00AB46DF">
      <w:pPr>
        <w:rPr>
          <w:b/>
          <w:sz w:val="24"/>
          <w:lang w:val="en-GB"/>
        </w:rPr>
      </w:pPr>
    </w:p>
    <w:p w14:paraId="42B28687" w14:textId="77777777" w:rsidR="00AB46DF" w:rsidRPr="009451D3" w:rsidRDefault="00AB46DF" w:rsidP="00AB46DF">
      <w:pPr>
        <w:jc w:val="center"/>
        <w:rPr>
          <w:b/>
          <w:sz w:val="24"/>
          <w:lang w:val="en-GB"/>
        </w:rPr>
      </w:pPr>
    </w:p>
    <w:p w14:paraId="55DFC55B" w14:textId="1460D799" w:rsidR="00AB46DF" w:rsidRPr="009451D3" w:rsidRDefault="00126769" w:rsidP="00AB46DF">
      <w:pPr>
        <w:pStyle w:val="Reporttitledescription"/>
        <w:rPr>
          <w:lang w:val="en-GB"/>
        </w:rPr>
      </w:pPr>
      <w:r w:rsidRPr="00A513A2">
        <w:rPr>
          <w:lang w:val="en-GB"/>
        </w:rPr>
        <w:t xml:space="preserve">Report from CEPT to the European Commission in response to the Mandate (Task 3, 66-71 GHz) </w:t>
      </w:r>
      <w:r w:rsidR="002855CE" w:rsidRPr="00CC7E99">
        <w:rPr>
          <w:lang w:val="en-GB"/>
        </w:rPr>
        <w:t>t</w:t>
      </w:r>
      <w:r w:rsidRPr="00A513A2">
        <w:rPr>
          <w:lang w:val="en-GB"/>
        </w:rPr>
        <w:t xml:space="preserve">o develop </w:t>
      </w:r>
      <w:r w:rsidR="002855CE" w:rsidRPr="00A513A2">
        <w:rPr>
          <w:lang w:val="en-GB"/>
        </w:rPr>
        <w:t>l</w:t>
      </w:r>
      <w:r w:rsidRPr="00A513A2">
        <w:rPr>
          <w:lang w:val="en-GB"/>
        </w:rPr>
        <w:t xml:space="preserve">east </w:t>
      </w:r>
      <w:r w:rsidR="002855CE" w:rsidRPr="00A513A2">
        <w:rPr>
          <w:lang w:val="en-GB"/>
        </w:rPr>
        <w:t>r</w:t>
      </w:r>
      <w:r w:rsidRPr="00A513A2">
        <w:rPr>
          <w:lang w:val="en-GB"/>
        </w:rPr>
        <w:t xml:space="preserve">estrictive </w:t>
      </w:r>
      <w:r w:rsidR="002855CE" w:rsidRPr="00A513A2">
        <w:rPr>
          <w:lang w:val="en-GB"/>
        </w:rPr>
        <w:t>h</w:t>
      </w:r>
      <w:r w:rsidRPr="00A513A2">
        <w:rPr>
          <w:lang w:val="en-GB"/>
        </w:rPr>
        <w:t xml:space="preserve">armonised </w:t>
      </w:r>
      <w:r w:rsidR="002855CE" w:rsidRPr="00A513A2">
        <w:rPr>
          <w:lang w:val="en-GB"/>
        </w:rPr>
        <w:t>t</w:t>
      </w:r>
      <w:r w:rsidRPr="00A513A2">
        <w:rPr>
          <w:lang w:val="en-GB"/>
        </w:rPr>
        <w:t xml:space="preserve">echnical </w:t>
      </w:r>
      <w:r w:rsidR="002855CE" w:rsidRPr="00A513A2">
        <w:rPr>
          <w:lang w:val="en-GB"/>
        </w:rPr>
        <w:t>c</w:t>
      </w:r>
      <w:r w:rsidRPr="00A513A2">
        <w:rPr>
          <w:lang w:val="en-GB"/>
        </w:rPr>
        <w:t xml:space="preserve">onditions suitable for Next-Generation (5G) Terrestrial Wireless Systems for priority </w:t>
      </w:r>
      <w:r w:rsidR="002855CE" w:rsidRPr="00A513A2">
        <w:rPr>
          <w:lang w:val="en-GB"/>
        </w:rPr>
        <w:t>f</w:t>
      </w:r>
      <w:r w:rsidRPr="00A513A2">
        <w:rPr>
          <w:lang w:val="en-GB"/>
        </w:rPr>
        <w:t xml:space="preserve">requency </w:t>
      </w:r>
      <w:r w:rsidR="002855CE" w:rsidRPr="00A513A2">
        <w:rPr>
          <w:lang w:val="en-GB"/>
        </w:rPr>
        <w:t>b</w:t>
      </w:r>
      <w:r w:rsidRPr="00A513A2">
        <w:rPr>
          <w:lang w:val="en-GB"/>
        </w:rPr>
        <w:t>ands above 24 GHz</w:t>
      </w:r>
    </w:p>
    <w:p w14:paraId="78E8F0B4" w14:textId="67F27A4C" w:rsidR="00AB46DF" w:rsidRPr="009451D3" w:rsidRDefault="007723C8" w:rsidP="00AB46DF">
      <w:pPr>
        <w:pStyle w:val="Reporttitledescription"/>
        <w:rPr>
          <w:b/>
          <w:sz w:val="18"/>
          <w:lang w:val="en-GB"/>
        </w:rPr>
      </w:pPr>
      <w:r>
        <w:rPr>
          <w:b/>
          <w:sz w:val="18"/>
          <w:lang w:val="en-GB"/>
        </w:rPr>
        <w:fldChar w:fldCharType="begin">
          <w:ffData>
            <w:name w:val="Text8"/>
            <w:enabled/>
            <w:calcOnExit w:val="0"/>
            <w:textInput>
              <w:default w:val="Report approved on 5 March 2021 by the ECC"/>
            </w:textInput>
          </w:ffData>
        </w:fldChar>
      </w:r>
      <w:bookmarkStart w:id="0" w:name="Text8"/>
      <w:r>
        <w:rPr>
          <w:b/>
          <w:sz w:val="18"/>
          <w:lang w:val="en-GB"/>
        </w:rPr>
        <w:instrText xml:space="preserve"> FORMTEXT </w:instrText>
      </w:r>
      <w:r>
        <w:rPr>
          <w:b/>
          <w:sz w:val="18"/>
          <w:lang w:val="en-GB"/>
        </w:rPr>
      </w:r>
      <w:r>
        <w:rPr>
          <w:b/>
          <w:sz w:val="18"/>
          <w:lang w:val="en-GB"/>
        </w:rPr>
        <w:fldChar w:fldCharType="separate"/>
      </w:r>
      <w:r>
        <w:rPr>
          <w:b/>
          <w:noProof/>
          <w:sz w:val="18"/>
          <w:lang w:val="en-GB"/>
        </w:rPr>
        <w:t>Report approved on 5 March 2021 by the ECC</w:t>
      </w:r>
      <w:r>
        <w:rPr>
          <w:b/>
          <w:sz w:val="18"/>
          <w:lang w:val="en-GB"/>
        </w:rPr>
        <w:fldChar w:fldCharType="end"/>
      </w:r>
      <w:bookmarkEnd w:id="0"/>
      <w:r w:rsidR="00512677" w:rsidRPr="009451D3">
        <w:rPr>
          <w:b/>
          <w:sz w:val="18"/>
          <w:lang w:val="en-GB"/>
        </w:rPr>
        <w:tab/>
      </w:r>
    </w:p>
    <w:p w14:paraId="1B671A76" w14:textId="57C9CD76" w:rsidR="00AB46DF" w:rsidRPr="009451D3" w:rsidRDefault="009A1469" w:rsidP="00AB46DF">
      <w:pPr>
        <w:pStyle w:val="Lastupdated"/>
        <w:rPr>
          <w:b/>
          <w:bCs w:val="0"/>
          <w:lang w:val="en-GB"/>
        </w:rPr>
      </w:pPr>
      <w:r w:rsidRPr="009451D3">
        <w:rPr>
          <w:b/>
          <w:bCs w:val="0"/>
          <w:lang w:val="en-GB"/>
        </w:rPr>
        <w:fldChar w:fldCharType="begin">
          <w:ffData>
            <w:name w:val="Text3"/>
            <w:enabled/>
            <w:calcOnExit w:val="0"/>
            <w:textInput/>
          </w:ffData>
        </w:fldChar>
      </w:r>
      <w:bookmarkStart w:id="1" w:name="Text3"/>
      <w:r w:rsidRPr="009451D3">
        <w:rPr>
          <w:b/>
          <w:bCs w:val="0"/>
          <w:lang w:val="en-GB"/>
        </w:rPr>
        <w:instrText xml:space="preserve"> FORMTEXT </w:instrText>
      </w:r>
      <w:r w:rsidRPr="009451D3">
        <w:rPr>
          <w:b/>
          <w:bCs w:val="0"/>
          <w:lang w:val="en-GB"/>
        </w:rPr>
      </w:r>
      <w:r w:rsidRPr="009451D3">
        <w:rPr>
          <w:b/>
          <w:bCs w:val="0"/>
          <w:lang w:val="en-GB"/>
        </w:rPr>
        <w:fldChar w:fldCharType="separate"/>
      </w:r>
      <w:r w:rsidRPr="009451D3">
        <w:rPr>
          <w:b/>
          <w:bCs w:val="0"/>
          <w:lang w:val="en-GB"/>
        </w:rPr>
        <w:t> </w:t>
      </w:r>
      <w:r w:rsidRPr="009451D3">
        <w:rPr>
          <w:b/>
          <w:bCs w:val="0"/>
          <w:lang w:val="en-GB"/>
        </w:rPr>
        <w:t> </w:t>
      </w:r>
      <w:r w:rsidRPr="009451D3">
        <w:rPr>
          <w:b/>
          <w:bCs w:val="0"/>
          <w:lang w:val="en-GB"/>
        </w:rPr>
        <w:t> </w:t>
      </w:r>
      <w:r w:rsidRPr="009451D3">
        <w:rPr>
          <w:b/>
          <w:bCs w:val="0"/>
          <w:lang w:val="en-GB"/>
        </w:rPr>
        <w:t> </w:t>
      </w:r>
      <w:r w:rsidRPr="009451D3">
        <w:rPr>
          <w:b/>
          <w:bCs w:val="0"/>
          <w:lang w:val="en-GB"/>
        </w:rPr>
        <w:t> </w:t>
      </w:r>
      <w:r w:rsidRPr="009451D3">
        <w:rPr>
          <w:b/>
          <w:bCs w:val="0"/>
          <w:lang w:val="en-GB"/>
        </w:rPr>
        <w:fldChar w:fldCharType="end"/>
      </w:r>
      <w:bookmarkEnd w:id="1"/>
    </w:p>
    <w:p w14:paraId="4168AA22" w14:textId="6D23A8B8" w:rsidR="009A1469" w:rsidRPr="009451D3" w:rsidRDefault="009A1469" w:rsidP="00AB46DF">
      <w:pPr>
        <w:pStyle w:val="Lastupdated"/>
        <w:rPr>
          <w:b/>
          <w:lang w:val="en-GB"/>
        </w:rPr>
      </w:pPr>
    </w:p>
    <w:p w14:paraId="1614CDB1" w14:textId="77777777" w:rsidR="009A1469" w:rsidRPr="009451D3" w:rsidRDefault="009A1469" w:rsidP="009A1469">
      <w:pPr>
        <w:rPr>
          <w:lang w:val="en-GB"/>
        </w:rPr>
      </w:pPr>
    </w:p>
    <w:p w14:paraId="3235DC9B" w14:textId="77777777" w:rsidR="009A1469" w:rsidRPr="009451D3" w:rsidRDefault="009A1469" w:rsidP="009A1469">
      <w:pPr>
        <w:pStyle w:val="Reporttitledescription"/>
        <w:rPr>
          <w:b/>
          <w:sz w:val="18"/>
          <w:lang w:val="en-GB"/>
        </w:rPr>
      </w:pPr>
    </w:p>
    <w:p w14:paraId="067D7597" w14:textId="77777777" w:rsidR="009A1469" w:rsidRPr="009451D3" w:rsidRDefault="009A1469" w:rsidP="00AB46DF">
      <w:pPr>
        <w:pStyle w:val="Lastupdated"/>
        <w:rPr>
          <w:b/>
          <w:lang w:val="en-GB"/>
        </w:rPr>
      </w:pPr>
    </w:p>
    <w:p w14:paraId="5D6ED816" w14:textId="77777777" w:rsidR="00AB46DF" w:rsidRPr="009451D3" w:rsidRDefault="00AB46DF">
      <w:pPr>
        <w:rPr>
          <w:lang w:val="en-GB"/>
        </w:rPr>
        <w:sectPr w:rsidR="00AB46DF" w:rsidRPr="009451D3">
          <w:headerReference w:type="even" r:id="rId11"/>
          <w:headerReference w:type="default" r:id="rId12"/>
          <w:headerReference w:type="first" r:id="rId13"/>
          <w:pgSz w:w="11907" w:h="16840" w:code="9"/>
          <w:pgMar w:top="1440" w:right="1134" w:bottom="1440" w:left="1134" w:header="709" w:footer="709" w:gutter="0"/>
          <w:cols w:space="708"/>
          <w:titlePg/>
          <w:docGrid w:linePitch="360"/>
        </w:sectPr>
      </w:pPr>
    </w:p>
    <w:p w14:paraId="0064BF2E" w14:textId="6608DB08" w:rsidR="00AB46DF" w:rsidRPr="009451D3" w:rsidRDefault="003C3EE4" w:rsidP="00AB46DF">
      <w:pPr>
        <w:pStyle w:val="Heading1"/>
      </w:pPr>
      <w:bookmarkStart w:id="2" w:name="_Toc56160824"/>
      <w:r w:rsidRPr="009451D3">
        <w:lastRenderedPageBreak/>
        <w:t>Executive summary</w:t>
      </w:r>
      <w:bookmarkEnd w:id="2"/>
    </w:p>
    <w:p w14:paraId="03B4B914" w14:textId="3BE19372" w:rsidR="00DC162B" w:rsidRPr="006B6617" w:rsidRDefault="00DC162B" w:rsidP="0046701E">
      <w:pPr>
        <w:jc w:val="both"/>
        <w:rPr>
          <w:lang w:val="en-GB"/>
        </w:rPr>
      </w:pPr>
      <w:r w:rsidRPr="006B6617">
        <w:rPr>
          <w:lang w:val="en-GB"/>
        </w:rPr>
        <w:t xml:space="preserve">This </w:t>
      </w:r>
      <w:r w:rsidR="00445E6E" w:rsidRPr="00877ED0">
        <w:rPr>
          <w:lang w:val="en-GB"/>
        </w:rPr>
        <w:t>R</w:t>
      </w:r>
      <w:r w:rsidRPr="006B6617">
        <w:rPr>
          <w:lang w:val="en-GB"/>
        </w:rPr>
        <w:t xml:space="preserve">eport addresses </w:t>
      </w:r>
      <w:r w:rsidR="002855CE" w:rsidRPr="006B6617">
        <w:rPr>
          <w:lang w:val="en-GB"/>
        </w:rPr>
        <w:t>T</w:t>
      </w:r>
      <w:r w:rsidRPr="006B6617">
        <w:rPr>
          <w:lang w:val="en-GB"/>
        </w:rPr>
        <w:t xml:space="preserve">ask 3 of the EC Mandate to CEPT </w:t>
      </w:r>
      <w:r w:rsidR="00CE7911" w:rsidRPr="006B6617">
        <w:rPr>
          <w:lang w:val="en-GB"/>
        </w:rPr>
        <w:t xml:space="preserve">to </w:t>
      </w:r>
      <w:r w:rsidR="002855CE" w:rsidRPr="006B6617">
        <w:rPr>
          <w:lang w:val="en-GB"/>
        </w:rPr>
        <w:t>d</w:t>
      </w:r>
      <w:r w:rsidR="00CE7911" w:rsidRPr="006B6617">
        <w:rPr>
          <w:lang w:val="en-GB"/>
        </w:rPr>
        <w:t xml:space="preserve">evelop </w:t>
      </w:r>
      <w:r w:rsidR="002855CE" w:rsidRPr="006B6617">
        <w:rPr>
          <w:lang w:val="en-GB"/>
        </w:rPr>
        <w:t>l</w:t>
      </w:r>
      <w:r w:rsidR="00CE7911" w:rsidRPr="006B6617">
        <w:rPr>
          <w:lang w:val="en-GB"/>
        </w:rPr>
        <w:t xml:space="preserve">east </w:t>
      </w:r>
      <w:r w:rsidR="002855CE" w:rsidRPr="006B6617">
        <w:rPr>
          <w:lang w:val="en-GB"/>
        </w:rPr>
        <w:t>r</w:t>
      </w:r>
      <w:r w:rsidR="00CE7911" w:rsidRPr="006B6617">
        <w:rPr>
          <w:lang w:val="en-GB"/>
        </w:rPr>
        <w:t xml:space="preserve">estrictive </w:t>
      </w:r>
      <w:r w:rsidR="002855CE" w:rsidRPr="006B6617">
        <w:rPr>
          <w:lang w:val="en-GB"/>
        </w:rPr>
        <w:t>h</w:t>
      </w:r>
      <w:r w:rsidR="00CE7911" w:rsidRPr="006B6617">
        <w:rPr>
          <w:lang w:val="en-GB"/>
        </w:rPr>
        <w:t xml:space="preserve">armonised </w:t>
      </w:r>
      <w:r w:rsidR="002855CE" w:rsidRPr="006B6617">
        <w:rPr>
          <w:lang w:val="en-GB"/>
        </w:rPr>
        <w:t>t</w:t>
      </w:r>
      <w:r w:rsidR="00CE7911" w:rsidRPr="006B6617">
        <w:rPr>
          <w:lang w:val="en-GB"/>
        </w:rPr>
        <w:t xml:space="preserve">echnical </w:t>
      </w:r>
      <w:r w:rsidR="002855CE" w:rsidRPr="006B6617">
        <w:rPr>
          <w:lang w:val="en-GB"/>
        </w:rPr>
        <w:t>c</w:t>
      </w:r>
      <w:r w:rsidR="00CE7911" w:rsidRPr="006B6617">
        <w:rPr>
          <w:lang w:val="en-GB"/>
        </w:rPr>
        <w:t xml:space="preserve">onditions </w:t>
      </w:r>
      <w:r w:rsidR="00606E29" w:rsidRPr="006B6617">
        <w:rPr>
          <w:lang w:val="en-GB"/>
        </w:rPr>
        <w:t>s</w:t>
      </w:r>
      <w:r w:rsidR="00CE7911" w:rsidRPr="006B6617">
        <w:rPr>
          <w:lang w:val="en-GB"/>
        </w:rPr>
        <w:t xml:space="preserve">uitable </w:t>
      </w:r>
      <w:r w:rsidR="00273FFF" w:rsidRPr="006B6617">
        <w:rPr>
          <w:lang w:val="en-GB"/>
        </w:rPr>
        <w:t>f</w:t>
      </w:r>
      <w:r w:rsidR="00CE7911" w:rsidRPr="006B6617">
        <w:rPr>
          <w:lang w:val="en-GB"/>
        </w:rPr>
        <w:t xml:space="preserve">or Next-Generation (5G) Terrestrial Wireless Systems </w:t>
      </w:r>
      <w:r w:rsidR="00606E29" w:rsidRPr="006B6617">
        <w:rPr>
          <w:lang w:val="en-GB"/>
        </w:rPr>
        <w:t>f</w:t>
      </w:r>
      <w:r w:rsidR="00CE7911" w:rsidRPr="006B6617">
        <w:rPr>
          <w:lang w:val="en-GB"/>
        </w:rPr>
        <w:t xml:space="preserve">or </w:t>
      </w:r>
      <w:r w:rsidR="00606E29" w:rsidRPr="006B6617">
        <w:rPr>
          <w:lang w:val="en-GB"/>
        </w:rPr>
        <w:t>p</w:t>
      </w:r>
      <w:r w:rsidR="00CE7911" w:rsidRPr="006B6617">
        <w:rPr>
          <w:lang w:val="en-GB"/>
        </w:rPr>
        <w:t xml:space="preserve">riority </w:t>
      </w:r>
      <w:r w:rsidR="002855CE" w:rsidRPr="006B6617">
        <w:rPr>
          <w:lang w:val="en-GB"/>
        </w:rPr>
        <w:t>f</w:t>
      </w:r>
      <w:r w:rsidR="00CE7911" w:rsidRPr="006B6617">
        <w:rPr>
          <w:lang w:val="en-GB"/>
        </w:rPr>
        <w:t xml:space="preserve">requency </w:t>
      </w:r>
      <w:r w:rsidR="002855CE" w:rsidRPr="006B6617">
        <w:rPr>
          <w:lang w:val="en-GB"/>
        </w:rPr>
        <w:t>b</w:t>
      </w:r>
      <w:r w:rsidR="00CE7911" w:rsidRPr="006B6617">
        <w:rPr>
          <w:lang w:val="en-GB"/>
        </w:rPr>
        <w:t xml:space="preserve">ands </w:t>
      </w:r>
      <w:r w:rsidR="00606E29" w:rsidRPr="006B6617">
        <w:rPr>
          <w:lang w:val="en-GB"/>
        </w:rPr>
        <w:t>a</w:t>
      </w:r>
      <w:r w:rsidR="00CE7911" w:rsidRPr="006B6617">
        <w:rPr>
          <w:lang w:val="en-GB"/>
        </w:rPr>
        <w:t>bove 24 GHz</w:t>
      </w:r>
      <w:r w:rsidR="00445E6E" w:rsidRPr="006B6617">
        <w:rPr>
          <w:lang w:val="en-GB"/>
        </w:rPr>
        <w:t>.</w:t>
      </w:r>
    </w:p>
    <w:p w14:paraId="1F47C6C5" w14:textId="77777777" w:rsidR="00DC162B" w:rsidRPr="006B6617" w:rsidRDefault="00DC162B" w:rsidP="0046701E">
      <w:pPr>
        <w:jc w:val="both"/>
        <w:rPr>
          <w:lang w:val="en-GB"/>
        </w:rPr>
      </w:pPr>
    </w:p>
    <w:p w14:paraId="044320FB" w14:textId="0C65EF36" w:rsidR="003C3644" w:rsidRPr="006B6617" w:rsidRDefault="00DB0A3D" w:rsidP="007C4543">
      <w:pPr>
        <w:jc w:val="both"/>
        <w:rPr>
          <w:lang w:val="en-GB"/>
        </w:rPr>
      </w:pPr>
      <w:r w:rsidRPr="006B6617">
        <w:rPr>
          <w:lang w:val="en-GB"/>
        </w:rPr>
        <w:t>T</w:t>
      </w:r>
      <w:r w:rsidR="0046701E" w:rsidRPr="006B6617">
        <w:rPr>
          <w:lang w:val="en-GB"/>
        </w:rPr>
        <w:t xml:space="preserve">he existing technical conditions contained in both </w:t>
      </w:r>
      <w:r w:rsidR="00786E61" w:rsidRPr="006B6617">
        <w:rPr>
          <w:lang w:val="en-GB"/>
        </w:rPr>
        <w:t xml:space="preserve">EC Decision for SRD </w:t>
      </w:r>
      <w:r w:rsidR="0046701E" w:rsidRPr="006B6617">
        <w:rPr>
          <w:lang w:val="en-GB"/>
        </w:rPr>
        <w:t xml:space="preserve">(EU) 2019/1345 </w:t>
      </w:r>
      <w:r w:rsidR="00266A05" w:rsidRPr="00877ED0">
        <w:rPr>
          <w:lang w:val="en-GB"/>
        </w:rPr>
        <w:fldChar w:fldCharType="begin"/>
      </w:r>
      <w:r w:rsidR="00266A05" w:rsidRPr="006B6617">
        <w:rPr>
          <w:lang w:val="en-GB"/>
        </w:rPr>
        <w:instrText xml:space="preserve"> REF _Ref56440048 \r \h </w:instrText>
      </w:r>
      <w:r w:rsidR="00C446F7" w:rsidRPr="004D24B8">
        <w:rPr>
          <w:lang w:val="en-GB"/>
        </w:rPr>
        <w:instrText xml:space="preserve"> \* MERGEFORMAT </w:instrText>
      </w:r>
      <w:r w:rsidR="00266A05" w:rsidRPr="00877ED0">
        <w:rPr>
          <w:lang w:val="en-GB"/>
        </w:rPr>
      </w:r>
      <w:r w:rsidR="00266A05" w:rsidRPr="00877ED0">
        <w:rPr>
          <w:lang w:val="en-GB"/>
        </w:rPr>
        <w:fldChar w:fldCharType="separate"/>
      </w:r>
      <w:r w:rsidR="00266A05" w:rsidRPr="00877ED0">
        <w:rPr>
          <w:lang w:val="en-GB"/>
        </w:rPr>
        <w:t>[1]</w:t>
      </w:r>
      <w:r w:rsidR="00266A05" w:rsidRPr="00877ED0">
        <w:rPr>
          <w:lang w:val="en-GB"/>
        </w:rPr>
        <w:fldChar w:fldCharType="end"/>
      </w:r>
      <w:r w:rsidR="00266A05" w:rsidRPr="006B6617">
        <w:rPr>
          <w:lang w:val="en-GB"/>
        </w:rPr>
        <w:t xml:space="preserve"> </w:t>
      </w:r>
      <w:r w:rsidR="0046701E" w:rsidRPr="00877ED0">
        <w:rPr>
          <w:lang w:val="en-GB"/>
        </w:rPr>
        <w:t xml:space="preserve">and ERC Recommendation 70-03 </w:t>
      </w:r>
      <w:r w:rsidR="00266A05" w:rsidRPr="00877ED0">
        <w:rPr>
          <w:lang w:val="en-GB"/>
        </w:rPr>
        <w:fldChar w:fldCharType="begin"/>
      </w:r>
      <w:r w:rsidR="00266A05" w:rsidRPr="006B6617">
        <w:rPr>
          <w:lang w:val="en-GB"/>
        </w:rPr>
        <w:instrText xml:space="preserve"> REF _Ref56440058 \r \h </w:instrText>
      </w:r>
      <w:r w:rsidR="00C446F7" w:rsidRPr="004D24B8">
        <w:rPr>
          <w:lang w:val="en-GB"/>
        </w:rPr>
        <w:instrText xml:space="preserve"> \* MERGEFORMAT </w:instrText>
      </w:r>
      <w:r w:rsidR="00266A05" w:rsidRPr="00877ED0">
        <w:rPr>
          <w:lang w:val="en-GB"/>
        </w:rPr>
      </w:r>
      <w:r w:rsidR="00266A05" w:rsidRPr="00877ED0">
        <w:rPr>
          <w:lang w:val="en-GB"/>
        </w:rPr>
        <w:fldChar w:fldCharType="separate"/>
      </w:r>
      <w:r w:rsidR="00266A05" w:rsidRPr="00877ED0">
        <w:rPr>
          <w:lang w:val="en-GB"/>
        </w:rPr>
        <w:t>[2]</w:t>
      </w:r>
      <w:r w:rsidR="00266A05" w:rsidRPr="00877ED0">
        <w:rPr>
          <w:lang w:val="en-GB"/>
        </w:rPr>
        <w:fldChar w:fldCharType="end"/>
      </w:r>
      <w:r w:rsidR="00266A05" w:rsidRPr="006B6617">
        <w:rPr>
          <w:lang w:val="en-GB"/>
        </w:rPr>
        <w:t xml:space="preserve"> </w:t>
      </w:r>
      <w:r w:rsidR="0046701E" w:rsidRPr="00877ED0">
        <w:rPr>
          <w:lang w:val="en-GB"/>
        </w:rPr>
        <w:t xml:space="preserve">allow </w:t>
      </w:r>
      <w:r w:rsidR="0046701E" w:rsidRPr="006B6617">
        <w:rPr>
          <w:lang w:val="en-GB"/>
        </w:rPr>
        <w:t>next generation (5G) wireless broadband electronic communication services</w:t>
      </w:r>
      <w:r w:rsidR="00C72E3A" w:rsidRPr="006B6617">
        <w:rPr>
          <w:lang w:val="en-GB"/>
        </w:rPr>
        <w:t xml:space="preserve"> to hav</w:t>
      </w:r>
      <w:r w:rsidR="00C446F7" w:rsidRPr="006B6617">
        <w:rPr>
          <w:lang w:val="en-GB"/>
        </w:rPr>
        <w:t>e access to</w:t>
      </w:r>
      <w:r w:rsidR="00C72E3A" w:rsidRPr="006B6617">
        <w:rPr>
          <w:lang w:val="en-GB"/>
        </w:rPr>
        <w:t xml:space="preserve"> the 66-71 GHz frequency band</w:t>
      </w:r>
      <w:r w:rsidR="00283A86">
        <w:rPr>
          <w:lang w:val="en-GB"/>
        </w:rPr>
        <w:t>.</w:t>
      </w:r>
    </w:p>
    <w:p w14:paraId="09D6613E" w14:textId="4B313F27" w:rsidR="00022A2F" w:rsidRPr="006B6617" w:rsidRDefault="00022A2F" w:rsidP="007C4543">
      <w:pPr>
        <w:jc w:val="both"/>
        <w:rPr>
          <w:lang w:val="en-GB"/>
        </w:rPr>
      </w:pPr>
    </w:p>
    <w:p w14:paraId="1FCC10A6" w14:textId="58D99242" w:rsidR="00022A2F" w:rsidRDefault="00DB0A3D" w:rsidP="007C4543">
      <w:pPr>
        <w:jc w:val="both"/>
        <w:rPr>
          <w:lang w:val="en-GB"/>
        </w:rPr>
      </w:pPr>
      <w:r w:rsidRPr="009451D3">
        <w:rPr>
          <w:lang w:val="en-GB"/>
        </w:rPr>
        <w:t>T</w:t>
      </w:r>
      <w:r w:rsidR="0046701E" w:rsidRPr="009451D3">
        <w:rPr>
          <w:lang w:val="en-GB"/>
        </w:rPr>
        <w:t xml:space="preserve">he current regulations have been developed </w:t>
      </w:r>
      <w:r w:rsidR="00662D80">
        <w:rPr>
          <w:lang w:val="en-GB"/>
        </w:rPr>
        <w:t>recognising</w:t>
      </w:r>
      <w:r w:rsidR="0046701E" w:rsidRPr="009451D3">
        <w:rPr>
          <w:lang w:val="en-GB"/>
        </w:rPr>
        <w:t xml:space="preserve"> the CEPT Roadmap for 5G</w:t>
      </w:r>
      <w:r w:rsidR="0057711C" w:rsidRPr="009451D3">
        <w:rPr>
          <w:lang w:val="en-GB"/>
        </w:rPr>
        <w:t xml:space="preserve"> </w:t>
      </w:r>
      <w:r w:rsidR="0057711C" w:rsidRPr="009451D3">
        <w:rPr>
          <w:lang w:val="en-GB"/>
        </w:rPr>
        <w:fldChar w:fldCharType="begin"/>
      </w:r>
      <w:r w:rsidR="0057711C" w:rsidRPr="009451D3">
        <w:rPr>
          <w:lang w:val="en-GB"/>
        </w:rPr>
        <w:instrText xml:space="preserve"> REF _Ref56440286 \r \h </w:instrText>
      </w:r>
      <w:r w:rsidR="0057711C" w:rsidRPr="009451D3">
        <w:rPr>
          <w:lang w:val="en-GB"/>
        </w:rPr>
      </w:r>
      <w:r w:rsidR="0057711C" w:rsidRPr="009451D3">
        <w:rPr>
          <w:lang w:val="en-GB"/>
        </w:rPr>
        <w:fldChar w:fldCharType="separate"/>
      </w:r>
      <w:r w:rsidR="003E7DB3">
        <w:rPr>
          <w:lang w:val="en-GB"/>
        </w:rPr>
        <w:t>[3]</w:t>
      </w:r>
      <w:r w:rsidR="0057711C" w:rsidRPr="009451D3">
        <w:rPr>
          <w:lang w:val="en-GB"/>
        </w:rPr>
        <w:fldChar w:fldCharType="end"/>
      </w:r>
      <w:r w:rsidR="0046701E" w:rsidRPr="009451D3">
        <w:rPr>
          <w:lang w:val="en-GB"/>
        </w:rPr>
        <w:t xml:space="preserve"> </w:t>
      </w:r>
      <w:r w:rsidRPr="009451D3">
        <w:rPr>
          <w:lang w:val="en-GB"/>
        </w:rPr>
        <w:t>with</w:t>
      </w:r>
      <w:r w:rsidR="0046701E" w:rsidRPr="009451D3">
        <w:rPr>
          <w:lang w:val="en-GB"/>
        </w:rPr>
        <w:t xml:space="preserve"> the assumptions that 5G services in this band would operate under the current general authorisation framework and would implement the appropriate technical conditions to co-exist with other </w:t>
      </w:r>
      <w:r w:rsidR="009C0B47">
        <w:rPr>
          <w:lang w:val="en-GB"/>
        </w:rPr>
        <w:t xml:space="preserve">usage </w:t>
      </w:r>
      <w:r w:rsidR="003833A4">
        <w:rPr>
          <w:lang w:val="en-GB"/>
        </w:rPr>
        <w:t xml:space="preserve">in </w:t>
      </w:r>
      <w:r w:rsidR="0046701E" w:rsidRPr="009451D3">
        <w:rPr>
          <w:lang w:val="en-GB"/>
        </w:rPr>
        <w:t xml:space="preserve">the band including current </w:t>
      </w:r>
      <w:r w:rsidR="00BA1D7F" w:rsidRPr="009451D3">
        <w:rPr>
          <w:lang w:val="en-GB"/>
        </w:rPr>
        <w:t>Fixed and mobile Wideband technologies operating under the current regulations.</w:t>
      </w:r>
    </w:p>
    <w:p w14:paraId="1FBF06E0" w14:textId="77777777" w:rsidR="00022A2F" w:rsidRDefault="00022A2F" w:rsidP="007C4543">
      <w:pPr>
        <w:jc w:val="both"/>
        <w:rPr>
          <w:lang w:val="en-GB"/>
        </w:rPr>
      </w:pPr>
    </w:p>
    <w:p w14:paraId="41A93161" w14:textId="56D2969F" w:rsidR="00AB46DF" w:rsidRPr="009451D3" w:rsidRDefault="003C3EE4" w:rsidP="0046701E">
      <w:pPr>
        <w:pStyle w:val="ECCParagraph"/>
      </w:pPr>
      <w:r w:rsidRPr="009451D3">
        <w:br w:type="page"/>
      </w:r>
    </w:p>
    <w:p w14:paraId="12D822F8" w14:textId="77777777" w:rsidR="00AB46DF" w:rsidRPr="009451D3" w:rsidRDefault="00D20E3B" w:rsidP="00AB46DF">
      <w:pPr>
        <w:rPr>
          <w:b/>
          <w:color w:val="FFFFFF"/>
          <w:lang w:val="en-GB"/>
        </w:rPr>
      </w:pPr>
      <w:r w:rsidRPr="009451D3">
        <w:rPr>
          <w:b/>
          <w:noProof/>
          <w:color w:val="FFFFFF"/>
          <w:szCs w:val="20"/>
          <w:lang w:val="fr-FR" w:eastAsia="fr-FR"/>
        </w:rPr>
        <w:lastRenderedPageBreak/>
        <mc:AlternateContent>
          <mc:Choice Requires="wps">
            <w:drawing>
              <wp:anchor distT="0" distB="0" distL="114300" distR="114300" simplePos="0" relativeHeight="251655680" behindDoc="1" locked="0" layoutInCell="1" allowOverlap="1" wp14:anchorId="1DEA4FAE" wp14:editId="40FF98A2">
                <wp:simplePos x="0" y="0"/>
                <wp:positionH relativeFrom="page">
                  <wp:posOffset>0</wp:posOffset>
                </wp:positionH>
                <wp:positionV relativeFrom="page">
                  <wp:posOffset>900430</wp:posOffset>
                </wp:positionV>
                <wp:extent cx="7560310" cy="720090"/>
                <wp:effectExtent l="0" t="0" r="0" b="508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3876B1" id="Rectangle 21" o:spid="_x0000_s1026" style="position:absolute;margin-left:0;margin-top:70.9pt;width:595.3pt;height:56.7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" fillcolor="#b0a696" stroked="f">
                <w10:wrap anchorx="page" anchory="page"/>
              </v:rect>
            </w:pict>
          </mc:Fallback>
        </mc:AlternateContent>
      </w:r>
    </w:p>
    <w:p w14:paraId="08C23793" w14:textId="77777777" w:rsidR="00D20E3B" w:rsidRPr="009451D3" w:rsidRDefault="00D20E3B" w:rsidP="00AB46DF">
      <w:pPr>
        <w:rPr>
          <w:b/>
          <w:color w:val="FFFFFF"/>
          <w:szCs w:val="20"/>
          <w:lang w:val="en-GB"/>
        </w:rPr>
      </w:pPr>
    </w:p>
    <w:p w14:paraId="1DDAADB7" w14:textId="77777777" w:rsidR="00AB46DF" w:rsidRPr="009451D3" w:rsidRDefault="002209A7" w:rsidP="00AB46DF">
      <w:pPr>
        <w:rPr>
          <w:b/>
          <w:color w:val="FFFFFF"/>
          <w:szCs w:val="20"/>
          <w:lang w:val="en-GB"/>
        </w:rPr>
      </w:pPr>
      <w:r w:rsidRPr="009451D3">
        <w:rPr>
          <w:b/>
          <w:color w:val="FFFFFF"/>
          <w:szCs w:val="20"/>
          <w:lang w:val="en-GB"/>
        </w:rPr>
        <w:t>TABLE OF CONTENTS</w:t>
      </w:r>
    </w:p>
    <w:p w14:paraId="6946F881" w14:textId="77777777" w:rsidR="00512677" w:rsidRPr="009451D3" w:rsidRDefault="00512677" w:rsidP="00AB46DF">
      <w:pPr>
        <w:rPr>
          <w:b/>
          <w:color w:val="FFFFFF"/>
          <w:szCs w:val="20"/>
          <w:lang w:val="en-GB"/>
        </w:rPr>
      </w:pPr>
    </w:p>
    <w:p w14:paraId="62B86173" w14:textId="77777777" w:rsidR="00512677" w:rsidRPr="009451D3" w:rsidRDefault="00512677" w:rsidP="00AB46DF">
      <w:pPr>
        <w:rPr>
          <w:b/>
          <w:color w:val="FFFFFF"/>
          <w:szCs w:val="20"/>
          <w:lang w:val="en-GB"/>
        </w:rPr>
      </w:pPr>
    </w:p>
    <w:p w14:paraId="567F6AE4" w14:textId="77777777" w:rsidR="00AB46DF" w:rsidRPr="009451D3" w:rsidRDefault="00AB46DF">
      <w:pPr>
        <w:rPr>
          <w:lang w:val="en-GB"/>
        </w:rPr>
      </w:pPr>
    </w:p>
    <w:p w14:paraId="79AE233F" w14:textId="17936829" w:rsidR="00A35F55" w:rsidRPr="009451D3" w:rsidRDefault="003C3EE4">
      <w:pPr>
        <w:pStyle w:val="TOC1"/>
        <w:rPr>
          <w:rFonts w:asciiTheme="minorHAnsi" w:eastAsiaTheme="minorEastAsia" w:hAnsiTheme="minorHAnsi" w:cstheme="minorBidi"/>
          <w:b w:val="0"/>
          <w:caps w:val="0"/>
          <w:sz w:val="22"/>
          <w:szCs w:val="22"/>
          <w:lang w:val="en-GB" w:eastAsia="da-DK"/>
        </w:rPr>
      </w:pPr>
      <w:r w:rsidRPr="009451D3">
        <w:rPr>
          <w:caps w:val="0"/>
          <w:lang w:val="en-GB"/>
        </w:rPr>
        <w:fldChar w:fldCharType="begin"/>
      </w:r>
      <w:r w:rsidRPr="009451D3">
        <w:rPr>
          <w:caps w:val="0"/>
          <w:lang w:val="en-GB"/>
        </w:rPr>
        <w:instrText xml:space="preserve"> TOC \o "1-4" \h \z \u </w:instrText>
      </w:r>
      <w:r w:rsidRPr="009451D3">
        <w:rPr>
          <w:caps w:val="0"/>
          <w:lang w:val="en-GB"/>
        </w:rPr>
        <w:fldChar w:fldCharType="separate"/>
      </w:r>
      <w:hyperlink w:anchor="_Toc56160824" w:history="1">
        <w:r w:rsidR="00A35F55" w:rsidRPr="009451D3">
          <w:rPr>
            <w:rStyle w:val="Hyperlink"/>
            <w:lang w:val="en-GB"/>
          </w:rPr>
          <w:t>0</w:t>
        </w:r>
        <w:r w:rsidR="00A35F55" w:rsidRPr="009451D3">
          <w:rPr>
            <w:rFonts w:asciiTheme="minorHAnsi" w:eastAsiaTheme="minorEastAsia" w:hAnsiTheme="minorHAnsi" w:cstheme="minorBidi"/>
            <w:b w:val="0"/>
            <w:caps w:val="0"/>
            <w:sz w:val="22"/>
            <w:szCs w:val="22"/>
            <w:lang w:val="en-GB" w:eastAsia="da-DK"/>
          </w:rPr>
          <w:tab/>
        </w:r>
        <w:r w:rsidR="00A35F55" w:rsidRPr="009451D3">
          <w:rPr>
            <w:rStyle w:val="Hyperlink"/>
            <w:lang w:val="en-GB"/>
          </w:rPr>
          <w:t>Executive summary</w:t>
        </w:r>
        <w:r w:rsidR="00A35F55" w:rsidRPr="009451D3">
          <w:rPr>
            <w:webHidden/>
            <w:lang w:val="en-GB"/>
          </w:rPr>
          <w:tab/>
        </w:r>
        <w:r w:rsidR="00A35F55" w:rsidRPr="009451D3">
          <w:rPr>
            <w:webHidden/>
            <w:lang w:val="en-GB"/>
          </w:rPr>
          <w:fldChar w:fldCharType="begin"/>
        </w:r>
        <w:r w:rsidR="00A35F55" w:rsidRPr="009451D3">
          <w:rPr>
            <w:webHidden/>
            <w:lang w:val="en-GB"/>
          </w:rPr>
          <w:instrText xml:space="preserve"> PAGEREF _Toc56160824 \h </w:instrText>
        </w:r>
        <w:r w:rsidR="00A35F55" w:rsidRPr="009451D3">
          <w:rPr>
            <w:webHidden/>
            <w:lang w:val="en-GB"/>
          </w:rPr>
        </w:r>
        <w:r w:rsidR="00A35F55" w:rsidRPr="009451D3">
          <w:rPr>
            <w:webHidden/>
            <w:lang w:val="en-GB"/>
          </w:rPr>
          <w:fldChar w:fldCharType="separate"/>
        </w:r>
        <w:r w:rsidR="00A35F55" w:rsidRPr="009451D3">
          <w:rPr>
            <w:webHidden/>
            <w:lang w:val="en-GB"/>
          </w:rPr>
          <w:t>2</w:t>
        </w:r>
        <w:r w:rsidR="00A35F55" w:rsidRPr="009451D3">
          <w:rPr>
            <w:webHidden/>
            <w:lang w:val="en-GB"/>
          </w:rPr>
          <w:fldChar w:fldCharType="end"/>
        </w:r>
      </w:hyperlink>
    </w:p>
    <w:p w14:paraId="288B1F53" w14:textId="3E320D0C" w:rsidR="00A35F55" w:rsidRPr="009451D3" w:rsidRDefault="0093206F">
      <w:pPr>
        <w:pStyle w:val="TOC1"/>
        <w:rPr>
          <w:rFonts w:asciiTheme="minorHAnsi" w:eastAsiaTheme="minorEastAsia" w:hAnsiTheme="minorHAnsi" w:cstheme="minorBidi"/>
          <w:b w:val="0"/>
          <w:caps w:val="0"/>
          <w:sz w:val="22"/>
          <w:szCs w:val="22"/>
          <w:lang w:val="en-GB" w:eastAsia="da-DK"/>
        </w:rPr>
      </w:pPr>
      <w:hyperlink w:anchor="_Toc56160825" w:history="1">
        <w:r w:rsidR="00A35F55" w:rsidRPr="009451D3">
          <w:rPr>
            <w:rStyle w:val="Hyperlink"/>
            <w:lang w:val="en-GB"/>
          </w:rPr>
          <w:t>1</w:t>
        </w:r>
        <w:r w:rsidR="00A35F55" w:rsidRPr="009451D3">
          <w:rPr>
            <w:rFonts w:asciiTheme="minorHAnsi" w:eastAsiaTheme="minorEastAsia" w:hAnsiTheme="minorHAnsi" w:cstheme="minorBidi"/>
            <w:b w:val="0"/>
            <w:caps w:val="0"/>
            <w:sz w:val="22"/>
            <w:szCs w:val="22"/>
            <w:lang w:val="en-GB" w:eastAsia="da-DK"/>
          </w:rPr>
          <w:tab/>
        </w:r>
        <w:r w:rsidR="00A35F55" w:rsidRPr="009451D3">
          <w:rPr>
            <w:rStyle w:val="Hyperlink"/>
            <w:lang w:val="en-GB"/>
          </w:rPr>
          <w:t>Introduction</w:t>
        </w:r>
        <w:r w:rsidR="00A35F55" w:rsidRPr="009451D3">
          <w:rPr>
            <w:webHidden/>
            <w:lang w:val="en-GB"/>
          </w:rPr>
          <w:tab/>
        </w:r>
        <w:r w:rsidR="00A35F55" w:rsidRPr="009451D3">
          <w:rPr>
            <w:webHidden/>
            <w:lang w:val="en-GB"/>
          </w:rPr>
          <w:fldChar w:fldCharType="begin"/>
        </w:r>
        <w:r w:rsidR="00A35F55" w:rsidRPr="009451D3">
          <w:rPr>
            <w:webHidden/>
            <w:lang w:val="en-GB"/>
          </w:rPr>
          <w:instrText xml:space="preserve"> PAGEREF _Toc56160825 \h </w:instrText>
        </w:r>
        <w:r w:rsidR="00A35F55" w:rsidRPr="009451D3">
          <w:rPr>
            <w:webHidden/>
            <w:lang w:val="en-GB"/>
          </w:rPr>
        </w:r>
        <w:r w:rsidR="00A35F55" w:rsidRPr="009451D3">
          <w:rPr>
            <w:webHidden/>
            <w:lang w:val="en-GB"/>
          </w:rPr>
          <w:fldChar w:fldCharType="separate"/>
        </w:r>
        <w:r w:rsidR="00A35F55" w:rsidRPr="009451D3">
          <w:rPr>
            <w:webHidden/>
            <w:lang w:val="en-GB"/>
          </w:rPr>
          <w:t>5</w:t>
        </w:r>
        <w:r w:rsidR="00A35F55" w:rsidRPr="009451D3">
          <w:rPr>
            <w:webHidden/>
            <w:lang w:val="en-GB"/>
          </w:rPr>
          <w:fldChar w:fldCharType="end"/>
        </w:r>
      </w:hyperlink>
    </w:p>
    <w:p w14:paraId="7C3D7B4E" w14:textId="3442FA04" w:rsidR="00A35F55" w:rsidRPr="009451D3" w:rsidRDefault="0093206F">
      <w:pPr>
        <w:pStyle w:val="TOC1"/>
        <w:rPr>
          <w:rFonts w:asciiTheme="minorHAnsi" w:eastAsiaTheme="minorEastAsia" w:hAnsiTheme="minorHAnsi" w:cstheme="minorBidi"/>
          <w:b w:val="0"/>
          <w:caps w:val="0"/>
          <w:sz w:val="22"/>
          <w:szCs w:val="22"/>
          <w:lang w:val="en-GB" w:eastAsia="da-DK"/>
        </w:rPr>
      </w:pPr>
      <w:hyperlink w:anchor="_Toc56160826" w:history="1">
        <w:r w:rsidR="00A35F55" w:rsidRPr="009451D3">
          <w:rPr>
            <w:rStyle w:val="Hyperlink"/>
            <w:lang w:val="en-GB"/>
          </w:rPr>
          <w:t>2</w:t>
        </w:r>
        <w:r w:rsidR="00A35F55" w:rsidRPr="009451D3">
          <w:rPr>
            <w:rFonts w:asciiTheme="minorHAnsi" w:eastAsiaTheme="minorEastAsia" w:hAnsiTheme="minorHAnsi" w:cstheme="minorBidi"/>
            <w:b w:val="0"/>
            <w:caps w:val="0"/>
            <w:sz w:val="22"/>
            <w:szCs w:val="22"/>
            <w:lang w:val="en-GB" w:eastAsia="da-DK"/>
          </w:rPr>
          <w:tab/>
        </w:r>
        <w:r w:rsidR="00A35F55" w:rsidRPr="009451D3">
          <w:rPr>
            <w:rStyle w:val="Hyperlink"/>
            <w:lang w:val="en-GB"/>
          </w:rPr>
          <w:t>Current regulations and Previous related studies</w:t>
        </w:r>
        <w:r w:rsidR="00A35F55" w:rsidRPr="009451D3">
          <w:rPr>
            <w:webHidden/>
            <w:lang w:val="en-GB"/>
          </w:rPr>
          <w:tab/>
        </w:r>
        <w:r w:rsidR="00A35F55" w:rsidRPr="009451D3">
          <w:rPr>
            <w:webHidden/>
            <w:lang w:val="en-GB"/>
          </w:rPr>
          <w:fldChar w:fldCharType="begin"/>
        </w:r>
        <w:r w:rsidR="00A35F55" w:rsidRPr="009451D3">
          <w:rPr>
            <w:webHidden/>
            <w:lang w:val="en-GB"/>
          </w:rPr>
          <w:instrText xml:space="preserve"> PAGEREF _Toc56160826 \h </w:instrText>
        </w:r>
        <w:r w:rsidR="00A35F55" w:rsidRPr="009451D3">
          <w:rPr>
            <w:webHidden/>
            <w:lang w:val="en-GB"/>
          </w:rPr>
        </w:r>
        <w:r w:rsidR="00A35F55" w:rsidRPr="009451D3">
          <w:rPr>
            <w:webHidden/>
            <w:lang w:val="en-GB"/>
          </w:rPr>
          <w:fldChar w:fldCharType="separate"/>
        </w:r>
        <w:r w:rsidR="00A35F55" w:rsidRPr="009451D3">
          <w:rPr>
            <w:webHidden/>
            <w:lang w:val="en-GB"/>
          </w:rPr>
          <w:t>6</w:t>
        </w:r>
        <w:r w:rsidR="00A35F55" w:rsidRPr="009451D3">
          <w:rPr>
            <w:webHidden/>
            <w:lang w:val="en-GB"/>
          </w:rPr>
          <w:fldChar w:fldCharType="end"/>
        </w:r>
      </w:hyperlink>
    </w:p>
    <w:p w14:paraId="5DB05C77" w14:textId="368BC82C" w:rsidR="00A35F55" w:rsidRPr="009451D3" w:rsidRDefault="0093206F">
      <w:pPr>
        <w:pStyle w:val="TOC1"/>
        <w:rPr>
          <w:rFonts w:asciiTheme="minorHAnsi" w:eastAsiaTheme="minorEastAsia" w:hAnsiTheme="minorHAnsi" w:cstheme="minorBidi"/>
          <w:b w:val="0"/>
          <w:caps w:val="0"/>
          <w:sz w:val="22"/>
          <w:szCs w:val="22"/>
          <w:lang w:val="en-GB" w:eastAsia="da-DK"/>
        </w:rPr>
      </w:pPr>
      <w:hyperlink w:anchor="_Toc56160827" w:history="1">
        <w:r w:rsidR="00A35F55" w:rsidRPr="009451D3">
          <w:rPr>
            <w:rStyle w:val="Hyperlink"/>
            <w:lang w:val="en-GB"/>
          </w:rPr>
          <w:t>3</w:t>
        </w:r>
        <w:r w:rsidR="00A35F55" w:rsidRPr="009451D3">
          <w:rPr>
            <w:rFonts w:asciiTheme="minorHAnsi" w:eastAsiaTheme="minorEastAsia" w:hAnsiTheme="minorHAnsi" w:cstheme="minorBidi"/>
            <w:b w:val="0"/>
            <w:caps w:val="0"/>
            <w:sz w:val="22"/>
            <w:szCs w:val="22"/>
            <w:lang w:val="en-GB" w:eastAsia="da-DK"/>
          </w:rPr>
          <w:tab/>
        </w:r>
        <w:r w:rsidR="00A35F55" w:rsidRPr="009451D3">
          <w:rPr>
            <w:rStyle w:val="Hyperlink"/>
            <w:lang w:val="en-GB"/>
          </w:rPr>
          <w:t>Conclusions</w:t>
        </w:r>
        <w:r w:rsidR="00A35F55" w:rsidRPr="009451D3">
          <w:rPr>
            <w:webHidden/>
            <w:lang w:val="en-GB"/>
          </w:rPr>
          <w:tab/>
        </w:r>
        <w:r w:rsidR="00A35F55" w:rsidRPr="009451D3">
          <w:rPr>
            <w:webHidden/>
            <w:lang w:val="en-GB"/>
          </w:rPr>
          <w:fldChar w:fldCharType="begin"/>
        </w:r>
        <w:r w:rsidR="00A35F55" w:rsidRPr="009451D3">
          <w:rPr>
            <w:webHidden/>
            <w:lang w:val="en-GB"/>
          </w:rPr>
          <w:instrText xml:space="preserve"> PAGEREF _Toc56160827 \h </w:instrText>
        </w:r>
        <w:r w:rsidR="00A35F55" w:rsidRPr="009451D3">
          <w:rPr>
            <w:webHidden/>
            <w:lang w:val="en-GB"/>
          </w:rPr>
        </w:r>
        <w:r w:rsidR="00A35F55" w:rsidRPr="009451D3">
          <w:rPr>
            <w:webHidden/>
            <w:lang w:val="en-GB"/>
          </w:rPr>
          <w:fldChar w:fldCharType="separate"/>
        </w:r>
        <w:r w:rsidR="00A35F55" w:rsidRPr="009451D3">
          <w:rPr>
            <w:webHidden/>
            <w:lang w:val="en-GB"/>
          </w:rPr>
          <w:t>7</w:t>
        </w:r>
        <w:r w:rsidR="00A35F55" w:rsidRPr="009451D3">
          <w:rPr>
            <w:webHidden/>
            <w:lang w:val="en-GB"/>
          </w:rPr>
          <w:fldChar w:fldCharType="end"/>
        </w:r>
      </w:hyperlink>
    </w:p>
    <w:p w14:paraId="51D82842" w14:textId="1BA6CA18" w:rsidR="00A35F55" w:rsidRPr="009451D3" w:rsidRDefault="0093206F">
      <w:pPr>
        <w:pStyle w:val="TOC1"/>
        <w:rPr>
          <w:rFonts w:asciiTheme="minorHAnsi" w:eastAsiaTheme="minorEastAsia" w:hAnsiTheme="minorHAnsi" w:cstheme="minorBidi"/>
          <w:b w:val="0"/>
          <w:caps w:val="0"/>
          <w:sz w:val="22"/>
          <w:szCs w:val="22"/>
          <w:lang w:val="en-GB" w:eastAsia="da-DK"/>
        </w:rPr>
      </w:pPr>
      <w:hyperlink w:anchor="_Toc56160828" w:history="1">
        <w:r w:rsidR="00A35F55" w:rsidRPr="009451D3">
          <w:rPr>
            <w:rStyle w:val="Hyperlink"/>
            <w:lang w:val="en-GB"/>
          </w:rPr>
          <w:t>ANNEX 1: CEPT Mandate</w:t>
        </w:r>
        <w:r w:rsidR="00A35F55" w:rsidRPr="009451D3">
          <w:rPr>
            <w:webHidden/>
            <w:lang w:val="en-GB"/>
          </w:rPr>
          <w:tab/>
        </w:r>
        <w:r w:rsidR="00A35F55" w:rsidRPr="009451D3">
          <w:rPr>
            <w:webHidden/>
            <w:lang w:val="en-GB"/>
          </w:rPr>
          <w:fldChar w:fldCharType="begin"/>
        </w:r>
        <w:r w:rsidR="00A35F55" w:rsidRPr="009451D3">
          <w:rPr>
            <w:webHidden/>
            <w:lang w:val="en-GB"/>
          </w:rPr>
          <w:instrText xml:space="preserve"> PAGEREF _Toc56160828 \h </w:instrText>
        </w:r>
        <w:r w:rsidR="00A35F55" w:rsidRPr="009451D3">
          <w:rPr>
            <w:webHidden/>
            <w:lang w:val="en-GB"/>
          </w:rPr>
        </w:r>
        <w:r w:rsidR="00A35F55" w:rsidRPr="009451D3">
          <w:rPr>
            <w:webHidden/>
            <w:lang w:val="en-GB"/>
          </w:rPr>
          <w:fldChar w:fldCharType="separate"/>
        </w:r>
        <w:r w:rsidR="00A35F55" w:rsidRPr="009451D3">
          <w:rPr>
            <w:webHidden/>
            <w:lang w:val="en-GB"/>
          </w:rPr>
          <w:t>8</w:t>
        </w:r>
        <w:r w:rsidR="00A35F55" w:rsidRPr="009451D3">
          <w:rPr>
            <w:webHidden/>
            <w:lang w:val="en-GB"/>
          </w:rPr>
          <w:fldChar w:fldCharType="end"/>
        </w:r>
      </w:hyperlink>
    </w:p>
    <w:p w14:paraId="0154E4C4" w14:textId="26B1A9B6" w:rsidR="00A35F55" w:rsidRPr="009451D3" w:rsidRDefault="0093206F">
      <w:pPr>
        <w:pStyle w:val="TOC1"/>
        <w:rPr>
          <w:rFonts w:asciiTheme="minorHAnsi" w:eastAsiaTheme="minorEastAsia" w:hAnsiTheme="minorHAnsi" w:cstheme="minorBidi"/>
          <w:b w:val="0"/>
          <w:caps w:val="0"/>
          <w:sz w:val="22"/>
          <w:szCs w:val="22"/>
          <w:lang w:val="en-GB" w:eastAsia="da-DK"/>
        </w:rPr>
      </w:pPr>
      <w:hyperlink w:anchor="_Toc56160830" w:history="1">
        <w:r w:rsidR="00A35F55" w:rsidRPr="009451D3">
          <w:rPr>
            <w:rStyle w:val="Hyperlink"/>
            <w:lang w:val="en-GB"/>
          </w:rPr>
          <w:t>ANNEX 2: List of references</w:t>
        </w:r>
        <w:r w:rsidR="00A35F55" w:rsidRPr="009451D3">
          <w:rPr>
            <w:webHidden/>
            <w:lang w:val="en-GB"/>
          </w:rPr>
          <w:tab/>
        </w:r>
        <w:r w:rsidR="00A35F55" w:rsidRPr="009451D3">
          <w:rPr>
            <w:webHidden/>
            <w:lang w:val="en-GB"/>
          </w:rPr>
          <w:fldChar w:fldCharType="begin"/>
        </w:r>
        <w:r w:rsidR="00A35F55" w:rsidRPr="009451D3">
          <w:rPr>
            <w:webHidden/>
            <w:lang w:val="en-GB"/>
          </w:rPr>
          <w:instrText xml:space="preserve"> PAGEREF _Toc56160830 \h </w:instrText>
        </w:r>
        <w:r w:rsidR="00A35F55" w:rsidRPr="009451D3">
          <w:rPr>
            <w:webHidden/>
            <w:lang w:val="en-GB"/>
          </w:rPr>
        </w:r>
        <w:r w:rsidR="00A35F55" w:rsidRPr="009451D3">
          <w:rPr>
            <w:webHidden/>
            <w:lang w:val="en-GB"/>
          </w:rPr>
          <w:fldChar w:fldCharType="separate"/>
        </w:r>
        <w:r w:rsidR="00A35F55" w:rsidRPr="009451D3">
          <w:rPr>
            <w:webHidden/>
            <w:lang w:val="en-GB"/>
          </w:rPr>
          <w:t>12</w:t>
        </w:r>
        <w:r w:rsidR="00A35F55" w:rsidRPr="009451D3">
          <w:rPr>
            <w:webHidden/>
            <w:lang w:val="en-GB"/>
          </w:rPr>
          <w:fldChar w:fldCharType="end"/>
        </w:r>
      </w:hyperlink>
    </w:p>
    <w:p w14:paraId="7D3A74ED" w14:textId="30D8F6B7" w:rsidR="00AB46DF" w:rsidRPr="009451D3" w:rsidRDefault="003C3EE4" w:rsidP="00AB46DF">
      <w:pPr>
        <w:rPr>
          <w:lang w:val="en-GB"/>
        </w:rPr>
      </w:pPr>
      <w:r w:rsidRPr="009451D3">
        <w:rPr>
          <w:caps/>
          <w:lang w:val="en-GB"/>
        </w:rPr>
        <w:fldChar w:fldCharType="end"/>
      </w:r>
    </w:p>
    <w:p w14:paraId="46A49DA9" w14:textId="21DE605E" w:rsidR="00AB46DF" w:rsidRPr="009451D3" w:rsidRDefault="003C3EE4" w:rsidP="00AB46DF">
      <w:pPr>
        <w:rPr>
          <w:lang w:val="en-GB"/>
        </w:rPr>
      </w:pPr>
      <w:r w:rsidRPr="009451D3">
        <w:rPr>
          <w:lang w:val="en-GB"/>
        </w:rPr>
        <w:br w:type="page"/>
      </w:r>
    </w:p>
    <w:p w14:paraId="34413616" w14:textId="77777777" w:rsidR="00AB46DF" w:rsidRPr="009451D3" w:rsidRDefault="00AB46DF" w:rsidP="00AB46DF">
      <w:pPr>
        <w:rPr>
          <w:b/>
          <w:color w:val="FFFFFF"/>
          <w:szCs w:val="20"/>
          <w:lang w:val="en-GB"/>
        </w:rPr>
      </w:pPr>
    </w:p>
    <w:p w14:paraId="44C4ADBA" w14:textId="77777777" w:rsidR="00D20E3B" w:rsidRPr="009451D3" w:rsidRDefault="00D20E3B" w:rsidP="00AB46DF">
      <w:pPr>
        <w:rPr>
          <w:b/>
          <w:color w:val="FFFFFF"/>
          <w:szCs w:val="20"/>
          <w:lang w:val="en-GB"/>
        </w:rPr>
      </w:pPr>
    </w:p>
    <w:p w14:paraId="48499A34" w14:textId="77777777" w:rsidR="00AB46DF" w:rsidRPr="009451D3" w:rsidRDefault="00D20E3B" w:rsidP="00AB46DF">
      <w:pPr>
        <w:rPr>
          <w:b/>
          <w:color w:val="FFFFFF"/>
          <w:szCs w:val="20"/>
          <w:lang w:val="en-GB"/>
        </w:rPr>
      </w:pPr>
      <w:r w:rsidRPr="009451D3">
        <w:rPr>
          <w:b/>
          <w:noProof/>
          <w:color w:val="FFFFFF"/>
          <w:szCs w:val="20"/>
          <w:lang w:val="fr-FR" w:eastAsia="fr-FR"/>
        </w:rPr>
        <mc:AlternateContent>
          <mc:Choice Requires="wps">
            <w:drawing>
              <wp:anchor distT="0" distB="0" distL="114300" distR="114300" simplePos="0" relativeHeight="251658752" behindDoc="1" locked="0" layoutInCell="1" allowOverlap="1" wp14:anchorId="10697FC9" wp14:editId="3A57EAC8">
                <wp:simplePos x="0" y="0"/>
                <wp:positionH relativeFrom="page">
                  <wp:align>center</wp:align>
                </wp:positionH>
                <wp:positionV relativeFrom="page">
                  <wp:posOffset>900430</wp:posOffset>
                </wp:positionV>
                <wp:extent cx="7560310" cy="720090"/>
                <wp:effectExtent l="0" t="0" r="0" b="5080"/>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D39CEA" id="Rectangle 22" o:spid="_x0000_s1026" style="position:absolute;margin-left:0;margin-top:70.9pt;width:595.3pt;height:56.7pt;z-index:-25165772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" fillcolor="#b0a696" stroked="f">
                <w10:wrap anchorx="page" anchory="page"/>
              </v:rect>
            </w:pict>
          </mc:Fallback>
        </mc:AlternateContent>
      </w:r>
      <w:r w:rsidR="003C3EE4" w:rsidRPr="009451D3">
        <w:rPr>
          <w:b/>
          <w:color w:val="FFFFFF"/>
          <w:szCs w:val="20"/>
          <w:lang w:val="en-GB"/>
        </w:rPr>
        <w:t>LIST OF ABBREVIATIONS</w:t>
      </w:r>
    </w:p>
    <w:p w14:paraId="4AAD8A5E" w14:textId="77777777" w:rsidR="00AB46DF" w:rsidRPr="009451D3" w:rsidRDefault="00AB46DF" w:rsidP="00AB46DF">
      <w:pPr>
        <w:rPr>
          <w:b/>
          <w:color w:val="FFFFFF"/>
          <w:szCs w:val="20"/>
          <w:lang w:val="en-GB"/>
        </w:rPr>
      </w:pPr>
    </w:p>
    <w:p w14:paraId="7EA20AF1" w14:textId="77777777" w:rsidR="00AB46DF" w:rsidRPr="009451D3" w:rsidRDefault="00AB46DF" w:rsidP="00AB46DF">
      <w:pPr>
        <w:rPr>
          <w:b/>
          <w:color w:val="FFFFFF"/>
          <w:szCs w:val="20"/>
          <w:lang w:val="en-GB"/>
        </w:rPr>
      </w:pPr>
    </w:p>
    <w:p w14:paraId="298AB4BE" w14:textId="77777777" w:rsidR="00AB46DF" w:rsidRPr="009451D3" w:rsidRDefault="00AB46DF" w:rsidP="00AB46DF">
      <w:pPr>
        <w:rPr>
          <w:lang w:val="en-GB"/>
        </w:rPr>
      </w:pPr>
    </w:p>
    <w:p w14:paraId="494493CC" w14:textId="77777777" w:rsidR="00AB46DF" w:rsidRPr="009451D3" w:rsidRDefault="00AB46DF" w:rsidP="00AB46DF">
      <w:pPr>
        <w:rPr>
          <w:lang w:val="en-GB"/>
        </w:rPr>
      </w:pPr>
    </w:p>
    <w:tbl>
      <w:tblPr>
        <w:tblW w:w="0" w:type="auto"/>
        <w:tblCellMar>
          <w:top w:w="11" w:type="dxa"/>
          <w:bottom w:w="11" w:type="dxa"/>
        </w:tblCellMar>
        <w:tblLook w:val="01E0" w:firstRow="1" w:lastRow="1" w:firstColumn="1" w:lastColumn="1" w:noHBand="0" w:noVBand="0"/>
      </w:tblPr>
      <w:tblGrid>
        <w:gridCol w:w="2066"/>
        <w:gridCol w:w="7573"/>
      </w:tblGrid>
      <w:tr w:rsidR="00AB46DF" w:rsidRPr="009451D3" w14:paraId="0005D707" w14:textId="77777777">
        <w:trPr>
          <w:trHeight w:val="76"/>
        </w:trPr>
        <w:tc>
          <w:tcPr>
            <w:tcW w:w="2088" w:type="dxa"/>
          </w:tcPr>
          <w:p w14:paraId="66E6CA7B" w14:textId="77777777" w:rsidR="00AB46DF" w:rsidRPr="009451D3" w:rsidRDefault="003C3EE4" w:rsidP="004D24B8">
            <w:pPr>
              <w:spacing w:before="60" w:after="60" w:line="288" w:lineRule="auto"/>
              <w:rPr>
                <w:b/>
                <w:color w:val="D2232A"/>
                <w:lang w:val="en-GB"/>
              </w:rPr>
            </w:pPr>
            <w:r w:rsidRPr="009451D3">
              <w:rPr>
                <w:b/>
                <w:color w:val="D2232A"/>
                <w:lang w:val="en-GB"/>
              </w:rPr>
              <w:t>Abbreviation</w:t>
            </w:r>
          </w:p>
        </w:tc>
        <w:tc>
          <w:tcPr>
            <w:tcW w:w="7767" w:type="dxa"/>
          </w:tcPr>
          <w:p w14:paraId="3EF2B490" w14:textId="07573538" w:rsidR="00AB46DF" w:rsidRPr="009451D3" w:rsidRDefault="003C3EE4" w:rsidP="004D24B8">
            <w:pPr>
              <w:spacing w:before="60" w:after="60" w:line="288" w:lineRule="auto"/>
              <w:rPr>
                <w:b/>
                <w:color w:val="D2232A"/>
                <w:lang w:val="en-GB"/>
              </w:rPr>
            </w:pPr>
            <w:r w:rsidRPr="009451D3">
              <w:rPr>
                <w:b/>
                <w:color w:val="D2232A"/>
                <w:lang w:val="en-GB"/>
              </w:rPr>
              <w:t xml:space="preserve">Explanation </w:t>
            </w:r>
          </w:p>
        </w:tc>
      </w:tr>
      <w:tr w:rsidR="00166E5F" w:rsidRPr="009451D3" w14:paraId="6CDAAA28" w14:textId="77777777">
        <w:tc>
          <w:tcPr>
            <w:tcW w:w="2088" w:type="dxa"/>
          </w:tcPr>
          <w:p w14:paraId="1393E578" w14:textId="3ED1B537" w:rsidR="00166E5F" w:rsidRPr="009451D3" w:rsidRDefault="00166E5F" w:rsidP="004D24B8">
            <w:pPr>
              <w:spacing w:before="60" w:after="60" w:line="288" w:lineRule="auto"/>
              <w:rPr>
                <w:b/>
                <w:lang w:val="en-GB"/>
              </w:rPr>
            </w:pPr>
            <w:r>
              <w:rPr>
                <w:b/>
                <w:lang w:val="en-GB"/>
              </w:rPr>
              <w:t>AR/VR</w:t>
            </w:r>
          </w:p>
        </w:tc>
        <w:tc>
          <w:tcPr>
            <w:tcW w:w="7767" w:type="dxa"/>
          </w:tcPr>
          <w:p w14:paraId="2BD6DCA0" w14:textId="102C44F7" w:rsidR="00166E5F" w:rsidRPr="009451D3" w:rsidRDefault="00166E5F" w:rsidP="004D24B8">
            <w:pPr>
              <w:spacing w:before="60" w:after="60" w:line="288" w:lineRule="auto"/>
              <w:rPr>
                <w:szCs w:val="20"/>
                <w:lang w:val="en-GB"/>
              </w:rPr>
            </w:pPr>
            <w:r w:rsidRPr="00166E5F">
              <w:rPr>
                <w:szCs w:val="20"/>
                <w:lang w:val="en-GB"/>
              </w:rPr>
              <w:t xml:space="preserve">Augmented </w:t>
            </w:r>
            <w:r>
              <w:rPr>
                <w:szCs w:val="20"/>
                <w:lang w:val="en-GB"/>
              </w:rPr>
              <w:t>R</w:t>
            </w:r>
            <w:r w:rsidRPr="00166E5F">
              <w:rPr>
                <w:szCs w:val="20"/>
                <w:lang w:val="en-GB"/>
              </w:rPr>
              <w:t>eality</w:t>
            </w:r>
            <w:r>
              <w:rPr>
                <w:szCs w:val="20"/>
                <w:lang w:val="en-GB"/>
              </w:rPr>
              <w:t>/Virtual Reality</w:t>
            </w:r>
          </w:p>
        </w:tc>
      </w:tr>
      <w:tr w:rsidR="00AB46DF" w:rsidRPr="009451D3" w14:paraId="42FE397A" w14:textId="77777777">
        <w:tc>
          <w:tcPr>
            <w:tcW w:w="2088" w:type="dxa"/>
          </w:tcPr>
          <w:p w14:paraId="7B16CB6E" w14:textId="77777777" w:rsidR="00AB46DF" w:rsidRPr="009451D3" w:rsidRDefault="003C3EE4" w:rsidP="004D24B8">
            <w:pPr>
              <w:spacing w:before="60" w:after="60" w:line="288" w:lineRule="auto"/>
              <w:rPr>
                <w:b/>
                <w:lang w:val="en-GB"/>
              </w:rPr>
            </w:pPr>
            <w:r w:rsidRPr="009451D3">
              <w:rPr>
                <w:b/>
                <w:lang w:val="en-GB"/>
              </w:rPr>
              <w:t>CEPT</w:t>
            </w:r>
          </w:p>
        </w:tc>
        <w:tc>
          <w:tcPr>
            <w:tcW w:w="7767" w:type="dxa"/>
          </w:tcPr>
          <w:p w14:paraId="34873B64" w14:textId="77777777" w:rsidR="00AB46DF" w:rsidRPr="009451D3" w:rsidRDefault="003C3EE4" w:rsidP="004D24B8">
            <w:pPr>
              <w:spacing w:before="60" w:after="60" w:line="288" w:lineRule="auto"/>
              <w:rPr>
                <w:szCs w:val="20"/>
                <w:lang w:val="en-GB"/>
              </w:rPr>
            </w:pPr>
            <w:r w:rsidRPr="009451D3">
              <w:rPr>
                <w:szCs w:val="20"/>
                <w:lang w:val="en-GB"/>
              </w:rPr>
              <w:t>European Conference of Postal and Telecommunications Administrations</w:t>
            </w:r>
          </w:p>
        </w:tc>
      </w:tr>
      <w:tr w:rsidR="00AB46DF" w:rsidRPr="009451D3" w14:paraId="4F1E4DCF" w14:textId="77777777">
        <w:tc>
          <w:tcPr>
            <w:tcW w:w="2088" w:type="dxa"/>
          </w:tcPr>
          <w:p w14:paraId="2DEFE878" w14:textId="77777777" w:rsidR="00AB46DF" w:rsidRPr="009451D3" w:rsidRDefault="003C3EE4" w:rsidP="004D24B8">
            <w:pPr>
              <w:spacing w:before="60" w:after="60" w:line="288" w:lineRule="auto"/>
              <w:rPr>
                <w:b/>
                <w:lang w:val="en-GB"/>
              </w:rPr>
            </w:pPr>
            <w:r w:rsidRPr="009451D3">
              <w:rPr>
                <w:b/>
                <w:lang w:val="en-GB"/>
              </w:rPr>
              <w:t>ECC</w:t>
            </w:r>
          </w:p>
        </w:tc>
        <w:tc>
          <w:tcPr>
            <w:tcW w:w="7767" w:type="dxa"/>
          </w:tcPr>
          <w:p w14:paraId="67B613B1" w14:textId="77777777" w:rsidR="00AB46DF" w:rsidRPr="009451D3" w:rsidRDefault="003C3EE4" w:rsidP="004D24B8">
            <w:pPr>
              <w:pStyle w:val="ECCParagraph"/>
              <w:spacing w:before="60" w:after="60" w:line="288" w:lineRule="auto"/>
              <w:jc w:val="left"/>
              <w:rPr>
                <w:szCs w:val="20"/>
              </w:rPr>
            </w:pPr>
            <w:r w:rsidRPr="009451D3">
              <w:t>Electronic Communications Committee</w:t>
            </w:r>
          </w:p>
        </w:tc>
      </w:tr>
      <w:tr w:rsidR="00AB46DF" w:rsidRPr="009451D3" w14:paraId="018CA15B" w14:textId="77777777" w:rsidTr="00AA248F">
        <w:tc>
          <w:tcPr>
            <w:tcW w:w="2088" w:type="dxa"/>
          </w:tcPr>
          <w:p w14:paraId="589BD63D" w14:textId="05EB256E" w:rsidR="00AB46DF" w:rsidRPr="009451D3" w:rsidRDefault="001A65C6" w:rsidP="004D24B8">
            <w:pPr>
              <w:spacing w:before="60" w:after="60" w:line="288" w:lineRule="auto"/>
              <w:rPr>
                <w:b/>
                <w:lang w:val="en-GB"/>
              </w:rPr>
            </w:pPr>
            <w:r w:rsidRPr="009451D3">
              <w:rPr>
                <w:b/>
                <w:lang w:val="en-GB"/>
              </w:rPr>
              <w:t>EC</w:t>
            </w:r>
          </w:p>
        </w:tc>
        <w:tc>
          <w:tcPr>
            <w:tcW w:w="7767" w:type="dxa"/>
            <w:shd w:val="clear" w:color="auto" w:fill="auto"/>
          </w:tcPr>
          <w:p w14:paraId="6D76CC68" w14:textId="7567722A" w:rsidR="00AB46DF" w:rsidRPr="009451D3" w:rsidRDefault="00AA248F" w:rsidP="004D24B8">
            <w:pPr>
              <w:pStyle w:val="ECCParagraph"/>
              <w:spacing w:before="60" w:after="60" w:line="288" w:lineRule="auto"/>
              <w:jc w:val="left"/>
            </w:pPr>
            <w:r w:rsidRPr="009451D3">
              <w:t>European Commission</w:t>
            </w:r>
          </w:p>
        </w:tc>
      </w:tr>
      <w:tr w:rsidR="00040059" w:rsidRPr="009451D3" w14:paraId="66FF2FAC" w14:textId="77777777">
        <w:tc>
          <w:tcPr>
            <w:tcW w:w="2088" w:type="dxa"/>
          </w:tcPr>
          <w:p w14:paraId="099D0D6A" w14:textId="66D4B771" w:rsidR="00040059" w:rsidRPr="009451D3" w:rsidRDefault="00040059" w:rsidP="004D24B8">
            <w:pPr>
              <w:spacing w:before="60" w:after="60" w:line="288" w:lineRule="auto"/>
              <w:rPr>
                <w:b/>
                <w:lang w:val="en-GB"/>
              </w:rPr>
            </w:pPr>
            <w:r w:rsidRPr="009451D3">
              <w:rPr>
                <w:b/>
                <w:lang w:val="en-GB"/>
              </w:rPr>
              <w:t>ETSI</w:t>
            </w:r>
          </w:p>
        </w:tc>
        <w:tc>
          <w:tcPr>
            <w:tcW w:w="7767" w:type="dxa"/>
          </w:tcPr>
          <w:p w14:paraId="69185EF1" w14:textId="4D784FF7" w:rsidR="00040059" w:rsidRPr="009451D3" w:rsidRDefault="00040059" w:rsidP="004D24B8">
            <w:pPr>
              <w:pStyle w:val="ECCParagraph"/>
              <w:spacing w:before="60" w:after="60" w:line="288" w:lineRule="auto"/>
              <w:jc w:val="left"/>
              <w:rPr>
                <w:color w:val="000000"/>
              </w:rPr>
            </w:pPr>
            <w:r w:rsidRPr="009451D3">
              <w:rPr>
                <w:szCs w:val="20"/>
              </w:rPr>
              <w:t>European Telecommunications Standards Institute</w:t>
            </w:r>
          </w:p>
        </w:tc>
      </w:tr>
      <w:tr w:rsidR="00AB46DF" w:rsidRPr="009451D3" w14:paraId="5DC67DE6" w14:textId="77777777">
        <w:tc>
          <w:tcPr>
            <w:tcW w:w="2088" w:type="dxa"/>
          </w:tcPr>
          <w:p w14:paraId="0B16BF02" w14:textId="7747F326" w:rsidR="00AB46DF" w:rsidRPr="009451D3" w:rsidRDefault="00AA248F" w:rsidP="004D24B8">
            <w:pPr>
              <w:spacing w:before="60" w:after="60" w:line="288" w:lineRule="auto"/>
              <w:rPr>
                <w:b/>
                <w:lang w:val="en-GB"/>
              </w:rPr>
            </w:pPr>
            <w:r w:rsidRPr="009451D3">
              <w:rPr>
                <w:b/>
                <w:lang w:val="en-GB"/>
              </w:rPr>
              <w:t>EU</w:t>
            </w:r>
          </w:p>
        </w:tc>
        <w:tc>
          <w:tcPr>
            <w:tcW w:w="7767" w:type="dxa"/>
          </w:tcPr>
          <w:p w14:paraId="02AA63E2" w14:textId="730F5B69" w:rsidR="00AB46DF" w:rsidRPr="009451D3" w:rsidRDefault="00AA248F" w:rsidP="004D24B8">
            <w:pPr>
              <w:pStyle w:val="ECCParagraph"/>
              <w:spacing w:before="60" w:after="60" w:line="288" w:lineRule="auto"/>
              <w:jc w:val="left"/>
              <w:rPr>
                <w:color w:val="000000"/>
              </w:rPr>
            </w:pPr>
            <w:r w:rsidRPr="009451D3">
              <w:rPr>
                <w:color w:val="000000"/>
              </w:rPr>
              <w:t>European Union</w:t>
            </w:r>
          </w:p>
        </w:tc>
      </w:tr>
      <w:tr w:rsidR="00AA248F" w:rsidRPr="009451D3" w14:paraId="55EA5D8D" w14:textId="77777777">
        <w:tc>
          <w:tcPr>
            <w:tcW w:w="2088" w:type="dxa"/>
          </w:tcPr>
          <w:p w14:paraId="06B1E3E2" w14:textId="1B13D1DA" w:rsidR="00AA248F" w:rsidRPr="009451D3" w:rsidRDefault="00AA248F" w:rsidP="004D24B8">
            <w:pPr>
              <w:spacing w:before="60" w:after="60" w:line="288" w:lineRule="auto"/>
              <w:rPr>
                <w:b/>
                <w:lang w:val="en-GB"/>
              </w:rPr>
            </w:pPr>
            <w:r w:rsidRPr="009451D3">
              <w:rPr>
                <w:b/>
                <w:lang w:val="en-GB"/>
              </w:rPr>
              <w:t>FS</w:t>
            </w:r>
          </w:p>
        </w:tc>
        <w:tc>
          <w:tcPr>
            <w:tcW w:w="7767" w:type="dxa"/>
          </w:tcPr>
          <w:p w14:paraId="717FFBC3" w14:textId="7CF49BA7" w:rsidR="00AA248F" w:rsidRPr="009451D3" w:rsidRDefault="00AA248F" w:rsidP="004D24B8">
            <w:pPr>
              <w:spacing w:before="60" w:after="60" w:line="288" w:lineRule="auto"/>
              <w:rPr>
                <w:lang w:val="en-GB"/>
              </w:rPr>
            </w:pPr>
            <w:r w:rsidRPr="009451D3">
              <w:rPr>
                <w:lang w:val="en-GB"/>
              </w:rPr>
              <w:t>Fixed Service</w:t>
            </w:r>
          </w:p>
        </w:tc>
      </w:tr>
      <w:tr w:rsidR="006A41DE" w:rsidRPr="009451D3" w14:paraId="7C493A68" w14:textId="77777777">
        <w:tc>
          <w:tcPr>
            <w:tcW w:w="2088" w:type="dxa"/>
          </w:tcPr>
          <w:p w14:paraId="7B5261B7" w14:textId="205296AD" w:rsidR="006A41DE" w:rsidRPr="009451D3" w:rsidRDefault="006A41DE" w:rsidP="004D24B8">
            <w:pPr>
              <w:spacing w:before="60" w:after="60" w:line="288" w:lineRule="auto"/>
              <w:rPr>
                <w:b/>
                <w:lang w:val="en-GB"/>
              </w:rPr>
            </w:pPr>
            <w:r w:rsidRPr="009451D3">
              <w:rPr>
                <w:b/>
                <w:lang w:val="en-GB"/>
              </w:rPr>
              <w:t>MGWS</w:t>
            </w:r>
          </w:p>
        </w:tc>
        <w:tc>
          <w:tcPr>
            <w:tcW w:w="7767" w:type="dxa"/>
          </w:tcPr>
          <w:p w14:paraId="227BA3D7" w14:textId="7C39F0FD" w:rsidR="006A41DE" w:rsidRPr="009451D3" w:rsidRDefault="006A41DE" w:rsidP="004D24B8">
            <w:pPr>
              <w:spacing w:before="60" w:after="60" w:line="288" w:lineRule="auto"/>
              <w:rPr>
                <w:lang w:val="en-GB"/>
              </w:rPr>
            </w:pPr>
            <w:r w:rsidRPr="009451D3">
              <w:rPr>
                <w:lang w:val="en-GB"/>
              </w:rPr>
              <w:t>Multiple Gigabit Wireless Systems</w:t>
            </w:r>
          </w:p>
        </w:tc>
      </w:tr>
      <w:tr w:rsidR="00AB46DF" w:rsidRPr="009451D3" w14:paraId="3533E9F6" w14:textId="77777777">
        <w:tc>
          <w:tcPr>
            <w:tcW w:w="2088" w:type="dxa"/>
          </w:tcPr>
          <w:p w14:paraId="22D8C9DF" w14:textId="1C93A9EC" w:rsidR="00AB46DF" w:rsidRPr="009451D3" w:rsidRDefault="00AA248F" w:rsidP="004D24B8">
            <w:pPr>
              <w:spacing w:before="60" w:after="60" w:line="288" w:lineRule="auto"/>
              <w:rPr>
                <w:b/>
                <w:lang w:val="en-GB"/>
              </w:rPr>
            </w:pPr>
            <w:r w:rsidRPr="009451D3">
              <w:rPr>
                <w:b/>
                <w:lang w:val="en-GB"/>
              </w:rPr>
              <w:t>SRD</w:t>
            </w:r>
          </w:p>
        </w:tc>
        <w:tc>
          <w:tcPr>
            <w:tcW w:w="7767" w:type="dxa"/>
          </w:tcPr>
          <w:p w14:paraId="71C5329F" w14:textId="05E84BE5" w:rsidR="00AB46DF" w:rsidRPr="009451D3" w:rsidRDefault="00AA248F" w:rsidP="004D24B8">
            <w:pPr>
              <w:spacing w:before="60" w:after="60" w:line="288" w:lineRule="auto"/>
              <w:rPr>
                <w:lang w:val="en-GB"/>
              </w:rPr>
            </w:pPr>
            <w:r w:rsidRPr="009451D3">
              <w:rPr>
                <w:lang w:val="en-GB"/>
              </w:rPr>
              <w:t>Short-Range Devices</w:t>
            </w:r>
          </w:p>
        </w:tc>
      </w:tr>
      <w:tr w:rsidR="00166E5F" w:rsidRPr="009451D3" w14:paraId="30CF12D8" w14:textId="77777777">
        <w:tc>
          <w:tcPr>
            <w:tcW w:w="2088" w:type="dxa"/>
          </w:tcPr>
          <w:p w14:paraId="6944A84A" w14:textId="4A6A2BE6" w:rsidR="00166E5F" w:rsidRPr="009451D3" w:rsidRDefault="00166E5F" w:rsidP="004D24B8">
            <w:pPr>
              <w:spacing w:before="60" w:after="60" w:line="288" w:lineRule="auto"/>
              <w:rPr>
                <w:b/>
                <w:lang w:val="en-GB"/>
              </w:rPr>
            </w:pPr>
            <w:r>
              <w:rPr>
                <w:b/>
                <w:lang w:val="en-GB"/>
              </w:rPr>
              <w:t>UHD</w:t>
            </w:r>
          </w:p>
        </w:tc>
        <w:tc>
          <w:tcPr>
            <w:tcW w:w="7767" w:type="dxa"/>
          </w:tcPr>
          <w:p w14:paraId="09F90204" w14:textId="58BBF0B1" w:rsidR="00166E5F" w:rsidRPr="009451D3" w:rsidRDefault="00166E5F" w:rsidP="004D24B8">
            <w:pPr>
              <w:spacing w:before="60" w:after="60" w:line="288" w:lineRule="auto"/>
              <w:rPr>
                <w:lang w:val="en-GB"/>
              </w:rPr>
            </w:pPr>
            <w:r>
              <w:rPr>
                <w:lang w:val="en-GB"/>
              </w:rPr>
              <w:t>Ultra High Definition</w:t>
            </w:r>
          </w:p>
        </w:tc>
      </w:tr>
      <w:tr w:rsidR="00AB46DF" w:rsidRPr="009451D3" w14:paraId="74978348" w14:textId="77777777">
        <w:tc>
          <w:tcPr>
            <w:tcW w:w="2088" w:type="dxa"/>
          </w:tcPr>
          <w:p w14:paraId="23A340EF" w14:textId="55DF04AF" w:rsidR="00AB46DF" w:rsidRPr="009451D3" w:rsidRDefault="006A41DE" w:rsidP="004D24B8">
            <w:pPr>
              <w:spacing w:before="60" w:after="60" w:line="288" w:lineRule="auto"/>
              <w:rPr>
                <w:b/>
                <w:lang w:val="en-GB"/>
              </w:rPr>
            </w:pPr>
            <w:r w:rsidRPr="009451D3">
              <w:rPr>
                <w:b/>
                <w:lang w:val="en-GB"/>
              </w:rPr>
              <w:t>WDTS</w:t>
            </w:r>
          </w:p>
        </w:tc>
        <w:tc>
          <w:tcPr>
            <w:tcW w:w="7767" w:type="dxa"/>
          </w:tcPr>
          <w:p w14:paraId="48FEDE00" w14:textId="70DB3610" w:rsidR="00AB46DF" w:rsidRPr="009451D3" w:rsidRDefault="006A41DE" w:rsidP="004D24B8">
            <w:pPr>
              <w:spacing w:before="60" w:after="60" w:line="288" w:lineRule="auto"/>
              <w:rPr>
                <w:lang w:val="en-GB"/>
              </w:rPr>
            </w:pPr>
            <w:r w:rsidRPr="009451D3">
              <w:rPr>
                <w:lang w:val="en-GB"/>
              </w:rPr>
              <w:t>Wideband Data Transmission Systems</w:t>
            </w:r>
          </w:p>
        </w:tc>
      </w:tr>
    </w:tbl>
    <w:p w14:paraId="03BCC113" w14:textId="77777777" w:rsidR="00AB46DF" w:rsidRPr="009451D3" w:rsidRDefault="00AB46DF" w:rsidP="00AB46DF">
      <w:pPr>
        <w:rPr>
          <w:lang w:val="en-GB"/>
        </w:rPr>
      </w:pPr>
    </w:p>
    <w:p w14:paraId="7B47A2A2" w14:textId="211AC667" w:rsidR="00AB46DF" w:rsidRPr="009451D3" w:rsidRDefault="003C3EE4" w:rsidP="00AB46DF">
      <w:pPr>
        <w:pStyle w:val="Heading1"/>
      </w:pPr>
      <w:bookmarkStart w:id="3" w:name="_Toc56160825"/>
      <w:r w:rsidRPr="009451D3">
        <w:lastRenderedPageBreak/>
        <w:t>Introduction</w:t>
      </w:r>
      <w:bookmarkEnd w:id="3"/>
      <w:r w:rsidRPr="009451D3">
        <w:t xml:space="preserve"> </w:t>
      </w:r>
    </w:p>
    <w:p w14:paraId="3CE3BB90" w14:textId="23DE1151" w:rsidR="0009428A" w:rsidRPr="009451D3" w:rsidRDefault="0009428A" w:rsidP="0009428A">
      <w:pPr>
        <w:jc w:val="both"/>
        <w:rPr>
          <w:lang w:val="en-GB"/>
        </w:rPr>
      </w:pPr>
      <w:r w:rsidRPr="009451D3">
        <w:rPr>
          <w:lang w:val="en-GB"/>
        </w:rPr>
        <w:t xml:space="preserve">ECC </w:t>
      </w:r>
      <w:r w:rsidR="00DA6AF8" w:rsidRPr="009451D3">
        <w:rPr>
          <w:lang w:val="en-GB"/>
        </w:rPr>
        <w:t xml:space="preserve">has considered </w:t>
      </w:r>
      <w:r w:rsidR="002855CE">
        <w:rPr>
          <w:lang w:val="en-GB"/>
        </w:rPr>
        <w:t>T</w:t>
      </w:r>
      <w:r w:rsidRPr="009451D3">
        <w:rPr>
          <w:lang w:val="en-GB"/>
        </w:rPr>
        <w:t>ask 3 of the EC mandate to CEPT to develop least restrictive harmonised technical conditions suitable for next-generation (5G) terrestrial wireless systems for priority frequency bands above 24</w:t>
      </w:r>
      <w:r w:rsidR="009451D3">
        <w:rPr>
          <w:lang w:val="en-GB"/>
        </w:rPr>
        <w:t> </w:t>
      </w:r>
      <w:r w:rsidRPr="009451D3">
        <w:rPr>
          <w:lang w:val="en-GB"/>
        </w:rPr>
        <w:t>GHz.</w:t>
      </w:r>
    </w:p>
    <w:p w14:paraId="55DB1018" w14:textId="77777777" w:rsidR="0009428A" w:rsidRPr="009451D3" w:rsidRDefault="0009428A" w:rsidP="0009428A">
      <w:pPr>
        <w:jc w:val="both"/>
        <w:rPr>
          <w:lang w:val="en-GB"/>
        </w:rPr>
      </w:pPr>
    </w:p>
    <w:p w14:paraId="079F4D7F" w14:textId="194B0D45" w:rsidR="0009428A" w:rsidRPr="009451D3" w:rsidRDefault="0009428A" w:rsidP="0009428A">
      <w:pPr>
        <w:jc w:val="both"/>
        <w:rPr>
          <w:lang w:val="en-GB"/>
        </w:rPr>
      </w:pPr>
      <w:r w:rsidRPr="009451D3">
        <w:rPr>
          <w:lang w:val="en-GB"/>
        </w:rPr>
        <w:t>Task 3 is to review and revise, only if necessary, the EU-harmonised technical conditions for use of the 66-71</w:t>
      </w:r>
      <w:r w:rsidR="009451D3">
        <w:rPr>
          <w:lang w:val="en-GB"/>
        </w:rPr>
        <w:t> </w:t>
      </w:r>
      <w:r w:rsidRPr="009451D3">
        <w:rPr>
          <w:lang w:val="en-GB"/>
        </w:rPr>
        <w:t xml:space="preserve">GHz frequency band with a view to use of this band for next-generation (5G) wireless broadband electronic communications services, taking into account relevant scenarios for shared spectrum use and the further development of all relevant services within the band. In this regard, ensure coherence of results and reporting to the Commission, </w:t>
      </w:r>
      <w:proofErr w:type="gramStart"/>
      <w:r w:rsidRPr="009451D3">
        <w:rPr>
          <w:lang w:val="en-GB"/>
        </w:rPr>
        <w:t>taking into account</w:t>
      </w:r>
      <w:proofErr w:type="gramEnd"/>
      <w:r w:rsidRPr="009451D3">
        <w:rPr>
          <w:lang w:val="en-GB"/>
        </w:rPr>
        <w:t xml:space="preserve"> the ongoing work on the permanent mandate to CEPT on short-range devices</w:t>
      </w:r>
      <w:r w:rsidR="00BA0000" w:rsidRPr="009451D3">
        <w:rPr>
          <w:lang w:val="en-GB"/>
        </w:rPr>
        <w:t xml:space="preserve"> </w:t>
      </w:r>
      <w:r w:rsidR="00BA0000" w:rsidRPr="009451D3">
        <w:rPr>
          <w:lang w:val="en-GB"/>
        </w:rPr>
        <w:fldChar w:fldCharType="begin"/>
      </w:r>
      <w:r w:rsidR="00BA0000" w:rsidRPr="009451D3">
        <w:rPr>
          <w:lang w:val="en-GB"/>
        </w:rPr>
        <w:instrText xml:space="preserve"> REF _Ref56440942 \r \h </w:instrText>
      </w:r>
      <w:r w:rsidR="00BA0000" w:rsidRPr="009451D3">
        <w:rPr>
          <w:lang w:val="en-GB"/>
        </w:rPr>
      </w:r>
      <w:r w:rsidR="00BA0000" w:rsidRPr="009451D3">
        <w:rPr>
          <w:lang w:val="en-GB"/>
        </w:rPr>
        <w:fldChar w:fldCharType="separate"/>
      </w:r>
      <w:r w:rsidR="00BA0000" w:rsidRPr="009451D3">
        <w:rPr>
          <w:lang w:val="en-GB"/>
        </w:rPr>
        <w:t>[4]</w:t>
      </w:r>
      <w:r w:rsidR="00BA0000" w:rsidRPr="009451D3">
        <w:rPr>
          <w:lang w:val="en-GB"/>
        </w:rPr>
        <w:fldChar w:fldCharType="end"/>
      </w:r>
      <w:r w:rsidRPr="009451D3">
        <w:rPr>
          <w:lang w:val="en-GB"/>
        </w:rPr>
        <w:t>, in accordance with the latest Commission guidance</w:t>
      </w:r>
      <w:r w:rsidR="00BA0000" w:rsidRPr="009451D3">
        <w:rPr>
          <w:lang w:val="en-GB"/>
        </w:rPr>
        <w:t xml:space="preserve"> </w:t>
      </w:r>
      <w:r w:rsidR="00BA0000" w:rsidRPr="009451D3">
        <w:rPr>
          <w:lang w:val="en-GB"/>
        </w:rPr>
        <w:fldChar w:fldCharType="begin"/>
      </w:r>
      <w:r w:rsidR="00BA0000" w:rsidRPr="009451D3">
        <w:rPr>
          <w:lang w:val="en-GB"/>
        </w:rPr>
        <w:instrText xml:space="preserve"> REF _Ref56440950 \r \h </w:instrText>
      </w:r>
      <w:r w:rsidR="00BA0000" w:rsidRPr="009451D3">
        <w:rPr>
          <w:lang w:val="en-GB"/>
        </w:rPr>
      </w:r>
      <w:r w:rsidR="00BA0000" w:rsidRPr="009451D3">
        <w:rPr>
          <w:lang w:val="en-GB"/>
        </w:rPr>
        <w:fldChar w:fldCharType="separate"/>
      </w:r>
      <w:r w:rsidR="00BA0000" w:rsidRPr="009451D3">
        <w:rPr>
          <w:lang w:val="en-GB"/>
        </w:rPr>
        <w:t>[5]</w:t>
      </w:r>
      <w:r w:rsidR="00BA0000" w:rsidRPr="009451D3">
        <w:rPr>
          <w:lang w:val="en-GB"/>
        </w:rPr>
        <w:fldChar w:fldCharType="end"/>
      </w:r>
      <w:r w:rsidRPr="009451D3">
        <w:rPr>
          <w:lang w:val="en-GB"/>
        </w:rPr>
        <w:t>.</w:t>
      </w:r>
    </w:p>
    <w:p w14:paraId="35FDEF5B" w14:textId="314050CA" w:rsidR="00AB46DF" w:rsidRPr="009451D3" w:rsidRDefault="000500C9" w:rsidP="00AB46DF">
      <w:pPr>
        <w:pStyle w:val="Heading1"/>
      </w:pPr>
      <w:bookmarkStart w:id="4" w:name="_Toc56160826"/>
      <w:bookmarkStart w:id="5" w:name="_Ref274743743"/>
      <w:r w:rsidRPr="009451D3">
        <w:lastRenderedPageBreak/>
        <w:t>Current regulations and Previous related studies</w:t>
      </w:r>
      <w:bookmarkEnd w:id="4"/>
    </w:p>
    <w:p w14:paraId="49CD1A49" w14:textId="1449C99C" w:rsidR="004455E4" w:rsidRPr="007C4543" w:rsidRDefault="004455E4" w:rsidP="004455E4">
      <w:pPr>
        <w:jc w:val="both"/>
        <w:rPr>
          <w:lang w:val="en-GB"/>
        </w:rPr>
      </w:pPr>
      <w:r w:rsidRPr="00CD5518">
        <w:rPr>
          <w:lang w:val="en-GB"/>
        </w:rPr>
        <w:t xml:space="preserve">The </w:t>
      </w:r>
      <w:r w:rsidRPr="0018601C">
        <w:rPr>
          <w:lang w:val="en-GB"/>
        </w:rPr>
        <w:t xml:space="preserve">relevant spectrum regulatory deliverables were revised and updated during the study period for WRC-19 to include both increased power and spectrum availability to allow use of the band 66-71 GHz by a more diverse set of uses and applications. EC Decision for SRD (EU) 2019/1345 </w:t>
      </w:r>
      <w:r w:rsidRPr="0018601C">
        <w:rPr>
          <w:lang w:val="en-GB"/>
        </w:rPr>
        <w:fldChar w:fldCharType="begin"/>
      </w:r>
      <w:r w:rsidRPr="0018601C">
        <w:rPr>
          <w:lang w:val="en-GB"/>
        </w:rPr>
        <w:instrText xml:space="preserve"> REF _Ref56440048 \r \h </w:instrText>
      </w:r>
      <w:r w:rsidRPr="00C465B9">
        <w:rPr>
          <w:lang w:val="en-GB"/>
        </w:rPr>
        <w:instrText xml:space="preserve"> \* MERGEFORMAT </w:instrText>
      </w:r>
      <w:r w:rsidRPr="0018601C">
        <w:rPr>
          <w:lang w:val="en-GB"/>
        </w:rPr>
      </w:r>
      <w:r w:rsidRPr="0018601C">
        <w:rPr>
          <w:lang w:val="en-GB"/>
        </w:rPr>
        <w:fldChar w:fldCharType="separate"/>
      </w:r>
      <w:r w:rsidRPr="0018601C">
        <w:rPr>
          <w:lang w:val="en-GB"/>
        </w:rPr>
        <w:t>[1]</w:t>
      </w:r>
      <w:r w:rsidRPr="0018601C">
        <w:rPr>
          <w:lang w:val="en-GB"/>
        </w:rPr>
        <w:fldChar w:fldCharType="end"/>
      </w:r>
      <w:r w:rsidRPr="00CD5518">
        <w:rPr>
          <w:lang w:val="en-GB"/>
        </w:rPr>
        <w:t xml:space="preserve"> and </w:t>
      </w:r>
      <w:r w:rsidRPr="007C4543">
        <w:rPr>
          <w:lang w:val="en-GB"/>
        </w:rPr>
        <w:t xml:space="preserve">ERC Recommendation 70-03 </w:t>
      </w:r>
      <w:r w:rsidRPr="007C4543">
        <w:rPr>
          <w:lang w:val="en-GB"/>
        </w:rPr>
        <w:fldChar w:fldCharType="begin"/>
      </w:r>
      <w:r w:rsidRPr="007C4543">
        <w:rPr>
          <w:lang w:val="en-GB"/>
        </w:rPr>
        <w:instrText xml:space="preserve"> REF _Ref56440239 \r \h </w:instrText>
      </w:r>
      <w:r w:rsidRPr="007C4543">
        <w:rPr>
          <w:lang w:val="en-GB"/>
        </w:rPr>
      </w:r>
      <w:r w:rsidRPr="007C4543">
        <w:rPr>
          <w:lang w:val="en-GB"/>
        </w:rPr>
        <w:fldChar w:fldCharType="separate"/>
      </w:r>
      <w:r w:rsidRPr="007C4543">
        <w:rPr>
          <w:lang w:val="en-GB"/>
        </w:rPr>
        <w:t>[2]</w:t>
      </w:r>
      <w:r w:rsidRPr="007C4543">
        <w:rPr>
          <w:lang w:val="en-GB"/>
        </w:rPr>
        <w:fldChar w:fldCharType="end"/>
      </w:r>
      <w:r w:rsidRPr="007C4543">
        <w:rPr>
          <w:lang w:val="en-GB"/>
        </w:rPr>
        <w:t xml:space="preserve"> have provisions to allow Wideband Data Transmission use in the 57-71 GHz band</w:t>
      </w:r>
      <w:r>
        <w:rPr>
          <w:lang w:val="en-GB"/>
        </w:rPr>
        <w:t xml:space="preserve"> with up to 40 dBm e.i.r.p. and 55 dBm e.i.r.p. (fixed outdoor use)</w:t>
      </w:r>
      <w:r w:rsidRPr="007C4543">
        <w:rPr>
          <w:lang w:val="en-GB"/>
        </w:rPr>
        <w:t>.</w:t>
      </w:r>
    </w:p>
    <w:p w14:paraId="470A9257" w14:textId="77777777" w:rsidR="004455E4" w:rsidRDefault="004455E4" w:rsidP="00A34FE2">
      <w:pPr>
        <w:jc w:val="both"/>
        <w:rPr>
          <w:lang w:val="en-GB"/>
        </w:rPr>
      </w:pPr>
    </w:p>
    <w:p w14:paraId="4133747D" w14:textId="07C87CAD" w:rsidR="00A34FE2" w:rsidRPr="0018601C" w:rsidRDefault="00A34FE2" w:rsidP="00A34FE2">
      <w:pPr>
        <w:jc w:val="both"/>
        <w:rPr>
          <w:lang w:val="en-GB"/>
        </w:rPr>
      </w:pPr>
      <w:r w:rsidRPr="0018601C">
        <w:rPr>
          <w:lang w:val="en-GB"/>
        </w:rPr>
        <w:t>The studies undertaken were originally to allow higher powers in the 57-66 GHz range and considered the results of new studies in ECC Report 288</w:t>
      </w:r>
      <w:r w:rsidR="00ED5C80" w:rsidRPr="0018601C">
        <w:rPr>
          <w:lang w:val="en-GB"/>
        </w:rPr>
        <w:t xml:space="preserve"> </w:t>
      </w:r>
      <w:r w:rsidR="00ED5C80" w:rsidRPr="0018601C">
        <w:rPr>
          <w:lang w:val="en-GB"/>
        </w:rPr>
        <w:fldChar w:fldCharType="begin"/>
      </w:r>
      <w:r w:rsidR="00ED5C80" w:rsidRPr="0018601C">
        <w:rPr>
          <w:lang w:val="en-GB"/>
        </w:rPr>
        <w:instrText xml:space="preserve"> REF _Ref56441170 \r \h </w:instrText>
      </w:r>
      <w:r w:rsidR="00013B01" w:rsidRPr="00C465B9">
        <w:rPr>
          <w:lang w:val="en-GB"/>
        </w:rPr>
        <w:instrText xml:space="preserve"> \* MERGEFORMAT </w:instrText>
      </w:r>
      <w:r w:rsidR="00ED5C80" w:rsidRPr="0018601C">
        <w:rPr>
          <w:lang w:val="en-GB"/>
        </w:rPr>
      </w:r>
      <w:r w:rsidR="00ED5C80" w:rsidRPr="0018601C">
        <w:rPr>
          <w:lang w:val="en-GB"/>
        </w:rPr>
        <w:fldChar w:fldCharType="separate"/>
      </w:r>
      <w:r w:rsidR="00ED5C80" w:rsidRPr="0018601C">
        <w:rPr>
          <w:lang w:val="en-GB"/>
        </w:rPr>
        <w:t>[6]</w:t>
      </w:r>
      <w:r w:rsidR="00ED5C80" w:rsidRPr="0018601C">
        <w:rPr>
          <w:lang w:val="en-GB"/>
        </w:rPr>
        <w:fldChar w:fldCharType="end"/>
      </w:r>
      <w:r w:rsidRPr="00CD5518">
        <w:rPr>
          <w:lang w:val="en-GB"/>
        </w:rPr>
        <w:t xml:space="preserve"> as well as previous studies </w:t>
      </w:r>
      <w:r w:rsidRPr="0018601C">
        <w:rPr>
          <w:lang w:val="en-GB"/>
        </w:rPr>
        <w:t>carried out in ECC Reports 113</w:t>
      </w:r>
      <w:r w:rsidR="00ED5C80" w:rsidRPr="0018601C">
        <w:rPr>
          <w:lang w:val="en-GB"/>
        </w:rPr>
        <w:t xml:space="preserve"> </w:t>
      </w:r>
      <w:r w:rsidR="00ED5C80" w:rsidRPr="0018601C">
        <w:rPr>
          <w:lang w:val="en-GB"/>
        </w:rPr>
        <w:fldChar w:fldCharType="begin"/>
      </w:r>
      <w:r w:rsidR="00ED5C80" w:rsidRPr="0018601C">
        <w:rPr>
          <w:lang w:val="en-GB"/>
        </w:rPr>
        <w:instrText xml:space="preserve"> REF _Ref56441177 \r \h </w:instrText>
      </w:r>
      <w:r w:rsidR="00013B01" w:rsidRPr="00C465B9">
        <w:rPr>
          <w:lang w:val="en-GB"/>
        </w:rPr>
        <w:instrText xml:space="preserve"> \* MERGEFORMAT </w:instrText>
      </w:r>
      <w:r w:rsidR="00ED5C80" w:rsidRPr="0018601C">
        <w:rPr>
          <w:lang w:val="en-GB"/>
        </w:rPr>
      </w:r>
      <w:r w:rsidR="00ED5C80" w:rsidRPr="0018601C">
        <w:rPr>
          <w:lang w:val="en-GB"/>
        </w:rPr>
        <w:fldChar w:fldCharType="separate"/>
      </w:r>
      <w:r w:rsidR="00ED5C80" w:rsidRPr="0018601C">
        <w:rPr>
          <w:lang w:val="en-GB"/>
        </w:rPr>
        <w:t>[7]</w:t>
      </w:r>
      <w:r w:rsidR="00ED5C80" w:rsidRPr="0018601C">
        <w:rPr>
          <w:lang w:val="en-GB"/>
        </w:rPr>
        <w:fldChar w:fldCharType="end"/>
      </w:r>
      <w:r w:rsidRPr="00CD5518">
        <w:rPr>
          <w:lang w:val="en-GB"/>
        </w:rPr>
        <w:t xml:space="preserve"> and 114</w:t>
      </w:r>
      <w:r w:rsidR="00ED5C80" w:rsidRPr="0018601C">
        <w:rPr>
          <w:lang w:val="en-GB"/>
        </w:rPr>
        <w:t xml:space="preserve"> </w:t>
      </w:r>
      <w:r w:rsidR="00ED5C80" w:rsidRPr="0018601C">
        <w:rPr>
          <w:lang w:val="en-GB"/>
        </w:rPr>
        <w:fldChar w:fldCharType="begin"/>
      </w:r>
      <w:r w:rsidR="00ED5C80" w:rsidRPr="0018601C">
        <w:rPr>
          <w:lang w:val="en-GB"/>
        </w:rPr>
        <w:instrText xml:space="preserve"> REF _Ref56441185 \r \h </w:instrText>
      </w:r>
      <w:r w:rsidR="00013B01" w:rsidRPr="00C465B9">
        <w:rPr>
          <w:lang w:val="en-GB"/>
        </w:rPr>
        <w:instrText xml:space="preserve"> \* MERGEFORMAT </w:instrText>
      </w:r>
      <w:r w:rsidR="00ED5C80" w:rsidRPr="0018601C">
        <w:rPr>
          <w:lang w:val="en-GB"/>
        </w:rPr>
      </w:r>
      <w:r w:rsidR="00ED5C80" w:rsidRPr="0018601C">
        <w:rPr>
          <w:lang w:val="en-GB"/>
        </w:rPr>
        <w:fldChar w:fldCharType="separate"/>
      </w:r>
      <w:r w:rsidR="00ED5C80" w:rsidRPr="0018601C">
        <w:rPr>
          <w:lang w:val="en-GB"/>
        </w:rPr>
        <w:t>[8]</w:t>
      </w:r>
      <w:r w:rsidR="00ED5C80" w:rsidRPr="0018601C">
        <w:rPr>
          <w:lang w:val="en-GB"/>
        </w:rPr>
        <w:fldChar w:fldCharType="end"/>
      </w:r>
      <w:r w:rsidRPr="00CD5518">
        <w:rPr>
          <w:lang w:val="en-GB"/>
        </w:rPr>
        <w:t xml:space="preserve">. The scope of ECC Report 288 was to analyse the compatibility of Multiple Gigabit Wireless Systems (MGWS) with the Fixed Service (FS) and other services in the 60 GHz band (V-band). It was also to assess the feasibility of establishing a common set </w:t>
      </w:r>
      <w:r w:rsidRPr="0018601C">
        <w:rPr>
          <w:lang w:val="en-GB"/>
        </w:rPr>
        <w:t>of technical conditions under which Fixed Service applications and other envisaged outdoor Wideband Data Transmission use may coexist within the 57-66 GHz range as described in the CEPT Roadmap for 5G</w:t>
      </w:r>
      <w:r w:rsidR="007A1B85" w:rsidRPr="0018601C">
        <w:rPr>
          <w:lang w:val="en-GB"/>
        </w:rPr>
        <w:t xml:space="preserve"> </w:t>
      </w:r>
      <w:r w:rsidR="007A1B85" w:rsidRPr="0018601C">
        <w:rPr>
          <w:lang w:val="en-GB"/>
        </w:rPr>
        <w:fldChar w:fldCharType="begin"/>
      </w:r>
      <w:r w:rsidR="007A1B85" w:rsidRPr="0018601C">
        <w:rPr>
          <w:lang w:val="en-GB"/>
        </w:rPr>
        <w:instrText xml:space="preserve"> REF _Ref56441254 \r \h </w:instrText>
      </w:r>
      <w:r w:rsidR="00013B01" w:rsidRPr="00C465B9">
        <w:rPr>
          <w:lang w:val="en-GB"/>
        </w:rPr>
        <w:instrText xml:space="preserve"> \* MERGEFORMAT </w:instrText>
      </w:r>
      <w:r w:rsidR="007A1B85" w:rsidRPr="0018601C">
        <w:rPr>
          <w:lang w:val="en-GB"/>
        </w:rPr>
      </w:r>
      <w:r w:rsidR="007A1B85" w:rsidRPr="0018601C">
        <w:rPr>
          <w:lang w:val="en-GB"/>
        </w:rPr>
        <w:fldChar w:fldCharType="separate"/>
      </w:r>
      <w:r w:rsidR="007A1B85" w:rsidRPr="0018601C">
        <w:rPr>
          <w:lang w:val="en-GB"/>
        </w:rPr>
        <w:t>[3]</w:t>
      </w:r>
      <w:r w:rsidR="007A1B85" w:rsidRPr="0018601C">
        <w:rPr>
          <w:lang w:val="en-GB"/>
        </w:rPr>
        <w:fldChar w:fldCharType="end"/>
      </w:r>
      <w:r w:rsidRPr="00CD5518">
        <w:rPr>
          <w:lang w:val="en-GB"/>
        </w:rPr>
        <w:t xml:space="preserve">. It was considered that this frequency band is a shared band </w:t>
      </w:r>
      <w:r w:rsidR="004F64FD" w:rsidRPr="0018601C">
        <w:rPr>
          <w:lang w:val="en-GB"/>
        </w:rPr>
        <w:t>under the assumption</w:t>
      </w:r>
      <w:r w:rsidRPr="0018601C">
        <w:rPr>
          <w:lang w:val="en-GB"/>
        </w:rPr>
        <w:t xml:space="preserve"> that Wideband Data Transmission use includes 5G/IMT.</w:t>
      </w:r>
    </w:p>
    <w:p w14:paraId="5A1105D0" w14:textId="77777777" w:rsidR="00A34FE2" w:rsidRPr="0018601C" w:rsidRDefault="00A34FE2" w:rsidP="00A34FE2">
      <w:pPr>
        <w:jc w:val="both"/>
        <w:rPr>
          <w:lang w:val="en-GB"/>
        </w:rPr>
      </w:pPr>
    </w:p>
    <w:p w14:paraId="0133B3C9" w14:textId="4A97E258" w:rsidR="00884249" w:rsidRPr="0018601C" w:rsidRDefault="00A34FE2" w:rsidP="00A34FE2">
      <w:pPr>
        <w:jc w:val="both"/>
        <w:rPr>
          <w:lang w:val="en-GB"/>
        </w:rPr>
      </w:pPr>
      <w:r w:rsidRPr="0018601C">
        <w:rPr>
          <w:lang w:val="en-GB"/>
        </w:rPr>
        <w:t>In addition, the results of the studies carried out within CEPT between wideband data transmission use and the incumbent services and applications in the 57-66</w:t>
      </w:r>
      <w:r w:rsidR="004A1747" w:rsidRPr="0018601C">
        <w:rPr>
          <w:lang w:val="en-GB"/>
        </w:rPr>
        <w:t xml:space="preserve"> </w:t>
      </w:r>
      <w:r w:rsidRPr="0018601C">
        <w:rPr>
          <w:lang w:val="en-GB"/>
        </w:rPr>
        <w:t xml:space="preserve">GHz bands were further analysed to include the possibility of expanding the existing regulations to cover the 66-71 GHz band. As a result of this additional analysis both CEPT and EC developed the revised regulations and technology neutral technical conditions contained in both </w:t>
      </w:r>
      <w:r w:rsidR="00C513C8" w:rsidRPr="0018601C">
        <w:rPr>
          <w:lang w:val="en-GB"/>
        </w:rPr>
        <w:t xml:space="preserve">EC Decision for SRD </w:t>
      </w:r>
      <w:r w:rsidRPr="0018601C">
        <w:rPr>
          <w:lang w:val="en-GB"/>
        </w:rPr>
        <w:t xml:space="preserve">(EU) 2019/1345 and ERC Recommendation 70-03 that were approved last year. The scope of this work was not to look at introducing licenced mobile services into the band as the assumption was that 5G services in the 66-71 GHz band would have to share and meet the same technical requirements as the existing services operating in the band </w:t>
      </w:r>
      <w:r w:rsidR="00841DFC" w:rsidRPr="0018601C">
        <w:rPr>
          <w:lang w:val="en-GB"/>
        </w:rPr>
        <w:t xml:space="preserve">(57-66 GHz) </w:t>
      </w:r>
      <w:r w:rsidRPr="0018601C">
        <w:rPr>
          <w:lang w:val="en-GB"/>
        </w:rPr>
        <w:t xml:space="preserve">under a general authorisation regime. </w:t>
      </w:r>
    </w:p>
    <w:p w14:paraId="7F98834C" w14:textId="77777777" w:rsidR="00884249" w:rsidRPr="0018601C" w:rsidRDefault="00884249" w:rsidP="00A34FE2">
      <w:pPr>
        <w:jc w:val="both"/>
        <w:rPr>
          <w:lang w:val="en-GB"/>
        </w:rPr>
      </w:pPr>
    </w:p>
    <w:p w14:paraId="6E08C0E4" w14:textId="4D327A1C" w:rsidR="00A34FE2" w:rsidRPr="0018601C" w:rsidRDefault="00A34FE2" w:rsidP="00A34FE2">
      <w:pPr>
        <w:jc w:val="both"/>
        <w:rPr>
          <w:lang w:val="en-GB"/>
        </w:rPr>
      </w:pPr>
      <w:r w:rsidRPr="0018601C">
        <w:rPr>
          <w:lang w:val="en-GB"/>
        </w:rPr>
        <w:t>ETSI</w:t>
      </w:r>
      <w:r w:rsidRPr="00CD5518">
        <w:rPr>
          <w:lang w:val="en-GB"/>
        </w:rPr>
        <w:t xml:space="preserve"> has raised new work items to revise the existing Harmonised Standard for 60 GHz Multiple-Gigabit/s (MGWS) equipment (EN 302</w:t>
      </w:r>
      <w:r w:rsidR="00E93DDC" w:rsidRPr="0018601C">
        <w:rPr>
          <w:lang w:val="en-GB"/>
        </w:rPr>
        <w:t> </w:t>
      </w:r>
      <w:r w:rsidRPr="0018601C">
        <w:rPr>
          <w:lang w:val="en-GB"/>
        </w:rPr>
        <w:t>567</w:t>
      </w:r>
      <w:r w:rsidR="00E93DDC" w:rsidRPr="0018601C">
        <w:rPr>
          <w:lang w:val="en-GB"/>
        </w:rPr>
        <w:t xml:space="preserve"> </w:t>
      </w:r>
      <w:r w:rsidR="00E93DDC" w:rsidRPr="0018601C">
        <w:rPr>
          <w:lang w:val="en-GB"/>
        </w:rPr>
        <w:fldChar w:fldCharType="begin"/>
      </w:r>
      <w:r w:rsidR="00E93DDC" w:rsidRPr="0018601C">
        <w:rPr>
          <w:lang w:val="en-GB"/>
        </w:rPr>
        <w:instrText xml:space="preserve"> REF _Ref56441390 \r \h </w:instrText>
      </w:r>
      <w:r w:rsidR="00B110BB" w:rsidRPr="00C465B9">
        <w:rPr>
          <w:lang w:val="en-GB"/>
        </w:rPr>
        <w:instrText xml:space="preserve"> \* MERGEFORMAT </w:instrText>
      </w:r>
      <w:r w:rsidR="00E93DDC" w:rsidRPr="0018601C">
        <w:rPr>
          <w:lang w:val="en-GB"/>
        </w:rPr>
      </w:r>
      <w:r w:rsidR="00E93DDC" w:rsidRPr="0018601C">
        <w:rPr>
          <w:lang w:val="en-GB"/>
        </w:rPr>
        <w:fldChar w:fldCharType="separate"/>
      </w:r>
      <w:r w:rsidR="00E93DDC" w:rsidRPr="0018601C">
        <w:rPr>
          <w:lang w:val="en-GB"/>
        </w:rPr>
        <w:t>[9]</w:t>
      </w:r>
      <w:r w:rsidR="00E93DDC" w:rsidRPr="0018601C">
        <w:rPr>
          <w:lang w:val="en-GB"/>
        </w:rPr>
        <w:fldChar w:fldCharType="end"/>
      </w:r>
      <w:r w:rsidRPr="00CD5518">
        <w:rPr>
          <w:lang w:val="en-GB"/>
        </w:rPr>
        <w:t xml:space="preserve">) to include the </w:t>
      </w:r>
      <w:r w:rsidRPr="0018601C">
        <w:rPr>
          <w:lang w:val="en-GB"/>
        </w:rPr>
        <w:t>extension from 66-71 GHz and develop two new ETSI harmonised Standards for use of the 57-71</w:t>
      </w:r>
      <w:r w:rsidR="004A1747" w:rsidRPr="0018601C">
        <w:rPr>
          <w:lang w:val="en-GB"/>
        </w:rPr>
        <w:t xml:space="preserve"> </w:t>
      </w:r>
      <w:r w:rsidRPr="0018601C">
        <w:rPr>
          <w:lang w:val="en-GB"/>
        </w:rPr>
        <w:t>GHz band by Wideband Data Transmission Systems (WDTS) for Fixed Networks (EN 303</w:t>
      </w:r>
      <w:r w:rsidR="00E93DDC" w:rsidRPr="0018601C">
        <w:rPr>
          <w:lang w:val="en-GB"/>
        </w:rPr>
        <w:t> </w:t>
      </w:r>
      <w:r w:rsidRPr="0018601C">
        <w:rPr>
          <w:lang w:val="en-GB"/>
        </w:rPr>
        <w:t>722</w:t>
      </w:r>
      <w:r w:rsidR="00E93DDC" w:rsidRPr="0018601C">
        <w:rPr>
          <w:lang w:val="en-GB"/>
        </w:rPr>
        <w:t xml:space="preserve"> </w:t>
      </w:r>
      <w:r w:rsidR="00E93DDC" w:rsidRPr="0018601C">
        <w:rPr>
          <w:lang w:val="en-GB"/>
        </w:rPr>
        <w:fldChar w:fldCharType="begin"/>
      </w:r>
      <w:r w:rsidR="00E93DDC" w:rsidRPr="0018601C">
        <w:rPr>
          <w:lang w:val="en-GB"/>
        </w:rPr>
        <w:instrText xml:space="preserve"> REF _Ref56441396 \r \h </w:instrText>
      </w:r>
      <w:r w:rsidR="00B110BB" w:rsidRPr="00C465B9">
        <w:rPr>
          <w:lang w:val="en-GB"/>
        </w:rPr>
        <w:instrText xml:space="preserve"> \* MERGEFORMAT </w:instrText>
      </w:r>
      <w:r w:rsidR="00E93DDC" w:rsidRPr="0018601C">
        <w:rPr>
          <w:lang w:val="en-GB"/>
        </w:rPr>
      </w:r>
      <w:r w:rsidR="00E93DDC" w:rsidRPr="0018601C">
        <w:rPr>
          <w:lang w:val="en-GB"/>
        </w:rPr>
        <w:fldChar w:fldCharType="separate"/>
      </w:r>
      <w:r w:rsidR="00E93DDC" w:rsidRPr="0018601C">
        <w:rPr>
          <w:lang w:val="en-GB"/>
        </w:rPr>
        <w:t>[10]</w:t>
      </w:r>
      <w:r w:rsidR="00E93DDC" w:rsidRPr="0018601C">
        <w:rPr>
          <w:lang w:val="en-GB"/>
        </w:rPr>
        <w:fldChar w:fldCharType="end"/>
      </w:r>
      <w:r w:rsidRPr="00CD5518">
        <w:rPr>
          <w:lang w:val="en-GB"/>
        </w:rPr>
        <w:t>) and Wideband Data Transmission Systems (WDTS) for Mobile and Fixed Equipment (EN 303</w:t>
      </w:r>
      <w:r w:rsidR="00E93DDC" w:rsidRPr="0018601C">
        <w:rPr>
          <w:lang w:val="en-GB"/>
        </w:rPr>
        <w:t> </w:t>
      </w:r>
      <w:r w:rsidRPr="0018601C">
        <w:rPr>
          <w:lang w:val="en-GB"/>
        </w:rPr>
        <w:t>753</w:t>
      </w:r>
      <w:r w:rsidR="00E93DDC" w:rsidRPr="0018601C">
        <w:rPr>
          <w:lang w:val="en-GB"/>
        </w:rPr>
        <w:t xml:space="preserve"> </w:t>
      </w:r>
      <w:r w:rsidR="00E93DDC" w:rsidRPr="0018601C">
        <w:rPr>
          <w:lang w:val="en-GB"/>
        </w:rPr>
        <w:fldChar w:fldCharType="begin"/>
      </w:r>
      <w:r w:rsidR="00E93DDC" w:rsidRPr="0018601C">
        <w:rPr>
          <w:lang w:val="en-GB"/>
        </w:rPr>
        <w:instrText xml:space="preserve"> REF _Ref56441402 \r \h </w:instrText>
      </w:r>
      <w:r w:rsidR="00B110BB" w:rsidRPr="00C465B9">
        <w:rPr>
          <w:lang w:val="en-GB"/>
        </w:rPr>
        <w:instrText xml:space="preserve"> \* MERGEFORMAT </w:instrText>
      </w:r>
      <w:r w:rsidR="00E93DDC" w:rsidRPr="0018601C">
        <w:rPr>
          <w:lang w:val="en-GB"/>
        </w:rPr>
      </w:r>
      <w:r w:rsidR="00E93DDC" w:rsidRPr="0018601C">
        <w:rPr>
          <w:lang w:val="en-GB"/>
        </w:rPr>
        <w:fldChar w:fldCharType="separate"/>
      </w:r>
      <w:r w:rsidR="00E93DDC" w:rsidRPr="0018601C">
        <w:rPr>
          <w:lang w:val="en-GB"/>
        </w:rPr>
        <w:t>[11]</w:t>
      </w:r>
      <w:r w:rsidR="00E93DDC" w:rsidRPr="0018601C">
        <w:rPr>
          <w:lang w:val="en-GB"/>
        </w:rPr>
        <w:fldChar w:fldCharType="end"/>
      </w:r>
      <w:r w:rsidRPr="00CD5518">
        <w:rPr>
          <w:lang w:val="en-GB"/>
        </w:rPr>
        <w:t>). However, although the scope of this work included use of 3GPP technologies it is not specifically targeted at licenced mobile services and the technical parameters being used are based on th</w:t>
      </w:r>
      <w:r w:rsidRPr="0018601C">
        <w:rPr>
          <w:lang w:val="en-GB"/>
        </w:rPr>
        <w:t>e current regulations.</w:t>
      </w:r>
    </w:p>
    <w:p w14:paraId="7DA27C5A" w14:textId="77777777" w:rsidR="00F0623F" w:rsidRPr="0018601C" w:rsidRDefault="00F0623F" w:rsidP="00F0623F">
      <w:pPr>
        <w:pStyle w:val="ECCParagraph"/>
        <w:spacing w:after="0"/>
      </w:pPr>
    </w:p>
    <w:p w14:paraId="2C3977B6" w14:textId="40DDBBDC" w:rsidR="00CD5518" w:rsidRDefault="00D73DED" w:rsidP="00D73DED">
      <w:pPr>
        <w:jc w:val="both"/>
        <w:rPr>
          <w:lang w:val="en-GB"/>
        </w:rPr>
      </w:pPr>
      <w:r w:rsidRPr="0018601C">
        <w:rPr>
          <w:lang w:val="en-GB"/>
        </w:rPr>
        <w:t xml:space="preserve">CEPT has concluded that the </w:t>
      </w:r>
      <w:r w:rsidR="00086184" w:rsidRPr="0018601C">
        <w:rPr>
          <w:lang w:val="en-GB"/>
        </w:rPr>
        <w:t xml:space="preserve">current </w:t>
      </w:r>
      <w:r w:rsidRPr="0018601C">
        <w:rPr>
          <w:lang w:val="en-GB"/>
        </w:rPr>
        <w:t>technical conditions are a fair balance that allows access to the band by a suite of technologies, without disproportionately prioritis</w:t>
      </w:r>
      <w:r w:rsidR="004F64FD" w:rsidRPr="0018601C">
        <w:rPr>
          <w:lang w:val="en-GB"/>
        </w:rPr>
        <w:t>ing</w:t>
      </w:r>
      <w:r w:rsidRPr="0018601C">
        <w:rPr>
          <w:lang w:val="en-GB"/>
        </w:rPr>
        <w:t xml:space="preserve"> one technology over another.</w:t>
      </w:r>
    </w:p>
    <w:p w14:paraId="157CC3B0" w14:textId="54A91213" w:rsidR="005B1DAA" w:rsidRDefault="005B1DAA" w:rsidP="00D73DED">
      <w:pPr>
        <w:jc w:val="both"/>
        <w:rPr>
          <w:lang w:val="en-GB"/>
        </w:rPr>
      </w:pPr>
    </w:p>
    <w:p w14:paraId="75274A13" w14:textId="3ACC9E08" w:rsidR="005B1DAA" w:rsidRDefault="005B1DAA" w:rsidP="00D73DED">
      <w:pPr>
        <w:jc w:val="both"/>
      </w:pPr>
      <w:r w:rsidRPr="006B6617">
        <w:t xml:space="preserve">Without </w:t>
      </w:r>
      <w:r w:rsidRPr="00A1405B">
        <w:rPr>
          <w:lang w:val="en-GB"/>
        </w:rPr>
        <w:t xml:space="preserve">networks being able to </w:t>
      </w:r>
      <w:r w:rsidRPr="006B6617">
        <w:t>combin</w:t>
      </w:r>
      <w:r w:rsidRPr="00A1405B">
        <w:rPr>
          <w:lang w:val="en-GB"/>
        </w:rPr>
        <w:t>e</w:t>
      </w:r>
      <w:r w:rsidRPr="006B6617">
        <w:t xml:space="preserve"> use with other </w:t>
      </w:r>
      <w:r w:rsidRPr="00A1405B">
        <w:rPr>
          <w:lang w:val="en-GB"/>
        </w:rPr>
        <w:t xml:space="preserve">complementary </w:t>
      </w:r>
      <w:r w:rsidRPr="006B6617">
        <w:t>IMT</w:t>
      </w:r>
      <w:r w:rsidRPr="00877ED0">
        <w:t xml:space="preserve"> spectrum bands</w:t>
      </w:r>
      <w:r>
        <w:t>,</w:t>
      </w:r>
      <w:r w:rsidRPr="00877ED0">
        <w:t xml:space="preserve"> </w:t>
      </w:r>
      <w:r w:rsidRPr="006B6617">
        <w:rPr>
          <w:lang w:val="en-GB"/>
        </w:rPr>
        <w:t>the existing regulations for 66-71 GHz may not allow some IMT-2020 use cases</w:t>
      </w:r>
      <w:r>
        <w:t xml:space="preserve"> that can be done in exclusive </w:t>
      </w:r>
      <w:r w:rsidR="003609CB">
        <w:t>licensed</w:t>
      </w:r>
      <w:r>
        <w:t xml:space="preserve"> spectrum.</w:t>
      </w:r>
    </w:p>
    <w:p w14:paraId="0349006B" w14:textId="382D7A2F" w:rsidR="00CF3CEF" w:rsidRDefault="00CF3CEF" w:rsidP="00D73DED">
      <w:pPr>
        <w:jc w:val="both"/>
        <w:rPr>
          <w:lang w:val="en-GB"/>
        </w:rPr>
      </w:pPr>
    </w:p>
    <w:p w14:paraId="4B68288A" w14:textId="041075D6" w:rsidR="00D73DED" w:rsidRPr="009451D3" w:rsidRDefault="007F760F" w:rsidP="00D73DED">
      <w:pPr>
        <w:jc w:val="both"/>
        <w:rPr>
          <w:lang w:val="en-GB"/>
        </w:rPr>
      </w:pPr>
      <w:r w:rsidRPr="009451D3">
        <w:rPr>
          <w:lang w:val="en-GB"/>
        </w:rPr>
        <w:t xml:space="preserve">Some administrations </w:t>
      </w:r>
      <w:r w:rsidR="00607F17" w:rsidRPr="009451D3">
        <w:rPr>
          <w:lang w:val="en-GB"/>
        </w:rPr>
        <w:t xml:space="preserve">consider that there </w:t>
      </w:r>
      <w:r w:rsidR="000A2B1F" w:rsidRPr="009451D3">
        <w:rPr>
          <w:lang w:val="en-GB"/>
        </w:rPr>
        <w:t>are</w:t>
      </w:r>
      <w:r w:rsidR="00607F17" w:rsidRPr="009451D3">
        <w:rPr>
          <w:lang w:val="en-GB"/>
        </w:rPr>
        <w:t xml:space="preserve"> some 5G use cases</w:t>
      </w:r>
      <w:r w:rsidR="003E2F72">
        <w:rPr>
          <w:rStyle w:val="FootnoteReference"/>
          <w:lang w:val="en-GB"/>
        </w:rPr>
        <w:footnoteReference w:id="1"/>
      </w:r>
      <w:r w:rsidR="00607F17" w:rsidRPr="009451D3">
        <w:rPr>
          <w:lang w:val="en-GB"/>
        </w:rPr>
        <w:t xml:space="preserve"> which may be optimal </w:t>
      </w:r>
      <w:r w:rsidR="004E11F8" w:rsidRPr="009451D3">
        <w:rPr>
          <w:lang w:val="en-GB"/>
        </w:rPr>
        <w:t>(e</w:t>
      </w:r>
      <w:r w:rsidR="00126769" w:rsidRPr="009451D3">
        <w:rPr>
          <w:lang w:val="en-GB"/>
        </w:rPr>
        <w:t>.</w:t>
      </w:r>
      <w:r w:rsidR="004E11F8" w:rsidRPr="009451D3">
        <w:rPr>
          <w:lang w:val="en-GB"/>
        </w:rPr>
        <w:t>g</w:t>
      </w:r>
      <w:r w:rsidR="00126769" w:rsidRPr="009451D3">
        <w:rPr>
          <w:lang w:val="en-GB"/>
        </w:rPr>
        <w:t>.</w:t>
      </w:r>
      <w:r w:rsidR="004E11F8" w:rsidRPr="009451D3">
        <w:rPr>
          <w:lang w:val="en-GB"/>
        </w:rPr>
        <w:t xml:space="preserve"> quality of service) </w:t>
      </w:r>
      <w:r w:rsidR="00607F17" w:rsidRPr="009451D3">
        <w:rPr>
          <w:lang w:val="en-GB"/>
        </w:rPr>
        <w:t xml:space="preserve">at higher power </w:t>
      </w:r>
      <w:r w:rsidR="00055EF9" w:rsidRPr="009451D3">
        <w:rPr>
          <w:lang w:val="en-GB"/>
        </w:rPr>
        <w:t xml:space="preserve">than </w:t>
      </w:r>
      <w:r w:rsidR="004856F5" w:rsidRPr="009451D3">
        <w:rPr>
          <w:lang w:val="en-GB"/>
        </w:rPr>
        <w:t xml:space="preserve">the power </w:t>
      </w:r>
      <w:r w:rsidR="00DB3A2A" w:rsidRPr="009451D3">
        <w:rPr>
          <w:lang w:val="en-GB"/>
        </w:rPr>
        <w:t>defin</w:t>
      </w:r>
      <w:r w:rsidR="00055EF9" w:rsidRPr="009451D3">
        <w:rPr>
          <w:lang w:val="en-GB"/>
        </w:rPr>
        <w:t xml:space="preserve">ed </w:t>
      </w:r>
      <w:r w:rsidR="00B81AAF" w:rsidRPr="009451D3">
        <w:rPr>
          <w:lang w:val="en-GB"/>
        </w:rPr>
        <w:t>in E</w:t>
      </w:r>
      <w:r w:rsidR="00E83C44" w:rsidRPr="009451D3">
        <w:rPr>
          <w:lang w:val="en-GB"/>
        </w:rPr>
        <w:t>R</w:t>
      </w:r>
      <w:r w:rsidR="00B81AAF" w:rsidRPr="009451D3">
        <w:rPr>
          <w:lang w:val="en-GB"/>
        </w:rPr>
        <w:t xml:space="preserve">C Recommendation 70-03 and </w:t>
      </w:r>
      <w:r w:rsidR="000024D2" w:rsidRPr="009451D3">
        <w:rPr>
          <w:lang w:val="en-GB"/>
        </w:rPr>
        <w:t xml:space="preserve">the </w:t>
      </w:r>
      <w:r w:rsidR="00B81AAF" w:rsidRPr="009451D3">
        <w:rPr>
          <w:lang w:val="en-GB"/>
        </w:rPr>
        <w:t>EC Decision for SRD</w:t>
      </w:r>
      <w:r w:rsidR="00126769" w:rsidRPr="009451D3">
        <w:rPr>
          <w:lang w:val="en-GB"/>
        </w:rPr>
        <w:t xml:space="preserve"> (EU) 2019/1345</w:t>
      </w:r>
      <w:r w:rsidR="004F4A43" w:rsidRPr="009451D3">
        <w:rPr>
          <w:lang w:val="en-GB"/>
        </w:rPr>
        <w:t>. Such use cases</w:t>
      </w:r>
      <w:r w:rsidR="00B81AAF" w:rsidRPr="009451D3">
        <w:rPr>
          <w:lang w:val="en-GB"/>
        </w:rPr>
        <w:t xml:space="preserve"> </w:t>
      </w:r>
      <w:r w:rsidR="00607F17" w:rsidRPr="009451D3">
        <w:rPr>
          <w:lang w:val="en-GB"/>
        </w:rPr>
        <w:t>could be considered on a national basis.</w:t>
      </w:r>
      <w:r w:rsidR="00C32A26" w:rsidRPr="009451D3">
        <w:rPr>
          <w:rFonts w:ascii="Segoe UI" w:hAnsi="Segoe UI" w:cs="Segoe UI"/>
          <w:color w:val="000000"/>
          <w:lang w:val="en-GB"/>
        </w:rPr>
        <w:t xml:space="preserve"> </w:t>
      </w:r>
    </w:p>
    <w:p w14:paraId="7214F904" w14:textId="77777777" w:rsidR="00D73DED" w:rsidRPr="009451D3" w:rsidRDefault="00D73DED" w:rsidP="00D73DED">
      <w:pPr>
        <w:jc w:val="both"/>
        <w:rPr>
          <w:lang w:val="en-GB"/>
        </w:rPr>
      </w:pPr>
    </w:p>
    <w:p w14:paraId="41831579" w14:textId="43B53557" w:rsidR="00D73DED" w:rsidRPr="009451D3" w:rsidRDefault="00607F17" w:rsidP="00B27AED">
      <w:pPr>
        <w:jc w:val="both"/>
        <w:rPr>
          <w:lang w:val="en-GB"/>
        </w:rPr>
      </w:pPr>
      <w:r w:rsidRPr="009451D3">
        <w:rPr>
          <w:lang w:val="en-GB"/>
        </w:rPr>
        <w:t>CEPT</w:t>
      </w:r>
      <w:r w:rsidR="00D73DED" w:rsidRPr="009451D3">
        <w:rPr>
          <w:lang w:val="en-GB"/>
        </w:rPr>
        <w:t xml:space="preserve"> also noted that full 5G </w:t>
      </w:r>
      <w:r w:rsidR="00CB0573" w:rsidRPr="009451D3">
        <w:rPr>
          <w:lang w:val="en-GB"/>
        </w:rPr>
        <w:t>use cases</w:t>
      </w:r>
      <w:r w:rsidR="00D73DED" w:rsidRPr="009451D3">
        <w:rPr>
          <w:lang w:val="en-GB"/>
        </w:rPr>
        <w:t xml:space="preserve"> can be achieved </w:t>
      </w:r>
      <w:proofErr w:type="gramStart"/>
      <w:r w:rsidR="00D73DED" w:rsidRPr="009451D3">
        <w:rPr>
          <w:lang w:val="en-GB"/>
        </w:rPr>
        <w:t>through the use of</w:t>
      </w:r>
      <w:proofErr w:type="gramEnd"/>
      <w:r w:rsidR="00D73DED" w:rsidRPr="009451D3">
        <w:rPr>
          <w:lang w:val="en-GB"/>
        </w:rPr>
        <w:t xml:space="preserve"> several frequency bands </w:t>
      </w:r>
      <w:r w:rsidR="00E04B86" w:rsidRPr="009451D3">
        <w:rPr>
          <w:lang w:val="en-GB"/>
        </w:rPr>
        <w:t xml:space="preserve">including </w:t>
      </w:r>
      <w:r w:rsidR="00E55BB0" w:rsidRPr="009451D3">
        <w:rPr>
          <w:lang w:val="en-GB"/>
        </w:rPr>
        <w:t>low</w:t>
      </w:r>
      <w:r w:rsidR="00CE6D25" w:rsidRPr="009451D3">
        <w:rPr>
          <w:lang w:val="en-GB"/>
        </w:rPr>
        <w:t>-band</w:t>
      </w:r>
      <w:r w:rsidR="00126769" w:rsidRPr="009451D3">
        <w:rPr>
          <w:lang w:val="en-GB"/>
        </w:rPr>
        <w:t>s</w:t>
      </w:r>
      <w:r w:rsidR="00CE6D25" w:rsidRPr="009451D3">
        <w:rPr>
          <w:lang w:val="en-GB"/>
        </w:rPr>
        <w:t xml:space="preserve">, </w:t>
      </w:r>
      <w:r w:rsidR="00E04B86" w:rsidRPr="009451D3">
        <w:rPr>
          <w:lang w:val="en-GB"/>
        </w:rPr>
        <w:t>mid-band</w:t>
      </w:r>
      <w:r w:rsidR="00126769" w:rsidRPr="009451D3">
        <w:rPr>
          <w:lang w:val="en-GB"/>
        </w:rPr>
        <w:t>s</w:t>
      </w:r>
      <w:r w:rsidR="007B5E81" w:rsidRPr="009451D3">
        <w:rPr>
          <w:lang w:val="en-GB"/>
        </w:rPr>
        <w:t xml:space="preserve"> and high-band</w:t>
      </w:r>
      <w:r w:rsidR="00126769" w:rsidRPr="009451D3">
        <w:rPr>
          <w:lang w:val="en-GB"/>
        </w:rPr>
        <w:t>s</w:t>
      </w:r>
      <w:r w:rsidR="007B5E81" w:rsidRPr="009451D3">
        <w:rPr>
          <w:lang w:val="en-GB"/>
        </w:rPr>
        <w:t xml:space="preserve"> (</w:t>
      </w:r>
      <w:r w:rsidR="00D73DED" w:rsidRPr="009451D3">
        <w:rPr>
          <w:lang w:val="en-GB"/>
        </w:rPr>
        <w:t>26 GHz, 42 GHz and 66 GHz).</w:t>
      </w:r>
    </w:p>
    <w:p w14:paraId="18629D5E" w14:textId="77777777" w:rsidR="00EE122B" w:rsidRPr="009451D3" w:rsidRDefault="00EE122B" w:rsidP="00F0623F">
      <w:pPr>
        <w:pStyle w:val="ECCParagraph"/>
        <w:spacing w:after="0"/>
        <w:rPr>
          <w:rFonts w:ascii="Segoe UI" w:hAnsi="Segoe UI" w:cs="Segoe UI"/>
          <w:color w:val="000000"/>
        </w:rPr>
      </w:pPr>
    </w:p>
    <w:p w14:paraId="7933F0EE" w14:textId="77777777" w:rsidR="00AB46DF" w:rsidRPr="009451D3" w:rsidRDefault="003C3EE4" w:rsidP="00AB46DF">
      <w:pPr>
        <w:pStyle w:val="Heading1"/>
      </w:pPr>
      <w:bookmarkStart w:id="6" w:name="_Toc56160827"/>
      <w:bookmarkEnd w:id="5"/>
      <w:r w:rsidRPr="009451D3">
        <w:lastRenderedPageBreak/>
        <w:t>Conclusions</w:t>
      </w:r>
      <w:bookmarkEnd w:id="6"/>
    </w:p>
    <w:p w14:paraId="13C6E8D9" w14:textId="66704298" w:rsidR="00283A86" w:rsidRPr="006B6617" w:rsidRDefault="00283A86" w:rsidP="00283A86">
      <w:pPr>
        <w:jc w:val="both"/>
        <w:rPr>
          <w:lang w:val="en-GB"/>
        </w:rPr>
      </w:pPr>
      <w:r w:rsidRPr="006B6617">
        <w:rPr>
          <w:lang w:val="en-GB"/>
        </w:rPr>
        <w:t xml:space="preserve">This </w:t>
      </w:r>
      <w:r w:rsidRPr="00877ED0">
        <w:rPr>
          <w:lang w:val="en-GB"/>
        </w:rPr>
        <w:t>R</w:t>
      </w:r>
      <w:r w:rsidRPr="006B6617">
        <w:rPr>
          <w:lang w:val="en-GB"/>
        </w:rPr>
        <w:t>eport addresses Task 3 of the EC Mandate to CEPT to develop least restrictive harmonised technical conditions suitable for Next-Generation (5G) Terrestrial Wireless Systems for priority frequency bands above 24 GHz.</w:t>
      </w:r>
    </w:p>
    <w:p w14:paraId="50DF9B48" w14:textId="77777777" w:rsidR="00283A86" w:rsidRPr="006B6617" w:rsidRDefault="00283A86" w:rsidP="00283A86">
      <w:pPr>
        <w:jc w:val="both"/>
        <w:rPr>
          <w:lang w:val="en-GB"/>
        </w:rPr>
      </w:pPr>
    </w:p>
    <w:p w14:paraId="2D54F9D1" w14:textId="78D5AB53" w:rsidR="00283A86" w:rsidRPr="006B6617" w:rsidRDefault="00283A86" w:rsidP="00283A86">
      <w:pPr>
        <w:jc w:val="both"/>
        <w:rPr>
          <w:lang w:val="en-GB"/>
        </w:rPr>
      </w:pPr>
      <w:r w:rsidRPr="006B6617">
        <w:rPr>
          <w:lang w:val="en-GB"/>
        </w:rPr>
        <w:t xml:space="preserve">The existing technical conditions contained in both EC Decision for SRD (EU) 2019/1345 </w:t>
      </w:r>
      <w:r w:rsidRPr="00877ED0">
        <w:rPr>
          <w:lang w:val="en-GB"/>
        </w:rPr>
        <w:fldChar w:fldCharType="begin"/>
      </w:r>
      <w:r w:rsidRPr="006B6617">
        <w:rPr>
          <w:lang w:val="en-GB"/>
        </w:rPr>
        <w:instrText xml:space="preserve"> REF _Ref56440048 \r \h </w:instrText>
      </w:r>
      <w:r w:rsidRPr="004D24B8">
        <w:rPr>
          <w:lang w:val="en-GB"/>
        </w:rPr>
        <w:instrText xml:space="preserve"> \* MERGEFORMAT </w:instrText>
      </w:r>
      <w:r w:rsidRPr="00877ED0">
        <w:rPr>
          <w:lang w:val="en-GB"/>
        </w:rPr>
      </w:r>
      <w:r w:rsidRPr="00877ED0">
        <w:rPr>
          <w:lang w:val="en-GB"/>
        </w:rPr>
        <w:fldChar w:fldCharType="separate"/>
      </w:r>
      <w:r w:rsidRPr="00877ED0">
        <w:rPr>
          <w:lang w:val="en-GB"/>
        </w:rPr>
        <w:t>[1]</w:t>
      </w:r>
      <w:r w:rsidRPr="00877ED0">
        <w:rPr>
          <w:lang w:val="en-GB"/>
        </w:rPr>
        <w:fldChar w:fldCharType="end"/>
      </w:r>
      <w:r w:rsidRPr="006B6617">
        <w:rPr>
          <w:lang w:val="en-GB"/>
        </w:rPr>
        <w:t xml:space="preserve"> </w:t>
      </w:r>
      <w:r w:rsidRPr="00877ED0">
        <w:rPr>
          <w:lang w:val="en-GB"/>
        </w:rPr>
        <w:t xml:space="preserve">and ERC Recommendation 70-03 </w:t>
      </w:r>
      <w:r w:rsidRPr="00877ED0">
        <w:rPr>
          <w:lang w:val="en-GB"/>
        </w:rPr>
        <w:fldChar w:fldCharType="begin"/>
      </w:r>
      <w:r w:rsidRPr="006B6617">
        <w:rPr>
          <w:lang w:val="en-GB"/>
        </w:rPr>
        <w:instrText xml:space="preserve"> REF _Ref56440058 \r \h </w:instrText>
      </w:r>
      <w:r w:rsidRPr="004D24B8">
        <w:rPr>
          <w:lang w:val="en-GB"/>
        </w:rPr>
        <w:instrText xml:space="preserve"> \* MERGEFORMAT </w:instrText>
      </w:r>
      <w:r w:rsidRPr="00877ED0">
        <w:rPr>
          <w:lang w:val="en-GB"/>
        </w:rPr>
      </w:r>
      <w:r w:rsidRPr="00877ED0">
        <w:rPr>
          <w:lang w:val="en-GB"/>
        </w:rPr>
        <w:fldChar w:fldCharType="separate"/>
      </w:r>
      <w:r w:rsidRPr="00877ED0">
        <w:rPr>
          <w:lang w:val="en-GB"/>
        </w:rPr>
        <w:t>[2]</w:t>
      </w:r>
      <w:r w:rsidRPr="00877ED0">
        <w:rPr>
          <w:lang w:val="en-GB"/>
        </w:rPr>
        <w:fldChar w:fldCharType="end"/>
      </w:r>
      <w:r w:rsidRPr="006B6617">
        <w:rPr>
          <w:lang w:val="en-GB"/>
        </w:rPr>
        <w:t xml:space="preserve"> </w:t>
      </w:r>
      <w:r w:rsidRPr="00877ED0">
        <w:rPr>
          <w:lang w:val="en-GB"/>
        </w:rPr>
        <w:t xml:space="preserve">allow </w:t>
      </w:r>
      <w:r w:rsidRPr="006B6617">
        <w:rPr>
          <w:lang w:val="en-GB"/>
        </w:rPr>
        <w:t>next generation (5G) wireless broadband electronic communication services to have access to the 66-71 GHz frequency band</w:t>
      </w:r>
      <w:r>
        <w:rPr>
          <w:lang w:val="en-GB"/>
        </w:rPr>
        <w:t>.</w:t>
      </w:r>
    </w:p>
    <w:p w14:paraId="3000868B" w14:textId="77777777" w:rsidR="00283A86" w:rsidRPr="006B6617" w:rsidRDefault="00283A86" w:rsidP="00283A86">
      <w:pPr>
        <w:jc w:val="both"/>
        <w:rPr>
          <w:lang w:val="en-GB"/>
        </w:rPr>
      </w:pPr>
    </w:p>
    <w:p w14:paraId="1F363E24" w14:textId="6BE69FCE" w:rsidR="00283A86" w:rsidRDefault="00283A86" w:rsidP="00283A86">
      <w:pPr>
        <w:jc w:val="both"/>
        <w:rPr>
          <w:lang w:val="en-GB"/>
        </w:rPr>
      </w:pPr>
      <w:r w:rsidRPr="009451D3">
        <w:rPr>
          <w:lang w:val="en-GB"/>
        </w:rPr>
        <w:t xml:space="preserve">The current regulations have been developed </w:t>
      </w:r>
      <w:r>
        <w:rPr>
          <w:lang w:val="en-GB"/>
        </w:rPr>
        <w:t>recognising</w:t>
      </w:r>
      <w:r w:rsidRPr="009451D3">
        <w:rPr>
          <w:lang w:val="en-GB"/>
        </w:rPr>
        <w:t xml:space="preserve"> the CEPT Roadmap for 5G </w:t>
      </w:r>
      <w:r w:rsidRPr="009451D3">
        <w:rPr>
          <w:lang w:val="en-GB"/>
        </w:rPr>
        <w:fldChar w:fldCharType="begin"/>
      </w:r>
      <w:r w:rsidRPr="009451D3">
        <w:rPr>
          <w:lang w:val="en-GB"/>
        </w:rPr>
        <w:instrText xml:space="preserve"> REF _Ref56440286 \r \h </w:instrText>
      </w:r>
      <w:r w:rsidRPr="009451D3">
        <w:rPr>
          <w:lang w:val="en-GB"/>
        </w:rPr>
      </w:r>
      <w:r w:rsidRPr="009451D3">
        <w:rPr>
          <w:lang w:val="en-GB"/>
        </w:rPr>
        <w:fldChar w:fldCharType="separate"/>
      </w:r>
      <w:r>
        <w:rPr>
          <w:lang w:val="en-GB"/>
        </w:rPr>
        <w:t>[3]</w:t>
      </w:r>
      <w:r w:rsidRPr="009451D3">
        <w:rPr>
          <w:lang w:val="en-GB"/>
        </w:rPr>
        <w:fldChar w:fldCharType="end"/>
      </w:r>
      <w:r w:rsidRPr="009451D3">
        <w:rPr>
          <w:lang w:val="en-GB"/>
        </w:rPr>
        <w:t xml:space="preserve"> with the assumptions that 5G services in this band would operate under the current general authorisation framework and would implement the appropriate technical conditions to co-exist with other </w:t>
      </w:r>
      <w:r>
        <w:rPr>
          <w:lang w:val="en-GB"/>
        </w:rPr>
        <w:t xml:space="preserve">usage in </w:t>
      </w:r>
      <w:r w:rsidRPr="009451D3">
        <w:rPr>
          <w:lang w:val="en-GB"/>
        </w:rPr>
        <w:t>the band including current Fixed and mobile Wideband technologies operating under the current regulations.</w:t>
      </w:r>
    </w:p>
    <w:p w14:paraId="69D61B17" w14:textId="77777777" w:rsidR="007C4543" w:rsidRPr="009451D3" w:rsidRDefault="007C4543" w:rsidP="007C4543">
      <w:pPr>
        <w:jc w:val="both"/>
        <w:rPr>
          <w:lang w:val="en-GB"/>
        </w:rPr>
      </w:pPr>
    </w:p>
    <w:p w14:paraId="175B8EAD" w14:textId="77777777" w:rsidR="00AB46DF" w:rsidRPr="009451D3" w:rsidRDefault="00AB46DF" w:rsidP="00AB46DF">
      <w:pPr>
        <w:outlineLvl w:val="2"/>
        <w:rPr>
          <w:lang w:val="en-GB"/>
        </w:rPr>
      </w:pPr>
    </w:p>
    <w:p w14:paraId="2E7D465C" w14:textId="77777777" w:rsidR="00AB46DF" w:rsidRPr="009451D3" w:rsidRDefault="00AB46DF">
      <w:pPr>
        <w:rPr>
          <w:lang w:val="en-GB"/>
        </w:rPr>
        <w:sectPr w:rsidR="00AB46DF" w:rsidRPr="009451D3">
          <w:headerReference w:type="even" r:id="rId14"/>
          <w:headerReference w:type="default" r:id="rId15"/>
          <w:headerReference w:type="first" r:id="rId16"/>
          <w:pgSz w:w="11907" w:h="16840" w:code="9"/>
          <w:pgMar w:top="1440" w:right="1134" w:bottom="1440" w:left="1134" w:header="709" w:footer="709" w:gutter="0"/>
          <w:cols w:space="708"/>
          <w:docGrid w:linePitch="360"/>
        </w:sectPr>
      </w:pPr>
    </w:p>
    <w:p w14:paraId="17010427" w14:textId="3EED519F" w:rsidR="00AB46DF" w:rsidRPr="009451D3" w:rsidRDefault="006464C4" w:rsidP="002209A7">
      <w:pPr>
        <w:pStyle w:val="ECCAnnexheading1"/>
      </w:pPr>
      <w:bookmarkStart w:id="7" w:name="_Toc56160828"/>
      <w:r w:rsidRPr="009451D3">
        <w:lastRenderedPageBreak/>
        <w:t xml:space="preserve">CEPT </w:t>
      </w:r>
      <w:r w:rsidR="00BE752E" w:rsidRPr="009451D3">
        <w:t>Mandate</w:t>
      </w:r>
      <w:bookmarkEnd w:id="7"/>
    </w:p>
    <w:p w14:paraId="32AB4747" w14:textId="02F7F258" w:rsidR="00AB46DF" w:rsidRPr="009451D3" w:rsidRDefault="00AB46DF" w:rsidP="00AB46DF">
      <w:pPr>
        <w:pStyle w:val="ECCParagraph"/>
      </w:pPr>
    </w:p>
    <w:tbl>
      <w:tblPr>
        <w:tblW w:w="9072" w:type="dxa"/>
        <w:tblLayout w:type="fixed"/>
        <w:tblCellMar>
          <w:left w:w="0" w:type="dxa"/>
          <w:right w:w="0" w:type="dxa"/>
        </w:tblCellMar>
        <w:tblLook w:val="0000" w:firstRow="0" w:lastRow="0" w:firstColumn="0" w:lastColumn="0" w:noHBand="0" w:noVBand="0"/>
      </w:tblPr>
      <w:tblGrid>
        <w:gridCol w:w="1814"/>
        <w:gridCol w:w="7258"/>
      </w:tblGrid>
      <w:tr w:rsidR="006464C4" w:rsidRPr="009451D3" w14:paraId="5D32B091" w14:textId="77777777" w:rsidTr="00977D26">
        <w:trPr>
          <w:trHeight w:val="1440"/>
        </w:trPr>
        <w:tc>
          <w:tcPr>
            <w:tcW w:w="1814" w:type="dxa"/>
          </w:tcPr>
          <w:p w14:paraId="342B90A8" w14:textId="77777777" w:rsidR="006464C4" w:rsidRPr="009451D3" w:rsidRDefault="006464C4" w:rsidP="00977D26">
            <w:pPr>
              <w:pStyle w:val="ZCom"/>
              <w:ind w:right="-454"/>
              <w:rPr>
                <w:rFonts w:ascii="Times New Roman" w:hAnsi="Times New Roman"/>
              </w:rPr>
            </w:pPr>
            <w:r w:rsidRPr="009451D3">
              <w:rPr>
                <w:rFonts w:ascii="Times New Roman" w:hAnsi="Times New Roman"/>
                <w:noProof/>
                <w:snapToGrid/>
                <w:lang w:val="fr-FR" w:eastAsia="fr-FR"/>
              </w:rPr>
              <w:drawing>
                <wp:inline distT="0" distB="0" distL="0" distR="0" wp14:anchorId="0E3424F2" wp14:editId="017A1E20">
                  <wp:extent cx="1113155" cy="548640"/>
                  <wp:effectExtent l="0" t="0" r="0" b="381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13155" cy="548640"/>
                          </a:xfrm>
                          <a:prstGeom prst="rect">
                            <a:avLst/>
                          </a:prstGeom>
                          <a:noFill/>
                          <a:ln>
                            <a:noFill/>
                          </a:ln>
                        </pic:spPr>
                      </pic:pic>
                    </a:graphicData>
                  </a:graphic>
                </wp:inline>
              </w:drawing>
            </w:r>
          </w:p>
        </w:tc>
        <w:tc>
          <w:tcPr>
            <w:tcW w:w="7258" w:type="dxa"/>
          </w:tcPr>
          <w:p w14:paraId="065949C3" w14:textId="77777777" w:rsidR="006464C4" w:rsidRPr="009451D3" w:rsidRDefault="006464C4" w:rsidP="00977D26">
            <w:pPr>
              <w:pStyle w:val="ZCom"/>
              <w:ind w:right="-454"/>
              <w:rPr>
                <w:rFonts w:ascii="Times New Roman" w:hAnsi="Times New Roman"/>
              </w:rPr>
            </w:pPr>
            <w:r w:rsidRPr="009451D3">
              <w:rPr>
                <w:rFonts w:ascii="Times New Roman" w:hAnsi="Times New Roman"/>
              </w:rPr>
              <w:t>EUROPEAN COMMISSION</w:t>
            </w:r>
          </w:p>
          <w:p w14:paraId="2A6F7151" w14:textId="77777777" w:rsidR="006464C4" w:rsidRPr="009451D3" w:rsidRDefault="006464C4" w:rsidP="00977D26">
            <w:pPr>
              <w:pStyle w:val="ZDGName"/>
              <w:ind w:right="-454"/>
              <w:rPr>
                <w:rFonts w:ascii="Times New Roman" w:hAnsi="Times New Roman"/>
              </w:rPr>
            </w:pPr>
            <w:r w:rsidRPr="009451D3">
              <w:rPr>
                <w:rFonts w:ascii="Times New Roman" w:hAnsi="Times New Roman"/>
              </w:rPr>
              <w:t xml:space="preserve">DIRECTORATE-GENERAL FOR COMMUNICATIONS NETWORKS, CONTENT AND </w:t>
            </w:r>
          </w:p>
          <w:p w14:paraId="105B021A" w14:textId="77777777" w:rsidR="006464C4" w:rsidRPr="009451D3" w:rsidRDefault="006464C4" w:rsidP="00977D26">
            <w:pPr>
              <w:pStyle w:val="ZDGName"/>
              <w:ind w:right="-454"/>
              <w:rPr>
                <w:rFonts w:ascii="Times New Roman" w:hAnsi="Times New Roman"/>
              </w:rPr>
            </w:pPr>
            <w:r w:rsidRPr="009451D3">
              <w:rPr>
                <w:rFonts w:ascii="Times New Roman" w:hAnsi="Times New Roman"/>
              </w:rPr>
              <w:t>TECHNOLOGY</w:t>
            </w:r>
          </w:p>
          <w:p w14:paraId="0E6C527A" w14:textId="77777777" w:rsidR="006464C4" w:rsidRPr="009451D3" w:rsidRDefault="006464C4" w:rsidP="00977D26">
            <w:pPr>
              <w:pStyle w:val="ZDGName"/>
              <w:widowControl/>
              <w:rPr>
                <w:rFonts w:ascii="Times New Roman" w:hAnsi="Times New Roman"/>
              </w:rPr>
            </w:pPr>
          </w:p>
          <w:p w14:paraId="6CA4BA2E" w14:textId="77777777" w:rsidR="006464C4" w:rsidRPr="009451D3" w:rsidRDefault="006464C4" w:rsidP="00977D26">
            <w:pPr>
              <w:pStyle w:val="ZDGName"/>
              <w:widowControl/>
              <w:rPr>
                <w:rFonts w:ascii="Times New Roman" w:hAnsi="Times New Roman"/>
              </w:rPr>
            </w:pPr>
          </w:p>
          <w:p w14:paraId="068768D5" w14:textId="77777777" w:rsidR="006464C4" w:rsidRPr="009451D3" w:rsidRDefault="006464C4" w:rsidP="00977D26">
            <w:pPr>
              <w:pStyle w:val="ZDGName"/>
              <w:widowControl/>
              <w:rPr>
                <w:rFonts w:ascii="Times New Roman" w:hAnsi="Times New Roman"/>
                <w:bCs/>
              </w:rPr>
            </w:pPr>
            <w:r w:rsidRPr="009451D3">
              <w:rPr>
                <w:rFonts w:ascii="Times New Roman" w:hAnsi="Times New Roman"/>
                <w:bCs/>
              </w:rPr>
              <w:t>The Director-General</w:t>
            </w:r>
          </w:p>
          <w:p w14:paraId="13CD5912" w14:textId="77777777" w:rsidR="006464C4" w:rsidRPr="009451D3" w:rsidRDefault="006464C4" w:rsidP="00977D26">
            <w:pPr>
              <w:pStyle w:val="ZDGName"/>
              <w:widowControl/>
              <w:rPr>
                <w:rFonts w:ascii="Times New Roman" w:hAnsi="Times New Roman"/>
                <w:bCs/>
              </w:rPr>
            </w:pPr>
          </w:p>
          <w:p w14:paraId="47DEC907" w14:textId="77777777" w:rsidR="006464C4" w:rsidRPr="009451D3" w:rsidRDefault="006464C4" w:rsidP="00977D26">
            <w:pPr>
              <w:pStyle w:val="ZDGName"/>
              <w:ind w:left="2880"/>
              <w:rPr>
                <w:rFonts w:ascii="Times New Roman" w:hAnsi="Times New Roman"/>
                <w:bCs/>
                <w:sz w:val="20"/>
                <w:szCs w:val="24"/>
              </w:rPr>
            </w:pPr>
            <w:r w:rsidRPr="009451D3">
              <w:rPr>
                <w:rFonts w:ascii="Times New Roman" w:hAnsi="Times New Roman"/>
                <w:bCs/>
                <w:sz w:val="20"/>
                <w:szCs w:val="24"/>
              </w:rPr>
              <w:t>Brussels</w:t>
            </w:r>
          </w:p>
          <w:p w14:paraId="48D2E1F1" w14:textId="77777777" w:rsidR="006464C4" w:rsidRPr="009451D3" w:rsidRDefault="006464C4" w:rsidP="00977D26">
            <w:pPr>
              <w:pStyle w:val="ZDGName"/>
              <w:widowControl/>
              <w:ind w:left="2880"/>
              <w:rPr>
                <w:rFonts w:ascii="Times New Roman" w:hAnsi="Times New Roman"/>
                <w:bCs/>
              </w:rPr>
            </w:pPr>
            <w:r w:rsidRPr="009451D3">
              <w:rPr>
                <w:rFonts w:ascii="Times New Roman" w:hAnsi="Times New Roman"/>
                <w:bCs/>
                <w:sz w:val="20"/>
                <w:szCs w:val="24"/>
              </w:rPr>
              <w:t>CNECT.B.4</w:t>
            </w:r>
          </w:p>
        </w:tc>
      </w:tr>
    </w:tbl>
    <w:p w14:paraId="7CAC9898" w14:textId="77777777" w:rsidR="006464C4" w:rsidRPr="009451D3" w:rsidRDefault="006464C4" w:rsidP="006464C4">
      <w:pPr>
        <w:spacing w:after="120"/>
        <w:jc w:val="center"/>
        <w:rPr>
          <w:rFonts w:ascii="Times New Roman" w:hAnsi="Times New Roman"/>
          <w:b/>
          <w:smallCaps/>
          <w:sz w:val="24"/>
          <w:szCs w:val="32"/>
          <w:lang w:val="en-GB"/>
        </w:rPr>
      </w:pPr>
    </w:p>
    <w:p w14:paraId="0466EAF8" w14:textId="77777777" w:rsidR="006464C4" w:rsidRPr="009451D3" w:rsidRDefault="006464C4" w:rsidP="006464C4">
      <w:pPr>
        <w:spacing w:after="120"/>
        <w:jc w:val="center"/>
        <w:rPr>
          <w:rFonts w:ascii="Times New Roman" w:hAnsi="Times New Roman"/>
          <w:b/>
          <w:smallCaps/>
          <w:sz w:val="24"/>
          <w:szCs w:val="32"/>
          <w:lang w:val="en-GB"/>
        </w:rPr>
      </w:pPr>
    </w:p>
    <w:p w14:paraId="7B50E75C" w14:textId="77777777" w:rsidR="006464C4" w:rsidRPr="009451D3" w:rsidRDefault="006464C4" w:rsidP="006464C4">
      <w:pPr>
        <w:spacing w:after="120"/>
        <w:jc w:val="center"/>
        <w:rPr>
          <w:rFonts w:ascii="Times New Roman" w:hAnsi="Times New Roman"/>
          <w:b/>
          <w:smallCaps/>
          <w:sz w:val="24"/>
          <w:lang w:val="en-GB"/>
        </w:rPr>
      </w:pPr>
      <w:r w:rsidRPr="009451D3">
        <w:rPr>
          <w:rFonts w:ascii="Times New Roman" w:hAnsi="Times New Roman"/>
          <w:b/>
          <w:smallCaps/>
          <w:sz w:val="24"/>
          <w:lang w:val="en-GB"/>
        </w:rPr>
        <w:t>Mandate to CEPT</w:t>
      </w:r>
    </w:p>
    <w:p w14:paraId="69C8A842" w14:textId="77777777" w:rsidR="006464C4" w:rsidRPr="009451D3" w:rsidRDefault="006464C4" w:rsidP="006464C4">
      <w:pPr>
        <w:spacing w:after="360"/>
        <w:jc w:val="center"/>
        <w:rPr>
          <w:rFonts w:ascii="Times New Roman" w:hAnsi="Times New Roman"/>
          <w:b/>
          <w:smallCaps/>
          <w:sz w:val="24"/>
          <w:lang w:val="en-GB"/>
        </w:rPr>
      </w:pPr>
      <w:r w:rsidRPr="009451D3">
        <w:rPr>
          <w:rFonts w:ascii="Times New Roman" w:hAnsi="Times New Roman"/>
          <w:b/>
          <w:smallCaps/>
          <w:sz w:val="24"/>
          <w:lang w:val="en-GB"/>
        </w:rPr>
        <w:t>to develop least restrictive harmonised technical conditions suitable for next-generation (5G) terrestrial wireless systems for priority frequency bands above 24 GHz</w:t>
      </w:r>
    </w:p>
    <w:p w14:paraId="51EBE549" w14:textId="77777777" w:rsidR="006464C4" w:rsidRPr="009451D3" w:rsidRDefault="006464C4" w:rsidP="00936A7D">
      <w:pPr>
        <w:keepNext/>
        <w:numPr>
          <w:ilvl w:val="0"/>
          <w:numId w:val="11"/>
        </w:numPr>
        <w:spacing w:before="240" w:after="240"/>
        <w:jc w:val="both"/>
        <w:outlineLvl w:val="0"/>
        <w:rPr>
          <w:rFonts w:ascii="Times New Roman" w:hAnsi="Times New Roman"/>
          <w:b/>
          <w:smallCaps/>
          <w:sz w:val="24"/>
          <w:lang w:val="en-GB"/>
        </w:rPr>
      </w:pPr>
      <w:bookmarkStart w:id="8" w:name="_Toc506816646"/>
      <w:bookmarkStart w:id="9" w:name="_Toc518893563"/>
      <w:bookmarkStart w:id="10" w:name="_Toc50031959"/>
      <w:bookmarkStart w:id="11" w:name="_Toc56085553"/>
      <w:bookmarkStart w:id="12" w:name="_Toc56160829"/>
      <w:r w:rsidRPr="009451D3">
        <w:rPr>
          <w:rFonts w:ascii="Times New Roman" w:hAnsi="Times New Roman"/>
          <w:b/>
          <w:smallCaps/>
          <w:sz w:val="24"/>
          <w:lang w:val="en-GB"/>
        </w:rPr>
        <w:t>Purpose</w:t>
      </w:r>
      <w:bookmarkEnd w:id="8"/>
      <w:bookmarkEnd w:id="9"/>
      <w:bookmarkEnd w:id="10"/>
      <w:bookmarkEnd w:id="11"/>
      <w:bookmarkEnd w:id="12"/>
      <w:r w:rsidRPr="009451D3">
        <w:rPr>
          <w:rFonts w:ascii="Times New Roman" w:hAnsi="Times New Roman"/>
          <w:b/>
          <w:smallCaps/>
          <w:sz w:val="24"/>
          <w:lang w:val="en-GB"/>
        </w:rPr>
        <w:t xml:space="preserve"> </w:t>
      </w:r>
    </w:p>
    <w:p w14:paraId="61C7FE47" w14:textId="77777777" w:rsidR="006464C4" w:rsidRPr="009451D3" w:rsidRDefault="006464C4" w:rsidP="006464C4">
      <w:pPr>
        <w:jc w:val="both"/>
        <w:rPr>
          <w:rFonts w:ascii="Times New Roman" w:hAnsi="Times New Roman"/>
          <w:sz w:val="24"/>
          <w:lang w:val="en-GB"/>
        </w:rPr>
      </w:pPr>
      <w:r w:rsidRPr="009451D3">
        <w:rPr>
          <w:rFonts w:ascii="Times New Roman" w:hAnsi="Times New Roman"/>
          <w:sz w:val="24"/>
          <w:lang w:val="en-GB"/>
        </w:rPr>
        <w:t xml:space="preserve">This Mandate is a follow-up to the Commission mandates regarding the development of harmonised technical conditions suitable for the provision of next-generation (5G) electronic communications services in ‘pioneer’ bands (RSCOM16-40rev3) as well as in EU-harmonised bands (RSCOM18-19rev1). It should deliver least restrictive harmonised technical conditions in the context of technology and service neutrality, including relevant sharing conditions, which allow use of the priority frequency band 40.5-43.5 GHz for terrestrial wireless systems capable of providing wireless broadband electronic communications services. Furthermore, it should assess the need to update the EU-harmonised technical conditions for the same type of use of the priority frequency band 66-71 GHz. The technical conditions for both bands should </w:t>
      </w:r>
      <w:proofErr w:type="gramStart"/>
      <w:r w:rsidRPr="009451D3">
        <w:rPr>
          <w:rFonts w:ascii="Times New Roman" w:hAnsi="Times New Roman"/>
          <w:sz w:val="24"/>
          <w:lang w:val="en-GB"/>
        </w:rPr>
        <w:t>take into account</w:t>
      </w:r>
      <w:proofErr w:type="gramEnd"/>
      <w:r w:rsidRPr="009451D3">
        <w:rPr>
          <w:rFonts w:ascii="Times New Roman" w:hAnsi="Times New Roman"/>
          <w:sz w:val="24"/>
          <w:lang w:val="en-GB"/>
        </w:rPr>
        <w:t xml:space="preserve"> 5G usage scenarios related to very high-capacity networks and meet the overarching objective of ensuring efficient spectrum use.</w:t>
      </w:r>
    </w:p>
    <w:p w14:paraId="5072E50D" w14:textId="77777777" w:rsidR="006464C4" w:rsidRPr="009451D3" w:rsidRDefault="006464C4" w:rsidP="006464C4">
      <w:pPr>
        <w:jc w:val="both"/>
        <w:rPr>
          <w:rFonts w:ascii="Times New Roman" w:hAnsi="Times New Roman"/>
          <w:sz w:val="24"/>
          <w:lang w:val="en-GB"/>
        </w:rPr>
      </w:pPr>
    </w:p>
    <w:p w14:paraId="62C9F5D8" w14:textId="77777777" w:rsidR="006464C4" w:rsidRPr="009451D3" w:rsidRDefault="006464C4" w:rsidP="00936A7D">
      <w:pPr>
        <w:pStyle w:val="ListParagraph"/>
        <w:numPr>
          <w:ilvl w:val="0"/>
          <w:numId w:val="11"/>
        </w:numPr>
        <w:jc w:val="both"/>
        <w:rPr>
          <w:rFonts w:ascii="Times New Roman" w:hAnsi="Times New Roman"/>
          <w:b/>
          <w:smallCaps/>
          <w:sz w:val="24"/>
          <w:lang w:val="en-GB"/>
        </w:rPr>
      </w:pPr>
      <w:r w:rsidRPr="009451D3">
        <w:rPr>
          <w:rFonts w:ascii="Times New Roman" w:hAnsi="Times New Roman"/>
          <w:b/>
          <w:smallCaps/>
          <w:sz w:val="24"/>
          <w:lang w:val="en-GB"/>
        </w:rPr>
        <w:t>POLICY CONTEXT AND INPUTS</w:t>
      </w:r>
    </w:p>
    <w:p w14:paraId="78E93C4D" w14:textId="77777777" w:rsidR="006464C4" w:rsidRPr="009451D3" w:rsidRDefault="006464C4" w:rsidP="006464C4">
      <w:pPr>
        <w:jc w:val="both"/>
        <w:rPr>
          <w:rFonts w:ascii="Times New Roman" w:hAnsi="Times New Roman"/>
          <w:sz w:val="24"/>
          <w:lang w:val="en-GB"/>
        </w:rPr>
      </w:pPr>
    </w:p>
    <w:p w14:paraId="26BB5833" w14:textId="77777777" w:rsidR="006464C4" w:rsidRPr="009451D3" w:rsidRDefault="006464C4" w:rsidP="006464C4">
      <w:pPr>
        <w:jc w:val="both"/>
        <w:rPr>
          <w:rFonts w:ascii="Times New Roman" w:hAnsi="Times New Roman"/>
          <w:sz w:val="24"/>
          <w:lang w:val="en-GB"/>
        </w:rPr>
      </w:pPr>
      <w:r w:rsidRPr="009451D3">
        <w:rPr>
          <w:rFonts w:ascii="Times New Roman" w:hAnsi="Times New Roman"/>
          <w:sz w:val="24"/>
          <w:lang w:val="en-GB"/>
        </w:rPr>
        <w:t>The ITU-R vision for the next-generation mobile telecommunications</w:t>
      </w:r>
      <w:bookmarkStart w:id="13" w:name="_Ref454892478"/>
      <w:r w:rsidRPr="009451D3">
        <w:rPr>
          <w:rStyle w:val="FootnoteReference"/>
          <w:rFonts w:ascii="Times New Roman" w:hAnsi="Times New Roman"/>
          <w:sz w:val="24"/>
          <w:lang w:val="en-GB"/>
        </w:rPr>
        <w:footnoteReference w:id="2"/>
      </w:r>
      <w:bookmarkEnd w:id="13"/>
      <w:r w:rsidRPr="009451D3">
        <w:rPr>
          <w:rFonts w:ascii="Times New Roman" w:hAnsi="Times New Roman"/>
          <w:sz w:val="24"/>
          <w:lang w:val="en-GB"/>
        </w:rPr>
        <w:t xml:space="preserve"> outlines three major 5G usage scenarios – enhanced mobile broadband (eMBB), massive machine type communications (mMTC), and ultra-reliable and low latency communications (URLLC). Millimetre-wave bands are particularly suitable for the provision of high-speed and low-latency services while ensuring high network capacity.</w:t>
      </w:r>
    </w:p>
    <w:p w14:paraId="7C336AAD" w14:textId="77777777" w:rsidR="006464C4" w:rsidRPr="009451D3" w:rsidRDefault="006464C4" w:rsidP="006464C4">
      <w:pPr>
        <w:jc w:val="both"/>
        <w:rPr>
          <w:rFonts w:ascii="Times New Roman" w:hAnsi="Times New Roman"/>
          <w:sz w:val="24"/>
          <w:lang w:val="en-GB"/>
        </w:rPr>
      </w:pPr>
    </w:p>
    <w:p w14:paraId="5B9059FE" w14:textId="77777777" w:rsidR="006464C4" w:rsidRPr="009451D3" w:rsidRDefault="006464C4" w:rsidP="006464C4">
      <w:pPr>
        <w:jc w:val="both"/>
        <w:rPr>
          <w:rFonts w:ascii="Times New Roman" w:hAnsi="Times New Roman"/>
          <w:sz w:val="24"/>
          <w:lang w:val="en-GB"/>
        </w:rPr>
      </w:pPr>
      <w:r w:rsidRPr="009451D3">
        <w:rPr>
          <w:rFonts w:ascii="Times New Roman" w:hAnsi="Times New Roman"/>
          <w:sz w:val="24"/>
          <w:lang w:val="en-GB"/>
        </w:rPr>
        <w:t>In its 5G Action Plan</w:t>
      </w:r>
      <w:r w:rsidRPr="009451D3">
        <w:rPr>
          <w:rStyle w:val="FootnoteReference"/>
          <w:rFonts w:ascii="Times New Roman" w:hAnsi="Times New Roman"/>
          <w:sz w:val="24"/>
          <w:lang w:val="en-GB"/>
        </w:rPr>
        <w:footnoteReference w:id="3"/>
      </w:r>
      <w:r w:rsidRPr="009451D3">
        <w:rPr>
          <w:rFonts w:ascii="Times New Roman" w:hAnsi="Times New Roman"/>
          <w:sz w:val="24"/>
          <w:lang w:val="en-GB"/>
        </w:rPr>
        <w:t xml:space="preserve">, the Commission advanced action on the EU-level identification and harmonisation of 5G spectrum regarding pioneer frequency bands as well as </w:t>
      </w:r>
      <w:r w:rsidRPr="009451D3">
        <w:rPr>
          <w:rFonts w:ascii="Times New Roman" w:hAnsi="Times New Roman"/>
          <w:b/>
          <w:sz w:val="24"/>
          <w:lang w:val="en-GB"/>
        </w:rPr>
        <w:t>additional</w:t>
      </w:r>
      <w:r w:rsidRPr="009451D3">
        <w:rPr>
          <w:rFonts w:ascii="Times New Roman" w:hAnsi="Times New Roman"/>
          <w:sz w:val="24"/>
          <w:lang w:val="en-GB"/>
        </w:rPr>
        <w:t xml:space="preserve"> frequency bands, based on the opinion of the Radio Spectrum Policy Group (RSPG). In its Opinions on a </w:t>
      </w:r>
      <w:r w:rsidRPr="009451D3">
        <w:rPr>
          <w:rFonts w:ascii="Times New Roman" w:hAnsi="Times New Roman"/>
          <w:sz w:val="24"/>
          <w:lang w:val="en-GB"/>
        </w:rPr>
        <w:lastRenderedPageBreak/>
        <w:t>"Strategic Roadmap towards 5G in Europe"</w:t>
      </w:r>
      <w:r w:rsidRPr="009451D3">
        <w:rPr>
          <w:rStyle w:val="FootnoteReference"/>
          <w:rFonts w:ascii="Times New Roman" w:hAnsi="Times New Roman"/>
          <w:sz w:val="24"/>
          <w:lang w:val="en-GB"/>
        </w:rPr>
        <w:footnoteReference w:id="4"/>
      </w:r>
      <w:r w:rsidRPr="009451D3">
        <w:rPr>
          <w:rFonts w:ascii="Times New Roman" w:hAnsi="Times New Roman"/>
          <w:sz w:val="24"/>
          <w:lang w:val="en-GB"/>
        </w:rPr>
        <w:t xml:space="preserve">, the RSPG identified the 40.5-43.5 GHz and 66-71 GHz frequency bands as priority bands for the rollout of 5G terrestrial wireless systems in the Union. </w:t>
      </w:r>
    </w:p>
    <w:p w14:paraId="4BD95BE2" w14:textId="77777777" w:rsidR="006464C4" w:rsidRPr="009451D3" w:rsidRDefault="006464C4" w:rsidP="006464C4">
      <w:pPr>
        <w:jc w:val="both"/>
        <w:rPr>
          <w:rFonts w:ascii="Times New Roman" w:hAnsi="Times New Roman"/>
          <w:sz w:val="24"/>
          <w:lang w:val="en-GB"/>
        </w:rPr>
      </w:pPr>
      <w:r w:rsidRPr="009451D3">
        <w:rPr>
          <w:rFonts w:ascii="Times New Roman" w:hAnsi="Times New Roman"/>
          <w:sz w:val="24"/>
          <w:lang w:val="en-GB"/>
        </w:rPr>
        <w:t>The RSPG considered the band 40.5-43.5 GHz as a viable option for 5G in the longer term, taking into account the support from mobile industry and the need to take into account the general balance between the mobile and satellite sectors to access the 40-50 GHz frequency range. The RSPG takes the view that shift of non-5G use from other bands to the 40.5-43.5 GHz band should be avoided as far as possible in order to facilitate its availability for 5G in the future.</w:t>
      </w:r>
    </w:p>
    <w:p w14:paraId="6CA6DB8B" w14:textId="77777777" w:rsidR="006464C4" w:rsidRPr="009451D3" w:rsidRDefault="006464C4" w:rsidP="006464C4">
      <w:pPr>
        <w:jc w:val="both"/>
        <w:rPr>
          <w:rFonts w:ascii="Times New Roman" w:hAnsi="Times New Roman"/>
          <w:sz w:val="24"/>
          <w:lang w:val="en-GB"/>
        </w:rPr>
      </w:pPr>
    </w:p>
    <w:p w14:paraId="584159A8" w14:textId="77777777" w:rsidR="006464C4" w:rsidRPr="009451D3" w:rsidRDefault="006464C4" w:rsidP="006464C4">
      <w:pPr>
        <w:jc w:val="both"/>
        <w:rPr>
          <w:rFonts w:ascii="Times New Roman" w:hAnsi="Times New Roman"/>
          <w:sz w:val="24"/>
          <w:lang w:val="en-GB"/>
        </w:rPr>
      </w:pPr>
      <w:r w:rsidRPr="009451D3">
        <w:rPr>
          <w:rFonts w:ascii="Times New Roman" w:hAnsi="Times New Roman"/>
          <w:sz w:val="24"/>
          <w:lang w:val="en-GB"/>
        </w:rPr>
        <w:t>Furthermore, the RSPG emphasized that there is no reported use of the 66-71 GHz frequency band. Its proximity to the 57-66 GHz band, already designated and used for multiple-gigabit wireless systems (</w:t>
      </w:r>
      <w:proofErr w:type="spellStart"/>
      <w:r w:rsidRPr="009451D3">
        <w:rPr>
          <w:rFonts w:ascii="Times New Roman" w:hAnsi="Times New Roman"/>
          <w:sz w:val="24"/>
          <w:lang w:val="en-GB"/>
        </w:rPr>
        <w:t>WiGig</w:t>
      </w:r>
      <w:proofErr w:type="spellEnd"/>
      <w:r w:rsidRPr="009451D3">
        <w:rPr>
          <w:rFonts w:ascii="Times New Roman" w:hAnsi="Times New Roman"/>
          <w:sz w:val="24"/>
          <w:lang w:val="en-GB"/>
        </w:rPr>
        <w:t>), indicates that 5G equipment could potentially be available in the 66-71 GHz frequency band relatively early by benefiting from the ecosystem being developed in the adjacent band, in particular under general authorisation, which remains an important enabler of innovative 5G services and applications. The 66-71 GHz band has better propagation characteristics than the adjacent 57-66 GHz band as it falls outside the so-called oxygen absorption peak, and therefore can be a viable alternative to lower mm-wave bands ensuring comparable cell radiuses in the range of 50-200 metres.</w:t>
      </w:r>
    </w:p>
    <w:p w14:paraId="5E196D1A" w14:textId="77777777" w:rsidR="006464C4" w:rsidRPr="009451D3" w:rsidRDefault="006464C4" w:rsidP="006464C4">
      <w:pPr>
        <w:jc w:val="both"/>
        <w:rPr>
          <w:rFonts w:ascii="Times New Roman" w:hAnsi="Times New Roman"/>
          <w:sz w:val="24"/>
          <w:lang w:val="en-GB"/>
        </w:rPr>
      </w:pPr>
    </w:p>
    <w:p w14:paraId="107B6DF1" w14:textId="77777777" w:rsidR="006464C4" w:rsidRPr="009451D3" w:rsidRDefault="006464C4" w:rsidP="006464C4">
      <w:pPr>
        <w:jc w:val="both"/>
        <w:rPr>
          <w:rFonts w:ascii="Times New Roman" w:hAnsi="Times New Roman"/>
          <w:sz w:val="24"/>
          <w:lang w:val="en-GB"/>
        </w:rPr>
      </w:pPr>
      <w:r w:rsidRPr="009451D3">
        <w:rPr>
          <w:rFonts w:ascii="Times New Roman" w:hAnsi="Times New Roman"/>
          <w:sz w:val="24"/>
          <w:lang w:val="en-GB"/>
        </w:rPr>
        <w:t>The 66-71 GHz frequency band is currently harmonised in the Union by virtue of the Commission Decision on short range devices</w:t>
      </w:r>
      <w:bookmarkStart w:id="14" w:name="_Ref30071095"/>
      <w:r w:rsidRPr="009451D3">
        <w:rPr>
          <w:rStyle w:val="FootnoteReference"/>
          <w:rFonts w:ascii="Times New Roman" w:hAnsi="Times New Roman"/>
          <w:sz w:val="24"/>
          <w:lang w:val="en-GB"/>
        </w:rPr>
        <w:footnoteReference w:id="5"/>
      </w:r>
      <w:bookmarkEnd w:id="14"/>
      <w:r w:rsidRPr="009451D3">
        <w:rPr>
          <w:rFonts w:ascii="Times New Roman" w:hAnsi="Times New Roman"/>
          <w:sz w:val="24"/>
          <w:lang w:val="en-GB"/>
        </w:rPr>
        <w:t xml:space="preserve"> for use with wideband data transmission devices. Any amendment to the EU-harmonised technical conditions applicable to this band, in order to accommodate 5G use, should be implemented unambiguously within a single legal instrument.</w:t>
      </w:r>
    </w:p>
    <w:p w14:paraId="6A3574D0" w14:textId="77777777" w:rsidR="006464C4" w:rsidRPr="009451D3" w:rsidRDefault="006464C4" w:rsidP="006464C4">
      <w:pPr>
        <w:jc w:val="both"/>
        <w:rPr>
          <w:rFonts w:ascii="Times New Roman" w:hAnsi="Times New Roman"/>
          <w:sz w:val="24"/>
          <w:lang w:val="en-GB"/>
        </w:rPr>
      </w:pPr>
    </w:p>
    <w:p w14:paraId="1FCF4D98" w14:textId="77777777" w:rsidR="006464C4" w:rsidRPr="009451D3" w:rsidRDefault="006464C4" w:rsidP="006464C4">
      <w:pPr>
        <w:jc w:val="both"/>
        <w:rPr>
          <w:rFonts w:ascii="Times New Roman" w:hAnsi="Times New Roman"/>
          <w:sz w:val="24"/>
          <w:lang w:val="en-GB"/>
        </w:rPr>
      </w:pPr>
      <w:r w:rsidRPr="009451D3">
        <w:rPr>
          <w:rFonts w:ascii="Times New Roman" w:hAnsi="Times New Roman"/>
          <w:sz w:val="24"/>
          <w:lang w:val="en-GB"/>
        </w:rPr>
        <w:t>The World Radiocommunication Conference in 2019 (WRC-19) amended the ITU-R Radio Regulations by providing a global mobile allocation and IMT (including 5G) identification of both, the 37-43.5 GHz frequency band, or portions thereof (i.e. including the case of using only the 40.5-43.5 GHz band), and the 66-71 GHz frequency band. Therefore, use of the 37-43.5 GHz frequency range would vary across the globe within the concept of a common tuning range. The deployment of 5G services worldwide would benefit from a degree of coherence of the applicable harmonised technical conditions throughout this frequency range on a global scale. For the 40.5-43.5 GHz frequency band, the amended Radio Regulations stipulate measures to ensure co-existence between 5G services and fixed satellite services (space-to-earth) as well as radio astronomy services within the band. The amended Radio Regulations also provide for coexistence of 5G systems and wireless access systems such as multiple-gigabit wireless systems within the 66-71 GHz frequency band. Furthermore, co-existence with certain satellite services should be considered for the latter band.</w:t>
      </w:r>
    </w:p>
    <w:p w14:paraId="6EE0879F" w14:textId="77777777" w:rsidR="006464C4" w:rsidRPr="009451D3" w:rsidRDefault="006464C4" w:rsidP="006464C4">
      <w:pPr>
        <w:jc w:val="both"/>
        <w:rPr>
          <w:rFonts w:ascii="Times New Roman" w:hAnsi="Times New Roman"/>
          <w:b/>
          <w:smallCaps/>
          <w:sz w:val="24"/>
          <w:lang w:val="en-GB"/>
        </w:rPr>
      </w:pPr>
    </w:p>
    <w:p w14:paraId="36BFE2F0" w14:textId="77777777" w:rsidR="006464C4" w:rsidRPr="009451D3" w:rsidRDefault="006464C4" w:rsidP="00936A7D">
      <w:pPr>
        <w:pStyle w:val="ListParagraph"/>
        <w:numPr>
          <w:ilvl w:val="0"/>
          <w:numId w:val="11"/>
        </w:numPr>
        <w:jc w:val="both"/>
        <w:rPr>
          <w:rFonts w:ascii="Times New Roman" w:hAnsi="Times New Roman"/>
          <w:b/>
          <w:smallCaps/>
          <w:sz w:val="24"/>
          <w:lang w:val="en-GB"/>
        </w:rPr>
      </w:pPr>
      <w:r w:rsidRPr="009451D3">
        <w:rPr>
          <w:rFonts w:ascii="Times New Roman" w:hAnsi="Times New Roman"/>
          <w:b/>
          <w:smallCaps/>
          <w:sz w:val="24"/>
          <w:lang w:val="en-GB"/>
        </w:rPr>
        <w:t>JUSTIFICATION</w:t>
      </w:r>
    </w:p>
    <w:p w14:paraId="7A71D48B" w14:textId="77777777" w:rsidR="006464C4" w:rsidRPr="009451D3" w:rsidRDefault="006464C4" w:rsidP="006464C4">
      <w:pPr>
        <w:jc w:val="both"/>
        <w:rPr>
          <w:rFonts w:ascii="Times New Roman" w:hAnsi="Times New Roman"/>
          <w:sz w:val="24"/>
          <w:highlight w:val="yellow"/>
          <w:lang w:val="en-GB"/>
        </w:rPr>
      </w:pPr>
    </w:p>
    <w:p w14:paraId="7BF3E402" w14:textId="77777777" w:rsidR="006464C4" w:rsidRPr="009451D3" w:rsidRDefault="006464C4" w:rsidP="006464C4">
      <w:pPr>
        <w:jc w:val="both"/>
        <w:rPr>
          <w:rFonts w:ascii="Times New Roman" w:hAnsi="Times New Roman"/>
          <w:sz w:val="24"/>
          <w:lang w:val="en-GB"/>
        </w:rPr>
      </w:pPr>
      <w:r w:rsidRPr="009451D3">
        <w:rPr>
          <w:rFonts w:ascii="Times New Roman" w:hAnsi="Times New Roman"/>
          <w:sz w:val="24"/>
          <w:lang w:val="en-GB"/>
        </w:rPr>
        <w:t>Pursuant to Article 4(2) of the Radio Spectrum Decision</w:t>
      </w:r>
      <w:r w:rsidRPr="009451D3">
        <w:rPr>
          <w:rStyle w:val="FootnoteReference"/>
          <w:rFonts w:ascii="Times New Roman" w:hAnsi="Times New Roman"/>
          <w:sz w:val="24"/>
          <w:lang w:val="en-GB"/>
        </w:rPr>
        <w:footnoteReference w:id="6"/>
      </w:r>
      <w:r w:rsidRPr="009451D3">
        <w:rPr>
          <w:rFonts w:ascii="Times New Roman" w:hAnsi="Times New Roman"/>
          <w:sz w:val="24"/>
          <w:lang w:val="en-GB"/>
        </w:rPr>
        <w:t xml:space="preserve"> the Commission may issue mandates to the CEPT for the development of technical implementing measures with a view to ensuring harmonised conditions for the availability and efficient use of radio spectrum necessary for the functioning of the internal market. Such mandates shall set the tasks to be performed and their timetable. Pursuant to Article 1 of the Radio Spectrum Decision, activities under the Decision must facilitate policy making with regard to the strategic planning and harmonisation of radio spectrum use as well as ensure the effective implementation of radio spectrum policy in the EU while serving the aim of coordination of </w:t>
      </w:r>
      <w:r w:rsidRPr="009451D3">
        <w:rPr>
          <w:rFonts w:ascii="Times New Roman" w:hAnsi="Times New Roman"/>
          <w:sz w:val="24"/>
          <w:lang w:val="en-GB"/>
        </w:rPr>
        <w:lastRenderedPageBreak/>
        <w:t>policy approaches. Furthermore, they shall take due account of the work of international organisations related to spectrum management such as ITU.</w:t>
      </w:r>
    </w:p>
    <w:p w14:paraId="567F2952" w14:textId="77777777" w:rsidR="006464C4" w:rsidRPr="009451D3" w:rsidRDefault="006464C4" w:rsidP="006464C4">
      <w:pPr>
        <w:jc w:val="both"/>
        <w:rPr>
          <w:rFonts w:ascii="Times New Roman" w:hAnsi="Times New Roman"/>
          <w:sz w:val="24"/>
          <w:lang w:val="en-GB"/>
        </w:rPr>
      </w:pPr>
    </w:p>
    <w:p w14:paraId="67610DB9" w14:textId="77777777" w:rsidR="006464C4" w:rsidRPr="009451D3" w:rsidRDefault="006464C4" w:rsidP="006464C4">
      <w:pPr>
        <w:jc w:val="both"/>
        <w:rPr>
          <w:rFonts w:ascii="Times New Roman" w:hAnsi="Times New Roman"/>
          <w:sz w:val="24"/>
          <w:lang w:val="en-GB"/>
        </w:rPr>
      </w:pPr>
      <w:r w:rsidRPr="009451D3">
        <w:rPr>
          <w:rFonts w:ascii="Times New Roman" w:hAnsi="Times New Roman"/>
          <w:sz w:val="24"/>
          <w:lang w:val="en-GB"/>
        </w:rPr>
        <w:t>The Commission Communication on the Gigabit Society</w:t>
      </w:r>
      <w:r w:rsidRPr="009451D3">
        <w:rPr>
          <w:rStyle w:val="FootnoteReference"/>
          <w:rFonts w:ascii="Times New Roman" w:hAnsi="Times New Roman"/>
          <w:sz w:val="24"/>
          <w:lang w:val="en-GB"/>
        </w:rPr>
        <w:footnoteReference w:id="7"/>
      </w:r>
      <w:r w:rsidRPr="009451D3">
        <w:rPr>
          <w:rFonts w:ascii="Times New Roman" w:hAnsi="Times New Roman"/>
          <w:sz w:val="24"/>
          <w:lang w:val="en-GB"/>
        </w:rPr>
        <w:t xml:space="preserve"> sets out even more ambitious Gigabit connectivity targets for households, socio-economic drivers, urban areas and major transport paths, taking account progressing 5G network rollout. The European Electronic Communications Code</w:t>
      </w:r>
      <w:r w:rsidRPr="009451D3">
        <w:rPr>
          <w:rStyle w:val="FootnoteReference"/>
          <w:rFonts w:ascii="Times New Roman" w:hAnsi="Times New Roman"/>
          <w:sz w:val="24"/>
          <w:lang w:val="en-GB"/>
        </w:rPr>
        <w:footnoteReference w:id="8"/>
      </w:r>
      <w:r w:rsidRPr="009451D3">
        <w:rPr>
          <w:rFonts w:ascii="Times New Roman" w:hAnsi="Times New Roman"/>
          <w:sz w:val="24"/>
          <w:lang w:val="en-GB"/>
        </w:rPr>
        <w:t xml:space="preserve"> refers to the importance of studying the 40.5-43.5 GHz and 66-71 GHz frequency bands for </w:t>
      </w:r>
      <w:proofErr w:type="gramStart"/>
      <w:r w:rsidRPr="009451D3">
        <w:rPr>
          <w:rFonts w:ascii="Times New Roman" w:hAnsi="Times New Roman"/>
          <w:sz w:val="24"/>
          <w:lang w:val="en-GB"/>
        </w:rPr>
        <w:t>high-capacity</w:t>
      </w:r>
      <w:proofErr w:type="gramEnd"/>
      <w:r w:rsidRPr="009451D3">
        <w:rPr>
          <w:rFonts w:ascii="Times New Roman" w:hAnsi="Times New Roman"/>
          <w:sz w:val="24"/>
          <w:lang w:val="en-GB"/>
        </w:rPr>
        <w:t xml:space="preserve"> 5G networks.</w:t>
      </w:r>
    </w:p>
    <w:p w14:paraId="1158515E" w14:textId="77777777" w:rsidR="006464C4" w:rsidRPr="009451D3" w:rsidRDefault="006464C4" w:rsidP="006464C4">
      <w:pPr>
        <w:jc w:val="both"/>
        <w:rPr>
          <w:rFonts w:ascii="Times New Roman" w:hAnsi="Times New Roman"/>
          <w:sz w:val="24"/>
          <w:lang w:val="en-GB"/>
        </w:rPr>
      </w:pPr>
    </w:p>
    <w:p w14:paraId="043650DA" w14:textId="77777777" w:rsidR="006464C4" w:rsidRPr="009451D3" w:rsidRDefault="006464C4" w:rsidP="006464C4">
      <w:pPr>
        <w:jc w:val="both"/>
        <w:rPr>
          <w:rFonts w:ascii="Times New Roman" w:hAnsi="Times New Roman"/>
          <w:sz w:val="24"/>
          <w:lang w:val="en-GB"/>
        </w:rPr>
      </w:pPr>
      <w:r w:rsidRPr="009451D3">
        <w:rPr>
          <w:rFonts w:ascii="Times New Roman" w:hAnsi="Times New Roman"/>
          <w:sz w:val="24"/>
          <w:lang w:val="en-GB"/>
        </w:rPr>
        <w:t>Advances in international standardisation and regulations within 3GPP and ITU, as well as ongoing international deployment of 5G, call for a continued coordination at the EU level in order to deliver sufficient and appropriate 5G spectrum in the Union according to anticipated deployment of 5G usage scenarios.</w:t>
      </w:r>
    </w:p>
    <w:p w14:paraId="32C87C89" w14:textId="77777777" w:rsidR="006464C4" w:rsidRPr="009451D3" w:rsidRDefault="006464C4" w:rsidP="006464C4">
      <w:pPr>
        <w:jc w:val="both"/>
        <w:rPr>
          <w:rFonts w:ascii="Times New Roman" w:hAnsi="Times New Roman"/>
          <w:sz w:val="24"/>
          <w:lang w:val="en-GB"/>
        </w:rPr>
      </w:pPr>
      <w:bookmarkStart w:id="15" w:name="_Toc41320077"/>
    </w:p>
    <w:bookmarkEnd w:id="15"/>
    <w:p w14:paraId="505E563B" w14:textId="77777777" w:rsidR="006464C4" w:rsidRPr="009451D3" w:rsidRDefault="006464C4" w:rsidP="006464C4">
      <w:pPr>
        <w:jc w:val="both"/>
        <w:rPr>
          <w:rFonts w:ascii="Times New Roman" w:hAnsi="Times New Roman"/>
          <w:b/>
          <w:bCs/>
          <w:sz w:val="24"/>
          <w:lang w:val="en-GB"/>
        </w:rPr>
      </w:pPr>
      <w:r w:rsidRPr="009451D3">
        <w:rPr>
          <w:rFonts w:ascii="Times New Roman" w:hAnsi="Times New Roman"/>
          <w:b/>
          <w:bCs/>
          <w:sz w:val="24"/>
          <w:lang w:val="en-GB"/>
        </w:rPr>
        <w:t>4.</w:t>
      </w:r>
      <w:r w:rsidRPr="009451D3">
        <w:rPr>
          <w:rFonts w:ascii="Times New Roman" w:hAnsi="Times New Roman"/>
          <w:b/>
          <w:bCs/>
          <w:sz w:val="24"/>
          <w:lang w:val="en-GB"/>
        </w:rPr>
        <w:tab/>
        <w:t>TASK ORDER AND SCHEDULE</w:t>
      </w:r>
    </w:p>
    <w:p w14:paraId="4E1EF3B1" w14:textId="77777777" w:rsidR="006464C4" w:rsidRPr="009451D3" w:rsidRDefault="006464C4" w:rsidP="006464C4">
      <w:pPr>
        <w:jc w:val="both"/>
        <w:rPr>
          <w:rFonts w:ascii="Times New Roman" w:hAnsi="Times New Roman"/>
          <w:sz w:val="24"/>
          <w:highlight w:val="yellow"/>
          <w:lang w:val="en-GB"/>
        </w:rPr>
      </w:pPr>
    </w:p>
    <w:p w14:paraId="1477BA79" w14:textId="77777777" w:rsidR="006464C4" w:rsidRPr="009451D3" w:rsidRDefault="006464C4" w:rsidP="006464C4">
      <w:pPr>
        <w:jc w:val="both"/>
        <w:rPr>
          <w:rFonts w:ascii="Times New Roman" w:hAnsi="Times New Roman"/>
          <w:sz w:val="24"/>
          <w:lang w:val="en-GB"/>
        </w:rPr>
      </w:pPr>
      <w:r w:rsidRPr="009451D3">
        <w:rPr>
          <w:rFonts w:ascii="Times New Roman" w:hAnsi="Times New Roman"/>
          <w:sz w:val="24"/>
          <w:lang w:val="en-GB"/>
        </w:rPr>
        <w:t xml:space="preserve">CEPT is herewith mandated to develop harmonised least restrictive technical conditions for the 40.5-43.5 GHz frequency band and to revise, only if necessary, the harmonised technical conditions in the 66-71 GHz frequency band, with a view to their suitability for </w:t>
      </w:r>
      <w:r w:rsidRPr="009451D3">
        <w:rPr>
          <w:rFonts w:ascii="Times New Roman" w:hAnsi="Times New Roman"/>
          <w:i/>
          <w:sz w:val="24"/>
          <w:lang w:val="en-GB"/>
        </w:rPr>
        <w:t xml:space="preserve">next-generation (5G) terrestrial wireless systems, </w:t>
      </w:r>
      <w:r w:rsidRPr="009451D3">
        <w:rPr>
          <w:rFonts w:ascii="Times New Roman" w:hAnsi="Times New Roman"/>
          <w:sz w:val="24"/>
          <w:lang w:val="en-GB"/>
        </w:rPr>
        <w:t>in line with the policy priorities set out in this Mandate and taking into account relevant needs for shared spectrum use with incumbent uses. CEPT should give utmost consideration to the overall EU spectrum policy objectives such as effective and efficient spectrum use and take utmost account of applicable principles established in EU law such as those relating to service and technological neutrality, non-discrimination and proportionality insofar as technically possible.</w:t>
      </w:r>
    </w:p>
    <w:p w14:paraId="50398062" w14:textId="77777777" w:rsidR="006464C4" w:rsidRPr="009451D3" w:rsidRDefault="006464C4" w:rsidP="006464C4">
      <w:pPr>
        <w:jc w:val="both"/>
        <w:rPr>
          <w:rFonts w:ascii="Times New Roman" w:hAnsi="Times New Roman"/>
          <w:sz w:val="24"/>
          <w:lang w:val="en-GB"/>
        </w:rPr>
      </w:pPr>
    </w:p>
    <w:p w14:paraId="48FF13EE" w14:textId="77777777" w:rsidR="006464C4" w:rsidRPr="009451D3" w:rsidRDefault="006464C4" w:rsidP="006464C4">
      <w:pPr>
        <w:jc w:val="both"/>
        <w:rPr>
          <w:rFonts w:ascii="Times New Roman" w:hAnsi="Times New Roman"/>
          <w:sz w:val="24"/>
          <w:lang w:val="en-GB"/>
        </w:rPr>
      </w:pPr>
      <w:r w:rsidRPr="009451D3">
        <w:rPr>
          <w:rFonts w:ascii="Times New Roman" w:hAnsi="Times New Roman"/>
          <w:sz w:val="24"/>
          <w:lang w:val="en-GB"/>
        </w:rPr>
        <w:t>CEPT is requested to collaborate actively with the European Telecommunications Standardisation Institute (ETSI), which develops harmonised standards for conformity under the Radio Equipment Directive</w:t>
      </w:r>
      <w:r w:rsidRPr="009451D3">
        <w:rPr>
          <w:rStyle w:val="FootnoteReference"/>
          <w:rFonts w:ascii="Times New Roman" w:hAnsi="Times New Roman"/>
          <w:sz w:val="24"/>
          <w:lang w:val="en-GB"/>
        </w:rPr>
        <w:footnoteReference w:id="9"/>
      </w:r>
      <w:r w:rsidRPr="009451D3">
        <w:rPr>
          <w:rFonts w:ascii="Times New Roman" w:hAnsi="Times New Roman"/>
          <w:sz w:val="24"/>
          <w:lang w:val="en-GB"/>
        </w:rPr>
        <w:t>. In addition, CEPT should take into consideration emerging technologies and ETSI standards, which define 5G systems, facilitate shared spectrum use and foster economies of scale.</w:t>
      </w:r>
    </w:p>
    <w:p w14:paraId="7CAC739D" w14:textId="77777777" w:rsidR="006464C4" w:rsidRPr="009451D3" w:rsidRDefault="006464C4" w:rsidP="006464C4">
      <w:pPr>
        <w:jc w:val="both"/>
        <w:rPr>
          <w:rFonts w:ascii="Times New Roman" w:hAnsi="Times New Roman"/>
          <w:sz w:val="24"/>
          <w:lang w:val="en-GB"/>
        </w:rPr>
      </w:pPr>
    </w:p>
    <w:p w14:paraId="7EDC4C49" w14:textId="77777777" w:rsidR="006464C4" w:rsidRPr="009451D3" w:rsidRDefault="006464C4" w:rsidP="006464C4">
      <w:pPr>
        <w:jc w:val="both"/>
        <w:rPr>
          <w:rFonts w:ascii="Times New Roman" w:hAnsi="Times New Roman"/>
          <w:sz w:val="24"/>
          <w:lang w:val="en-GB"/>
        </w:rPr>
      </w:pPr>
      <w:r w:rsidRPr="009451D3">
        <w:rPr>
          <w:rFonts w:ascii="Times New Roman" w:hAnsi="Times New Roman"/>
          <w:sz w:val="24"/>
          <w:lang w:val="en-GB"/>
        </w:rPr>
        <w:t xml:space="preserve">More specifically, CEPT </w:t>
      </w:r>
      <w:r w:rsidRPr="009451D3">
        <w:rPr>
          <w:rFonts w:ascii="Times New Roman" w:hAnsi="Times New Roman"/>
          <w:sz w:val="24"/>
          <w:shd w:val="clear" w:color="auto" w:fill="FFFFFF"/>
          <w:lang w:val="en-GB"/>
        </w:rPr>
        <w:t xml:space="preserve">is mandated </w:t>
      </w:r>
      <w:r w:rsidRPr="009451D3">
        <w:rPr>
          <w:rFonts w:ascii="Times New Roman" w:hAnsi="Times New Roman"/>
          <w:sz w:val="24"/>
          <w:lang w:val="en-GB"/>
        </w:rPr>
        <w:t>to perform the following tasks with a view to developing harmonised least restrictive technical conditions for spectrum use:</w:t>
      </w:r>
    </w:p>
    <w:p w14:paraId="64678F44" w14:textId="77777777" w:rsidR="006464C4" w:rsidRPr="009451D3" w:rsidRDefault="006464C4" w:rsidP="006464C4">
      <w:pPr>
        <w:jc w:val="both"/>
        <w:rPr>
          <w:rFonts w:ascii="Times New Roman" w:hAnsi="Times New Roman"/>
          <w:sz w:val="24"/>
          <w:lang w:val="en-GB"/>
        </w:rPr>
      </w:pPr>
    </w:p>
    <w:p w14:paraId="73F0228E" w14:textId="77777777" w:rsidR="006464C4" w:rsidRPr="009451D3" w:rsidRDefault="006464C4" w:rsidP="00936A7D">
      <w:pPr>
        <w:numPr>
          <w:ilvl w:val="0"/>
          <w:numId w:val="12"/>
        </w:numPr>
        <w:spacing w:after="240"/>
        <w:ind w:left="709" w:hanging="290"/>
        <w:jc w:val="both"/>
        <w:rPr>
          <w:rFonts w:ascii="Times New Roman" w:hAnsi="Times New Roman"/>
          <w:sz w:val="24"/>
          <w:lang w:val="en-GB"/>
        </w:rPr>
      </w:pPr>
      <w:r w:rsidRPr="009451D3">
        <w:rPr>
          <w:rFonts w:ascii="Times New Roman" w:hAnsi="Times New Roman"/>
          <w:sz w:val="24"/>
          <w:lang w:val="en-GB"/>
        </w:rPr>
        <w:t>Review the current and planned use of the 40.5-43.5 GHz frequency band and identify relevant scenarios for shared spectrum use between those uses and next-generation (5G) wireless broadband electronic communications services, in order to ensure co-existence and further development of all relevant services within the band.</w:t>
      </w:r>
    </w:p>
    <w:p w14:paraId="5E6A8F48" w14:textId="77777777" w:rsidR="006464C4" w:rsidRPr="009451D3" w:rsidRDefault="006464C4" w:rsidP="00936A7D">
      <w:pPr>
        <w:numPr>
          <w:ilvl w:val="0"/>
          <w:numId w:val="12"/>
        </w:numPr>
        <w:spacing w:after="120"/>
        <w:ind w:left="709" w:hanging="290"/>
        <w:jc w:val="both"/>
        <w:rPr>
          <w:rFonts w:ascii="Times New Roman" w:hAnsi="Times New Roman"/>
          <w:sz w:val="24"/>
          <w:lang w:val="en-GB"/>
        </w:rPr>
      </w:pPr>
      <w:r w:rsidRPr="009451D3">
        <w:rPr>
          <w:rFonts w:ascii="Times New Roman" w:hAnsi="Times New Roman"/>
          <w:sz w:val="24"/>
          <w:lang w:val="en-GB"/>
        </w:rPr>
        <w:t>Based on the results under Task 1, develop frequency arrangements and common and minimal (least restrictive) technical conditions</w:t>
      </w:r>
      <w:r w:rsidRPr="009451D3">
        <w:rPr>
          <w:rStyle w:val="FootnoteReference"/>
          <w:rFonts w:ascii="Times New Roman" w:hAnsi="Times New Roman"/>
          <w:sz w:val="24"/>
          <w:lang w:val="en-GB"/>
        </w:rPr>
        <w:footnoteReference w:id="10"/>
      </w:r>
      <w:r w:rsidRPr="009451D3">
        <w:rPr>
          <w:rFonts w:ascii="Times New Roman" w:hAnsi="Times New Roman"/>
          <w:sz w:val="24"/>
          <w:lang w:val="en-GB"/>
        </w:rPr>
        <w:t>, including sharing conditions, for the aforementioned frequency band, which are suitable for terrestrial wireless systems, including 5G, in compliance with the principles of technology and service neutrality. In this regard, consider the need to ensure coherence of the harmonised frequency arrangements within the 40.5-43.5 GHz frequency band with the envisaged use of the 37-40.5 GHz frequency range in other world regions.</w:t>
      </w:r>
    </w:p>
    <w:p w14:paraId="39079400" w14:textId="77777777" w:rsidR="006464C4" w:rsidRPr="009451D3" w:rsidRDefault="006464C4" w:rsidP="00936A7D">
      <w:pPr>
        <w:numPr>
          <w:ilvl w:val="0"/>
          <w:numId w:val="12"/>
        </w:numPr>
        <w:spacing w:after="120"/>
        <w:ind w:left="709" w:hanging="290"/>
        <w:jc w:val="both"/>
        <w:rPr>
          <w:rFonts w:ascii="Times New Roman" w:hAnsi="Times New Roman"/>
          <w:sz w:val="24"/>
          <w:lang w:val="en-GB"/>
        </w:rPr>
      </w:pPr>
      <w:r w:rsidRPr="009451D3">
        <w:rPr>
          <w:rFonts w:ascii="Times New Roman" w:hAnsi="Times New Roman"/>
          <w:sz w:val="24"/>
          <w:lang w:val="en-GB"/>
        </w:rPr>
        <w:lastRenderedPageBreak/>
        <w:t>Review and revise, only if necessary, the EU-harmonised technical conditions for use of the 66-71 GHz frequency band</w:t>
      </w:r>
      <w:r w:rsidRPr="009451D3">
        <w:rPr>
          <w:rFonts w:ascii="Times New Roman" w:hAnsi="Times New Roman"/>
          <w:sz w:val="24"/>
          <w:lang w:val="en-GB"/>
        </w:rPr>
        <w:fldChar w:fldCharType="begin"/>
      </w:r>
      <w:r w:rsidRPr="009451D3">
        <w:rPr>
          <w:rFonts w:ascii="Times New Roman" w:hAnsi="Times New Roman"/>
          <w:sz w:val="24"/>
          <w:lang w:val="en-GB"/>
        </w:rPr>
        <w:instrText xml:space="preserve"> NOTEREF _Ref30071095 \f \h  \* MERGEFORMAT </w:instrText>
      </w:r>
      <w:r w:rsidRPr="009451D3">
        <w:rPr>
          <w:rFonts w:ascii="Times New Roman" w:hAnsi="Times New Roman"/>
          <w:sz w:val="24"/>
          <w:lang w:val="en-GB"/>
        </w:rPr>
      </w:r>
      <w:r w:rsidRPr="009451D3">
        <w:rPr>
          <w:rFonts w:ascii="Times New Roman" w:hAnsi="Times New Roman"/>
          <w:sz w:val="24"/>
          <w:lang w:val="en-GB"/>
        </w:rPr>
        <w:fldChar w:fldCharType="separate"/>
      </w:r>
      <w:r w:rsidRPr="009451D3">
        <w:rPr>
          <w:rStyle w:val="FootnoteReference"/>
          <w:rFonts w:ascii="Times New Roman" w:hAnsi="Times New Roman"/>
          <w:sz w:val="24"/>
          <w:lang w:val="en-GB"/>
        </w:rPr>
        <w:t>4</w:t>
      </w:r>
      <w:r w:rsidRPr="009451D3">
        <w:rPr>
          <w:rFonts w:ascii="Times New Roman" w:hAnsi="Times New Roman"/>
          <w:sz w:val="24"/>
          <w:lang w:val="en-GB"/>
        </w:rPr>
        <w:fldChar w:fldCharType="end"/>
      </w:r>
      <w:r w:rsidRPr="009451D3">
        <w:rPr>
          <w:rFonts w:ascii="Times New Roman" w:hAnsi="Times New Roman"/>
          <w:sz w:val="24"/>
          <w:lang w:val="en-GB"/>
        </w:rPr>
        <w:t xml:space="preserve"> with a view to use of this band for next-generation (5G) wireless broadband electronic communications services, taking into account relevant scenarios for shared spectrum use and the further development of all relevant services within the band. In this regard, ensure coherence of results and reporting to the Commission, </w:t>
      </w:r>
      <w:proofErr w:type="gramStart"/>
      <w:r w:rsidRPr="009451D3">
        <w:rPr>
          <w:rFonts w:ascii="Times New Roman" w:hAnsi="Times New Roman"/>
          <w:sz w:val="24"/>
          <w:lang w:val="en-GB"/>
        </w:rPr>
        <w:t>taking into account</w:t>
      </w:r>
      <w:proofErr w:type="gramEnd"/>
      <w:r w:rsidRPr="009451D3">
        <w:rPr>
          <w:rFonts w:ascii="Times New Roman" w:hAnsi="Times New Roman"/>
          <w:sz w:val="24"/>
          <w:lang w:val="en-GB"/>
        </w:rPr>
        <w:t xml:space="preserve"> the ongoing work on the permanent mandate to CEPT on short-range devices</w:t>
      </w:r>
      <w:r w:rsidRPr="009451D3">
        <w:rPr>
          <w:rStyle w:val="FootnoteReference"/>
          <w:rFonts w:ascii="Times New Roman" w:hAnsi="Times New Roman"/>
          <w:sz w:val="24"/>
          <w:lang w:val="en-GB"/>
        </w:rPr>
        <w:footnoteReference w:id="11"/>
      </w:r>
      <w:r w:rsidRPr="009451D3">
        <w:rPr>
          <w:rFonts w:ascii="Times New Roman" w:hAnsi="Times New Roman"/>
          <w:sz w:val="24"/>
          <w:lang w:val="en-GB"/>
        </w:rPr>
        <w:t>, in accordance with the latest Commission guidance</w:t>
      </w:r>
      <w:r w:rsidRPr="009451D3">
        <w:rPr>
          <w:rStyle w:val="FootnoteReference"/>
          <w:rFonts w:ascii="Times New Roman" w:hAnsi="Times New Roman"/>
          <w:sz w:val="24"/>
          <w:lang w:val="en-GB"/>
        </w:rPr>
        <w:footnoteReference w:id="12"/>
      </w:r>
      <w:r w:rsidRPr="009451D3">
        <w:rPr>
          <w:rFonts w:ascii="Times New Roman" w:hAnsi="Times New Roman"/>
          <w:sz w:val="24"/>
          <w:lang w:val="en-GB"/>
        </w:rPr>
        <w:t>.</w:t>
      </w:r>
    </w:p>
    <w:p w14:paraId="72C58B7B" w14:textId="77777777" w:rsidR="006464C4" w:rsidRPr="009451D3" w:rsidRDefault="006464C4" w:rsidP="006464C4">
      <w:pPr>
        <w:ind w:left="709"/>
        <w:jc w:val="both"/>
        <w:rPr>
          <w:rFonts w:ascii="Times New Roman" w:hAnsi="Times New Roman"/>
          <w:sz w:val="24"/>
          <w:lang w:val="en-GB"/>
        </w:rPr>
      </w:pPr>
      <w:r w:rsidRPr="009451D3">
        <w:rPr>
          <w:rFonts w:ascii="Times New Roman" w:hAnsi="Times New Roman"/>
          <w:sz w:val="24"/>
          <w:lang w:val="en-GB"/>
        </w:rPr>
        <w:t xml:space="preserve">The conditions under Tasks 2 and 3 should take into account relevant authorisation modes and be sufficient to mitigate interference and to ensure co-existence with incumbent radio services/applications in the same band or in adjacent bands, in line with their regulatory status, including at the EU outer borders. </w:t>
      </w:r>
    </w:p>
    <w:p w14:paraId="1F84D277" w14:textId="77777777" w:rsidR="006464C4" w:rsidRPr="009451D3" w:rsidRDefault="006464C4" w:rsidP="006464C4">
      <w:pPr>
        <w:ind w:left="709"/>
        <w:jc w:val="both"/>
        <w:rPr>
          <w:rFonts w:ascii="Times New Roman" w:hAnsi="Times New Roman"/>
          <w:sz w:val="24"/>
          <w:lang w:val="en-GB"/>
        </w:rPr>
      </w:pPr>
    </w:p>
    <w:p w14:paraId="458ADE8B" w14:textId="77777777" w:rsidR="006464C4" w:rsidRPr="009451D3" w:rsidRDefault="006464C4" w:rsidP="00936A7D">
      <w:pPr>
        <w:pStyle w:val="ListNumber"/>
        <w:numPr>
          <w:ilvl w:val="0"/>
          <w:numId w:val="12"/>
        </w:numPr>
        <w:shd w:val="clear" w:color="auto" w:fill="FFFFFF"/>
        <w:ind w:left="709" w:hanging="290"/>
        <w:rPr>
          <w:szCs w:val="24"/>
        </w:rPr>
      </w:pPr>
      <w:r w:rsidRPr="009451D3">
        <w:rPr>
          <w:szCs w:val="24"/>
        </w:rPr>
        <w:t>Assess the need for and develop, if necessary, guidance for cross-border coordination.</w:t>
      </w:r>
    </w:p>
    <w:p w14:paraId="7B8866FD" w14:textId="77777777" w:rsidR="006464C4" w:rsidRPr="009451D3" w:rsidRDefault="006464C4" w:rsidP="006464C4">
      <w:pPr>
        <w:pStyle w:val="ListNumber"/>
        <w:numPr>
          <w:ilvl w:val="0"/>
          <w:numId w:val="0"/>
        </w:numPr>
        <w:shd w:val="clear" w:color="auto" w:fill="FFFFFF"/>
        <w:rPr>
          <w:szCs w:val="24"/>
        </w:rPr>
      </w:pPr>
      <w:r w:rsidRPr="009451D3">
        <w:rPr>
          <w:szCs w:val="24"/>
        </w:rPr>
        <w:t>Overall, the CEPT should provide deliverables under this Mandate according to the following schedule: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4111"/>
        <w:gridCol w:w="2948"/>
      </w:tblGrid>
      <w:tr w:rsidR="006464C4" w:rsidRPr="009451D3" w14:paraId="7B07A7AD" w14:textId="77777777" w:rsidTr="00977D26">
        <w:tc>
          <w:tcPr>
            <w:tcW w:w="1701" w:type="dxa"/>
          </w:tcPr>
          <w:p w14:paraId="3AE3F8B6" w14:textId="77777777" w:rsidR="006464C4" w:rsidRPr="009451D3" w:rsidRDefault="006464C4" w:rsidP="00977D26">
            <w:pPr>
              <w:spacing w:before="120" w:after="120"/>
              <w:jc w:val="center"/>
              <w:rPr>
                <w:rFonts w:ascii="Times New Roman" w:hAnsi="Times New Roman"/>
                <w:b/>
                <w:sz w:val="24"/>
                <w:lang w:val="en-GB"/>
              </w:rPr>
            </w:pPr>
            <w:r w:rsidRPr="009451D3">
              <w:rPr>
                <w:rFonts w:ascii="Times New Roman" w:hAnsi="Times New Roman"/>
                <w:b/>
                <w:sz w:val="24"/>
                <w:lang w:val="en-GB"/>
              </w:rPr>
              <w:t>Delivery date</w:t>
            </w:r>
          </w:p>
        </w:tc>
        <w:tc>
          <w:tcPr>
            <w:tcW w:w="4111" w:type="dxa"/>
          </w:tcPr>
          <w:p w14:paraId="56C9413F" w14:textId="77777777" w:rsidR="006464C4" w:rsidRPr="009451D3" w:rsidRDefault="006464C4" w:rsidP="00977D26">
            <w:pPr>
              <w:spacing w:before="120" w:after="120"/>
              <w:jc w:val="center"/>
              <w:rPr>
                <w:rFonts w:ascii="Times New Roman" w:hAnsi="Times New Roman"/>
                <w:b/>
                <w:sz w:val="24"/>
                <w:lang w:val="en-GB"/>
              </w:rPr>
            </w:pPr>
            <w:r w:rsidRPr="009451D3">
              <w:rPr>
                <w:rFonts w:ascii="Times New Roman" w:hAnsi="Times New Roman"/>
                <w:b/>
                <w:sz w:val="24"/>
                <w:lang w:val="en-GB"/>
              </w:rPr>
              <w:t>Deliverable</w:t>
            </w:r>
          </w:p>
        </w:tc>
        <w:tc>
          <w:tcPr>
            <w:tcW w:w="2948" w:type="dxa"/>
          </w:tcPr>
          <w:p w14:paraId="01D8F3A5" w14:textId="77777777" w:rsidR="006464C4" w:rsidRPr="009451D3" w:rsidRDefault="006464C4" w:rsidP="00977D26">
            <w:pPr>
              <w:spacing w:before="120" w:after="120"/>
              <w:jc w:val="center"/>
              <w:rPr>
                <w:rFonts w:ascii="Times New Roman" w:hAnsi="Times New Roman"/>
                <w:b/>
                <w:sz w:val="24"/>
                <w:lang w:val="en-GB"/>
              </w:rPr>
            </w:pPr>
            <w:r w:rsidRPr="009451D3">
              <w:rPr>
                <w:rFonts w:ascii="Times New Roman" w:hAnsi="Times New Roman"/>
                <w:b/>
                <w:sz w:val="24"/>
                <w:lang w:val="en-GB"/>
              </w:rPr>
              <w:t>Subject</w:t>
            </w:r>
          </w:p>
        </w:tc>
      </w:tr>
      <w:tr w:rsidR="006464C4" w:rsidRPr="009451D3" w14:paraId="09E50A51" w14:textId="77777777" w:rsidTr="00977D26">
        <w:tc>
          <w:tcPr>
            <w:tcW w:w="1701" w:type="dxa"/>
          </w:tcPr>
          <w:p w14:paraId="6FB89487" w14:textId="77777777" w:rsidR="006464C4" w:rsidRPr="009451D3" w:rsidRDefault="006464C4" w:rsidP="00977D26">
            <w:pPr>
              <w:spacing w:before="120" w:after="120"/>
              <w:rPr>
                <w:rFonts w:ascii="Times New Roman" w:hAnsi="Times New Roman"/>
                <w:sz w:val="24"/>
                <w:lang w:val="en-GB"/>
              </w:rPr>
            </w:pPr>
            <w:r w:rsidRPr="009451D3">
              <w:rPr>
                <w:rFonts w:ascii="Times New Roman" w:hAnsi="Times New Roman"/>
                <w:sz w:val="24"/>
                <w:lang w:val="en-GB"/>
              </w:rPr>
              <w:t xml:space="preserve">March 2021 </w:t>
            </w:r>
          </w:p>
        </w:tc>
        <w:tc>
          <w:tcPr>
            <w:tcW w:w="4111" w:type="dxa"/>
          </w:tcPr>
          <w:p w14:paraId="1726F98E" w14:textId="77777777" w:rsidR="006464C4" w:rsidRPr="009451D3" w:rsidRDefault="006464C4" w:rsidP="00977D26">
            <w:pPr>
              <w:spacing w:before="120" w:after="120"/>
              <w:rPr>
                <w:rFonts w:ascii="Times New Roman" w:hAnsi="Times New Roman"/>
                <w:sz w:val="24"/>
                <w:lang w:val="en-GB"/>
              </w:rPr>
            </w:pPr>
            <w:r w:rsidRPr="009451D3">
              <w:rPr>
                <w:rFonts w:ascii="Times New Roman" w:hAnsi="Times New Roman"/>
                <w:sz w:val="24"/>
                <w:lang w:val="en-GB"/>
              </w:rPr>
              <w:t>Draft Report(s) from CEPT to the Commission</w:t>
            </w:r>
            <w:r w:rsidRPr="009451D3">
              <w:rPr>
                <w:rStyle w:val="FootnoteReference"/>
                <w:rFonts w:ascii="Times New Roman" w:hAnsi="Times New Roman"/>
                <w:sz w:val="24"/>
                <w:lang w:val="en-GB"/>
              </w:rPr>
              <w:footnoteReference w:id="13"/>
            </w:r>
            <w:r w:rsidRPr="009451D3">
              <w:rPr>
                <w:rFonts w:ascii="Times New Roman" w:hAnsi="Times New Roman"/>
                <w:sz w:val="24"/>
                <w:lang w:val="en-GB"/>
              </w:rPr>
              <w:t>.</w:t>
            </w:r>
          </w:p>
          <w:p w14:paraId="4D406F76" w14:textId="77777777" w:rsidR="006464C4" w:rsidRPr="009451D3" w:rsidRDefault="006464C4" w:rsidP="00977D26">
            <w:pPr>
              <w:spacing w:before="120" w:after="120"/>
              <w:rPr>
                <w:rFonts w:ascii="Times New Roman" w:hAnsi="Times New Roman"/>
                <w:sz w:val="24"/>
                <w:lang w:val="en-GB"/>
              </w:rPr>
            </w:pPr>
          </w:p>
        </w:tc>
        <w:tc>
          <w:tcPr>
            <w:tcW w:w="2948" w:type="dxa"/>
          </w:tcPr>
          <w:p w14:paraId="3C00E885" w14:textId="77777777" w:rsidR="006464C4" w:rsidRPr="009451D3" w:rsidRDefault="006464C4" w:rsidP="00977D26">
            <w:pPr>
              <w:spacing w:before="120" w:after="120"/>
              <w:rPr>
                <w:rFonts w:ascii="Times New Roman" w:hAnsi="Times New Roman"/>
                <w:sz w:val="24"/>
                <w:lang w:val="en-GB"/>
              </w:rPr>
            </w:pPr>
            <w:r w:rsidRPr="009451D3">
              <w:rPr>
                <w:rFonts w:ascii="Times New Roman" w:hAnsi="Times New Roman"/>
                <w:sz w:val="24"/>
                <w:lang w:val="en-GB"/>
              </w:rPr>
              <w:t>Description of the work undertaken and the results.</w:t>
            </w:r>
          </w:p>
        </w:tc>
      </w:tr>
      <w:tr w:rsidR="006464C4" w:rsidRPr="009451D3" w14:paraId="31D4F8B9" w14:textId="77777777" w:rsidTr="00977D26">
        <w:tc>
          <w:tcPr>
            <w:tcW w:w="1701" w:type="dxa"/>
          </w:tcPr>
          <w:p w14:paraId="32C96A4B" w14:textId="77777777" w:rsidR="006464C4" w:rsidRPr="009451D3" w:rsidRDefault="006464C4" w:rsidP="00977D26">
            <w:pPr>
              <w:spacing w:before="120" w:after="120"/>
              <w:rPr>
                <w:rFonts w:ascii="Times New Roman" w:hAnsi="Times New Roman"/>
                <w:sz w:val="24"/>
                <w:lang w:val="en-GB"/>
              </w:rPr>
            </w:pPr>
            <w:r w:rsidRPr="009451D3">
              <w:rPr>
                <w:rFonts w:ascii="Times New Roman" w:hAnsi="Times New Roman"/>
                <w:sz w:val="24"/>
                <w:lang w:val="en-GB"/>
              </w:rPr>
              <w:t>July 2021</w:t>
            </w:r>
          </w:p>
        </w:tc>
        <w:tc>
          <w:tcPr>
            <w:tcW w:w="4111" w:type="dxa"/>
          </w:tcPr>
          <w:p w14:paraId="73FF80CE" w14:textId="77777777" w:rsidR="006464C4" w:rsidRPr="009451D3" w:rsidRDefault="006464C4" w:rsidP="00977D26">
            <w:pPr>
              <w:spacing w:before="120" w:after="120"/>
              <w:rPr>
                <w:rFonts w:ascii="Times New Roman" w:hAnsi="Times New Roman"/>
                <w:sz w:val="24"/>
                <w:lang w:val="en-GB"/>
              </w:rPr>
            </w:pPr>
            <w:r w:rsidRPr="009451D3">
              <w:rPr>
                <w:rFonts w:ascii="Times New Roman" w:hAnsi="Times New Roman"/>
                <w:sz w:val="24"/>
                <w:lang w:val="en-GB"/>
              </w:rPr>
              <w:t xml:space="preserve">Final Report(s) from CEPT to the Commission, </w:t>
            </w:r>
            <w:proofErr w:type="gramStart"/>
            <w:r w:rsidRPr="009451D3">
              <w:rPr>
                <w:rFonts w:ascii="Times New Roman" w:hAnsi="Times New Roman"/>
                <w:sz w:val="24"/>
                <w:lang w:val="en-GB"/>
              </w:rPr>
              <w:t>taking into account</w:t>
            </w:r>
            <w:proofErr w:type="gramEnd"/>
            <w:r w:rsidRPr="009451D3">
              <w:rPr>
                <w:rFonts w:ascii="Times New Roman" w:hAnsi="Times New Roman"/>
                <w:sz w:val="24"/>
                <w:lang w:val="en-GB"/>
              </w:rPr>
              <w:t xml:space="preserve"> the outcome of the public consultation.</w:t>
            </w:r>
          </w:p>
        </w:tc>
        <w:tc>
          <w:tcPr>
            <w:tcW w:w="2948" w:type="dxa"/>
          </w:tcPr>
          <w:p w14:paraId="2BFD5C91" w14:textId="77777777" w:rsidR="006464C4" w:rsidRPr="009451D3" w:rsidRDefault="006464C4" w:rsidP="00977D26">
            <w:pPr>
              <w:spacing w:before="120" w:after="120"/>
              <w:rPr>
                <w:rFonts w:ascii="Times New Roman" w:hAnsi="Times New Roman"/>
                <w:sz w:val="24"/>
                <w:lang w:val="en-GB"/>
              </w:rPr>
            </w:pPr>
            <w:r w:rsidRPr="009451D3">
              <w:rPr>
                <w:rFonts w:ascii="Times New Roman" w:hAnsi="Times New Roman"/>
                <w:sz w:val="24"/>
                <w:lang w:val="en-GB"/>
              </w:rPr>
              <w:t>Description of the work undertaken and the results.</w:t>
            </w:r>
          </w:p>
        </w:tc>
      </w:tr>
    </w:tbl>
    <w:p w14:paraId="5256A713" w14:textId="77777777" w:rsidR="006464C4" w:rsidRPr="009451D3" w:rsidRDefault="006464C4" w:rsidP="006464C4">
      <w:pPr>
        <w:pStyle w:val="ListNumber"/>
        <w:numPr>
          <w:ilvl w:val="0"/>
          <w:numId w:val="0"/>
        </w:numPr>
        <w:spacing w:after="120"/>
        <w:rPr>
          <w:szCs w:val="24"/>
        </w:rPr>
      </w:pPr>
    </w:p>
    <w:p w14:paraId="615463E2" w14:textId="77777777" w:rsidR="006464C4" w:rsidRPr="009451D3" w:rsidRDefault="006464C4" w:rsidP="006464C4">
      <w:pPr>
        <w:jc w:val="both"/>
        <w:rPr>
          <w:rFonts w:ascii="Times New Roman" w:hAnsi="Times New Roman"/>
          <w:sz w:val="24"/>
          <w:lang w:val="en-GB"/>
        </w:rPr>
      </w:pPr>
      <w:r w:rsidRPr="009451D3">
        <w:rPr>
          <w:rFonts w:ascii="Times New Roman" w:hAnsi="Times New Roman"/>
          <w:sz w:val="24"/>
          <w:lang w:val="en-GB"/>
        </w:rPr>
        <w:t xml:space="preserve">CEPT is requested to report on the progress of its work pursuant to this Mandate to all meetings of the Radio Spectrum Committee taking place </w:t>
      </w:r>
      <w:proofErr w:type="gramStart"/>
      <w:r w:rsidRPr="009451D3">
        <w:rPr>
          <w:rFonts w:ascii="Times New Roman" w:hAnsi="Times New Roman"/>
          <w:sz w:val="24"/>
          <w:lang w:val="en-GB"/>
        </w:rPr>
        <w:t>during the course of</w:t>
      </w:r>
      <w:proofErr w:type="gramEnd"/>
      <w:r w:rsidRPr="009451D3">
        <w:rPr>
          <w:rFonts w:ascii="Times New Roman" w:hAnsi="Times New Roman"/>
          <w:sz w:val="24"/>
          <w:lang w:val="en-GB"/>
        </w:rPr>
        <w:t xml:space="preserve"> the Mandate.</w:t>
      </w:r>
    </w:p>
    <w:p w14:paraId="7D88C916" w14:textId="77777777" w:rsidR="006464C4" w:rsidRPr="009451D3" w:rsidRDefault="006464C4" w:rsidP="006464C4">
      <w:pPr>
        <w:jc w:val="both"/>
        <w:rPr>
          <w:rFonts w:ascii="Times New Roman" w:hAnsi="Times New Roman"/>
          <w:sz w:val="24"/>
          <w:lang w:val="en-GB"/>
        </w:rPr>
      </w:pPr>
    </w:p>
    <w:p w14:paraId="03975818" w14:textId="77777777" w:rsidR="006464C4" w:rsidRPr="009451D3" w:rsidRDefault="006464C4" w:rsidP="006464C4">
      <w:pPr>
        <w:pStyle w:val="ECCParagraph"/>
      </w:pPr>
      <w:r w:rsidRPr="009451D3">
        <w:rPr>
          <w:rFonts w:ascii="Times New Roman" w:hAnsi="Times New Roman"/>
          <w:sz w:val="24"/>
        </w:rPr>
        <w:t xml:space="preserve">The Commission, with the assistance of the Radio Spectrum Committee and pursuant to Article 4 of the Radio Spectrum Decision, may consider applying the results of this mandate in the Union </w:t>
      </w:r>
      <w:proofErr w:type="gramStart"/>
      <w:r w:rsidRPr="009451D3">
        <w:rPr>
          <w:rFonts w:ascii="Times New Roman" w:hAnsi="Times New Roman"/>
          <w:sz w:val="24"/>
        </w:rPr>
        <w:t>taking into account</w:t>
      </w:r>
      <w:proofErr w:type="gramEnd"/>
      <w:r w:rsidRPr="009451D3">
        <w:rPr>
          <w:rFonts w:ascii="Times New Roman" w:hAnsi="Times New Roman"/>
          <w:sz w:val="24"/>
        </w:rPr>
        <w:t xml:space="preserve"> any relevant guidance of the RSPG.</w:t>
      </w:r>
    </w:p>
    <w:p w14:paraId="601B3103" w14:textId="77777777" w:rsidR="006464C4" w:rsidRPr="009451D3" w:rsidRDefault="006464C4" w:rsidP="006464C4">
      <w:pPr>
        <w:spacing w:before="120" w:after="120"/>
        <w:jc w:val="both"/>
        <w:rPr>
          <w:szCs w:val="20"/>
          <w:lang w:val="en-GB"/>
        </w:rPr>
      </w:pPr>
    </w:p>
    <w:p w14:paraId="3297077F" w14:textId="77777777" w:rsidR="001B7DC7" w:rsidRPr="009451D3" w:rsidRDefault="001B7DC7" w:rsidP="00AB46DF">
      <w:pPr>
        <w:pStyle w:val="ECCParagraph"/>
      </w:pPr>
    </w:p>
    <w:p w14:paraId="6FDA36A6" w14:textId="77777777" w:rsidR="00AB46DF" w:rsidRPr="009451D3" w:rsidRDefault="00AB46DF" w:rsidP="00AB46DF">
      <w:pPr>
        <w:spacing w:before="120" w:after="120"/>
        <w:jc w:val="both"/>
        <w:rPr>
          <w:szCs w:val="20"/>
          <w:lang w:val="en-GB"/>
        </w:rPr>
      </w:pPr>
    </w:p>
    <w:p w14:paraId="6C2FC5D7" w14:textId="0B6833B9" w:rsidR="00AB46DF" w:rsidRPr="009451D3" w:rsidRDefault="003C3EE4" w:rsidP="00AB46DF">
      <w:pPr>
        <w:pStyle w:val="ECCAnnexheading1"/>
      </w:pPr>
      <w:bookmarkStart w:id="16" w:name="_Toc56160830"/>
      <w:r w:rsidRPr="009451D3">
        <w:lastRenderedPageBreak/>
        <w:t>List of reference</w:t>
      </w:r>
      <w:r w:rsidR="009A1469" w:rsidRPr="009451D3">
        <w:t>s</w:t>
      </w:r>
      <w:bookmarkEnd w:id="16"/>
    </w:p>
    <w:p w14:paraId="3CF8AA2F" w14:textId="20435AA0" w:rsidR="00CF3708" w:rsidRPr="00736995" w:rsidRDefault="00CF3708" w:rsidP="00472365">
      <w:pPr>
        <w:pStyle w:val="reference"/>
        <w:numPr>
          <w:ilvl w:val="0"/>
          <w:numId w:val="6"/>
        </w:numPr>
        <w:rPr>
          <w:rFonts w:cs="Arial"/>
          <w:szCs w:val="20"/>
          <w:shd w:val="clear" w:color="auto" w:fill="FFFFFF"/>
          <w:lang w:val="en-GB"/>
        </w:rPr>
      </w:pPr>
      <w:r w:rsidRPr="00736995">
        <w:rPr>
          <w:rFonts w:cs="Arial"/>
          <w:szCs w:val="20"/>
          <w:shd w:val="clear" w:color="auto" w:fill="FFFFFF"/>
          <w:lang w:val="en-GB"/>
        </w:rPr>
        <w:t>Commission Implementing Decision (EU) 2019/1345 of 2 August 2019 amending Decision 2006/771/EC updating harmonised technical conditions in the area of radio spect</w:t>
      </w:r>
      <w:r w:rsidR="00736995" w:rsidRPr="00736995">
        <w:rPr>
          <w:rFonts w:cs="Arial"/>
          <w:szCs w:val="20"/>
          <w:shd w:val="clear" w:color="auto" w:fill="FFFFFF"/>
          <w:lang w:val="en-GB"/>
        </w:rPr>
        <w:t>rum use for short-range devices</w:t>
      </w:r>
    </w:p>
    <w:p w14:paraId="31169582" w14:textId="7D68B2B0" w:rsidR="00B033E3" w:rsidRPr="00AD2DB1" w:rsidRDefault="00266A05" w:rsidP="00B033E3">
      <w:pPr>
        <w:pStyle w:val="reference"/>
        <w:rPr>
          <w:lang w:val="en-GB"/>
        </w:rPr>
      </w:pPr>
      <w:bookmarkStart w:id="17" w:name="_Ref56440239"/>
      <w:r w:rsidRPr="009451D3">
        <w:rPr>
          <w:lang w:val="en-GB"/>
        </w:rPr>
        <w:t>ERC Recommendation 70-03</w:t>
      </w:r>
      <w:bookmarkEnd w:id="17"/>
      <w:r w:rsidR="00472365" w:rsidRPr="009451D3">
        <w:rPr>
          <w:lang w:val="en-GB"/>
        </w:rPr>
        <w:t xml:space="preserve"> relating to the use of Short-Range Devices (SRD)</w:t>
      </w:r>
      <w:r w:rsidR="003E7DB3">
        <w:rPr>
          <w:lang w:val="en-GB"/>
        </w:rPr>
        <w:t xml:space="preserve">, approved </w:t>
      </w:r>
      <w:r w:rsidR="003E7DB3" w:rsidRPr="00AD2DB1">
        <w:rPr>
          <w:lang w:val="en-GB"/>
        </w:rPr>
        <w:t>October 2020</w:t>
      </w:r>
    </w:p>
    <w:p w14:paraId="712229AD" w14:textId="5C10CE6C" w:rsidR="00AB46DF" w:rsidRPr="009451D3" w:rsidRDefault="00266A05" w:rsidP="00AB46DF">
      <w:pPr>
        <w:pStyle w:val="reference"/>
        <w:rPr>
          <w:lang w:val="en-GB"/>
        </w:rPr>
      </w:pPr>
      <w:bookmarkStart w:id="18" w:name="_Ref56440286"/>
      <w:bookmarkStart w:id="19" w:name="_Ref56441254"/>
      <w:r w:rsidRPr="009451D3">
        <w:rPr>
          <w:lang w:val="en-GB"/>
        </w:rPr>
        <w:t>CEPT Roadmap for 5G</w:t>
      </w:r>
      <w:bookmarkEnd w:id="18"/>
      <w:r w:rsidR="007A1B85" w:rsidRPr="009451D3">
        <w:rPr>
          <w:lang w:val="en-GB"/>
        </w:rPr>
        <w:t xml:space="preserve">, </w:t>
      </w:r>
      <w:hyperlink r:id="rId18" w:history="1">
        <w:r w:rsidR="007A1B85" w:rsidRPr="009451D3">
          <w:rPr>
            <w:rStyle w:val="Hyperlink"/>
            <w:lang w:val="en-GB"/>
          </w:rPr>
          <w:t>https://cept.org/ecc/topics/spectrum-for-wireless-broadband-5g</w:t>
        </w:r>
      </w:hyperlink>
      <w:bookmarkEnd w:id="19"/>
    </w:p>
    <w:p w14:paraId="6BAE39DB" w14:textId="513B158F" w:rsidR="00F346C3" w:rsidRPr="009451D3" w:rsidRDefault="008C7853" w:rsidP="008C7853">
      <w:pPr>
        <w:pStyle w:val="reference"/>
        <w:rPr>
          <w:lang w:val="en-GB"/>
        </w:rPr>
      </w:pPr>
      <w:bookmarkStart w:id="20" w:name="_Ref56440942"/>
      <w:r w:rsidRPr="009451D3">
        <w:rPr>
          <w:lang w:val="en-GB"/>
        </w:rPr>
        <w:t>RSCOM</w:t>
      </w:r>
      <w:r w:rsidR="00BA0000" w:rsidRPr="009451D3">
        <w:rPr>
          <w:lang w:val="en-GB"/>
        </w:rPr>
        <w:t>06-27</w:t>
      </w:r>
      <w:r w:rsidRPr="009451D3">
        <w:rPr>
          <w:lang w:val="en-GB"/>
        </w:rPr>
        <w:t>r</w:t>
      </w:r>
      <w:r w:rsidR="00BA0000" w:rsidRPr="009451D3">
        <w:rPr>
          <w:lang w:val="en-GB"/>
        </w:rPr>
        <w:t>ev</w:t>
      </w:r>
      <w:r w:rsidRPr="009451D3">
        <w:rPr>
          <w:lang w:val="en-GB"/>
        </w:rPr>
        <w:t>: “Permanent Mandate to CEPT regarding the annual update of the technical annex of the Commission Decision on the technical harmonization of radio spectrum for use by short-range devices”</w:t>
      </w:r>
      <w:r w:rsidR="00BA0000" w:rsidRPr="009451D3">
        <w:rPr>
          <w:lang w:val="en-GB"/>
        </w:rPr>
        <w:t xml:space="preserve"> (5 July 2006)</w:t>
      </w:r>
      <w:bookmarkEnd w:id="20"/>
    </w:p>
    <w:p w14:paraId="15EE8664" w14:textId="7098B8FE" w:rsidR="00F346C3" w:rsidRPr="009451D3" w:rsidRDefault="00BA0000" w:rsidP="008C7853">
      <w:pPr>
        <w:pStyle w:val="reference"/>
        <w:rPr>
          <w:lang w:val="en-GB"/>
        </w:rPr>
      </w:pPr>
      <w:bookmarkStart w:id="21" w:name="_Ref56440950"/>
      <w:r w:rsidRPr="009451D3">
        <w:rPr>
          <w:szCs w:val="20"/>
          <w:lang w:val="en-GB"/>
        </w:rPr>
        <w:t>RSCOM19-9rev2</w:t>
      </w:r>
      <w:bookmarkEnd w:id="21"/>
      <w:r w:rsidR="008C7853" w:rsidRPr="009451D3">
        <w:rPr>
          <w:szCs w:val="20"/>
          <w:lang w:val="en-GB"/>
        </w:rPr>
        <w:t xml:space="preserve">: “Guidance to CEPT on the eight </w:t>
      </w:r>
      <w:proofErr w:type="gramStart"/>
      <w:r w:rsidR="008C7853" w:rsidRPr="009451D3">
        <w:rPr>
          <w:szCs w:val="20"/>
          <w:lang w:val="en-GB"/>
        </w:rPr>
        <w:t>update</w:t>
      </w:r>
      <w:proofErr w:type="gramEnd"/>
      <w:r w:rsidR="008C7853" w:rsidRPr="009451D3">
        <w:rPr>
          <w:szCs w:val="20"/>
          <w:lang w:val="en-GB"/>
        </w:rPr>
        <w:t xml:space="preserve"> of Decision 2006/771/EC (SRD Decision)”</w:t>
      </w:r>
    </w:p>
    <w:p w14:paraId="3266DE7D" w14:textId="32CE615A" w:rsidR="00ED5C80" w:rsidRPr="009451D3" w:rsidRDefault="00ED5C80" w:rsidP="00AB46DF">
      <w:pPr>
        <w:pStyle w:val="reference"/>
        <w:rPr>
          <w:lang w:val="en-GB"/>
        </w:rPr>
      </w:pPr>
      <w:bookmarkStart w:id="22" w:name="_Ref56441170"/>
      <w:r w:rsidRPr="009451D3">
        <w:rPr>
          <w:szCs w:val="20"/>
          <w:lang w:val="en-GB"/>
        </w:rPr>
        <w:t>ECC Report 288</w:t>
      </w:r>
      <w:bookmarkEnd w:id="22"/>
      <w:r w:rsidR="00EF7C93" w:rsidRPr="009451D3">
        <w:rPr>
          <w:szCs w:val="20"/>
          <w:lang w:val="en-GB"/>
        </w:rPr>
        <w:t xml:space="preserve">: </w:t>
      </w:r>
      <w:r w:rsidR="00EF7C93" w:rsidRPr="009451D3">
        <w:rPr>
          <w:lang w:val="en-GB"/>
        </w:rPr>
        <w:t>“Conditions for the coexistence between Fixed Service and other envisaged outdoor uses/applications in the 57 66 GHz range”</w:t>
      </w:r>
      <w:r w:rsidR="00CF3708" w:rsidRPr="009451D3">
        <w:rPr>
          <w:lang w:val="en-GB"/>
        </w:rPr>
        <w:t>, approved January 2019</w:t>
      </w:r>
    </w:p>
    <w:p w14:paraId="6B3C4510" w14:textId="69F5F059" w:rsidR="00ED5C80" w:rsidRPr="009451D3" w:rsidRDefault="00ED5C80" w:rsidP="00AB46DF">
      <w:pPr>
        <w:pStyle w:val="reference"/>
        <w:rPr>
          <w:lang w:val="en-GB"/>
        </w:rPr>
      </w:pPr>
      <w:bookmarkStart w:id="23" w:name="_Ref56441177"/>
      <w:r w:rsidRPr="009451D3">
        <w:rPr>
          <w:szCs w:val="20"/>
          <w:lang w:val="en-GB"/>
        </w:rPr>
        <w:t>ECC Report 113</w:t>
      </w:r>
      <w:bookmarkEnd w:id="23"/>
      <w:r w:rsidR="00EF7C93" w:rsidRPr="009451D3">
        <w:rPr>
          <w:szCs w:val="20"/>
          <w:lang w:val="en-GB"/>
        </w:rPr>
        <w:t xml:space="preserve">: </w:t>
      </w:r>
      <w:r w:rsidR="00EF7C93" w:rsidRPr="009451D3">
        <w:rPr>
          <w:lang w:val="en-GB"/>
        </w:rPr>
        <w:t>“Compatibility studies around 63 GHz between Intelligent Transport Systems (ITS) and other systems”</w:t>
      </w:r>
      <w:r w:rsidR="00CF3708" w:rsidRPr="009451D3">
        <w:rPr>
          <w:lang w:val="en-GB"/>
        </w:rPr>
        <w:t>, approved May 2009</w:t>
      </w:r>
    </w:p>
    <w:p w14:paraId="14D86766" w14:textId="0B81A8D0" w:rsidR="00ED5C80" w:rsidRPr="009451D3" w:rsidRDefault="00ED5C80" w:rsidP="0097203B">
      <w:pPr>
        <w:pStyle w:val="reference"/>
        <w:rPr>
          <w:lang w:val="en-GB"/>
        </w:rPr>
      </w:pPr>
      <w:bookmarkStart w:id="24" w:name="_Ref56441185"/>
      <w:r w:rsidRPr="009451D3">
        <w:rPr>
          <w:szCs w:val="20"/>
          <w:lang w:val="en-GB"/>
        </w:rPr>
        <w:t>ECC Report 114</w:t>
      </w:r>
      <w:bookmarkEnd w:id="24"/>
      <w:r w:rsidR="008C7853" w:rsidRPr="009451D3">
        <w:rPr>
          <w:szCs w:val="20"/>
          <w:lang w:val="en-GB"/>
        </w:rPr>
        <w:t>: “</w:t>
      </w:r>
      <w:r w:rsidR="005061B8" w:rsidRPr="009451D3">
        <w:rPr>
          <w:szCs w:val="20"/>
          <w:lang w:val="en-GB"/>
        </w:rPr>
        <w:t>Compatibility studies between multiple GIGABIT wireless systems in frequency range 57-66 GHz and other services and systems (except its in 63-64 GHz)”</w:t>
      </w:r>
      <w:r w:rsidR="00CF3708" w:rsidRPr="009451D3">
        <w:rPr>
          <w:lang w:val="en-GB"/>
        </w:rPr>
        <w:t>, approved May 2009</w:t>
      </w:r>
    </w:p>
    <w:p w14:paraId="579F4BC3" w14:textId="10AE4A3E" w:rsidR="00ED5C80" w:rsidRPr="009451D3" w:rsidRDefault="00C513C8" w:rsidP="001C077A">
      <w:pPr>
        <w:pStyle w:val="reference"/>
        <w:rPr>
          <w:lang w:val="en-GB"/>
        </w:rPr>
      </w:pPr>
      <w:bookmarkStart w:id="25" w:name="_Ref56441390"/>
      <w:r w:rsidRPr="009451D3">
        <w:rPr>
          <w:lang w:val="en-GB"/>
        </w:rPr>
        <w:t>ETSI EN 302 567:</w:t>
      </w:r>
      <w:bookmarkEnd w:id="25"/>
      <w:r w:rsidR="008C7853" w:rsidRPr="009451D3">
        <w:rPr>
          <w:lang w:val="en-GB"/>
        </w:rPr>
        <w:t xml:space="preserve"> “</w:t>
      </w:r>
      <w:r w:rsidR="001C077A" w:rsidRPr="009451D3">
        <w:rPr>
          <w:lang w:val="en-GB"/>
        </w:rPr>
        <w:t>Multiple-Gigabit/s radio equipment operating in the 60 GHz band; Harmonised Standard covering the essential requirements of article 3.2 of Directive 2014/53/EU”</w:t>
      </w:r>
    </w:p>
    <w:p w14:paraId="4FBFDC28" w14:textId="74DD4EB9" w:rsidR="00C513C8" w:rsidRPr="009451D3" w:rsidRDefault="00C513C8" w:rsidP="001C077A">
      <w:pPr>
        <w:pStyle w:val="reference"/>
        <w:rPr>
          <w:lang w:val="en-GB"/>
        </w:rPr>
      </w:pPr>
      <w:bookmarkStart w:id="26" w:name="_Ref56441396"/>
      <w:r w:rsidRPr="009451D3">
        <w:rPr>
          <w:lang w:val="en-GB"/>
        </w:rPr>
        <w:t>ETSI EN 303 722:</w:t>
      </w:r>
      <w:bookmarkEnd w:id="26"/>
      <w:r w:rsidR="008C7853" w:rsidRPr="009451D3">
        <w:rPr>
          <w:lang w:val="en-GB"/>
        </w:rPr>
        <w:t xml:space="preserve"> “</w:t>
      </w:r>
      <w:r w:rsidR="001C077A" w:rsidRPr="009451D3">
        <w:rPr>
          <w:lang w:val="en-GB"/>
        </w:rPr>
        <w:t>Wideband Data Transmission Systems (WDTS) for Fixed Network Radio Equipment operating in the 57-71 GHz band; Harmonised Standard for access to radio spectrum”</w:t>
      </w:r>
    </w:p>
    <w:p w14:paraId="78E06D27" w14:textId="04A1F99E" w:rsidR="00C513C8" w:rsidRDefault="00C513C8" w:rsidP="00FE0EA9">
      <w:pPr>
        <w:pStyle w:val="reference"/>
        <w:rPr>
          <w:lang w:val="en-GB"/>
        </w:rPr>
      </w:pPr>
      <w:bookmarkStart w:id="27" w:name="_Ref56441402"/>
      <w:r w:rsidRPr="009451D3">
        <w:rPr>
          <w:lang w:val="en-GB"/>
        </w:rPr>
        <w:t>ETSI EN 303 753:</w:t>
      </w:r>
      <w:bookmarkEnd w:id="27"/>
      <w:r w:rsidR="008C7853" w:rsidRPr="009451D3">
        <w:rPr>
          <w:lang w:val="en-GB"/>
        </w:rPr>
        <w:t xml:space="preserve"> “</w:t>
      </w:r>
      <w:r w:rsidR="00FE0EA9" w:rsidRPr="009451D3">
        <w:rPr>
          <w:lang w:val="en-GB"/>
        </w:rPr>
        <w:t>Wideband Data Transmission Systems (WDTS) for Mobile and Fixed Radio Equipment operating in the 57-71 GHz band; Harmonised Standard for access to radio spectrum”</w:t>
      </w:r>
    </w:p>
    <w:p w14:paraId="46A5D2B9" w14:textId="77777777" w:rsidR="00AB46DF" w:rsidRPr="009451D3" w:rsidRDefault="00AB46DF" w:rsidP="00AB46DF">
      <w:pPr>
        <w:pStyle w:val="ECCParagraph"/>
      </w:pPr>
    </w:p>
    <w:sectPr w:rsidR="00AB46DF" w:rsidRPr="009451D3" w:rsidSect="00AB46DF">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B9F92F" w14:textId="77777777" w:rsidR="00FE1ABA" w:rsidRDefault="00FE1ABA" w:rsidP="00AB46DF">
      <w:r>
        <w:separator/>
      </w:r>
    </w:p>
  </w:endnote>
  <w:endnote w:type="continuationSeparator" w:id="0">
    <w:p w14:paraId="5D0B2906" w14:textId="77777777" w:rsidR="00FE1ABA" w:rsidRDefault="00FE1ABA" w:rsidP="00AB4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A84EFB" w14:textId="77777777" w:rsidR="00FE1ABA" w:rsidRDefault="00FE1ABA" w:rsidP="00AB46DF">
      <w:r>
        <w:separator/>
      </w:r>
    </w:p>
  </w:footnote>
  <w:footnote w:type="continuationSeparator" w:id="0">
    <w:p w14:paraId="6CD1277B" w14:textId="77777777" w:rsidR="00FE1ABA" w:rsidRDefault="00FE1ABA" w:rsidP="00AB46DF">
      <w:r>
        <w:continuationSeparator/>
      </w:r>
    </w:p>
  </w:footnote>
  <w:footnote w:id="1">
    <w:p w14:paraId="79A8DAFF" w14:textId="4A6BD4B5" w:rsidR="003E2F72" w:rsidRPr="00A0060C" w:rsidRDefault="003E2F72">
      <w:pPr>
        <w:pStyle w:val="FootnoteText"/>
        <w:rPr>
          <w:lang w:val="en-GB"/>
        </w:rPr>
      </w:pPr>
      <w:r>
        <w:rPr>
          <w:rStyle w:val="FootnoteReference"/>
        </w:rPr>
        <w:footnoteRef/>
      </w:r>
      <w:r>
        <w:t xml:space="preserve"> </w:t>
      </w:r>
      <w:r w:rsidR="00683603" w:rsidRPr="00B27AED">
        <w:rPr>
          <w:lang w:val="en-GB"/>
        </w:rPr>
        <w:t>Those include, but are not limited to, AR/VR, remote healthcare, self-driving vehicles, UHD/4K video (especially uplink direction), etc.</w:t>
      </w:r>
    </w:p>
  </w:footnote>
  <w:footnote w:id="2">
    <w:p w14:paraId="44E26CAB" w14:textId="77777777" w:rsidR="006464C4" w:rsidRPr="00DF47B9" w:rsidRDefault="006464C4" w:rsidP="0097785E">
      <w:pPr>
        <w:pStyle w:val="FootnoteText"/>
        <w:ind w:left="284" w:hanging="284"/>
        <w:rPr>
          <w:rFonts w:ascii="Times New Roman" w:hAnsi="Times New Roman"/>
        </w:rPr>
      </w:pPr>
      <w:r w:rsidRPr="00DF47B9">
        <w:rPr>
          <w:rStyle w:val="FootnoteReference"/>
          <w:rFonts w:ascii="Times New Roman" w:hAnsi="Times New Roman"/>
        </w:rPr>
        <w:footnoteRef/>
      </w:r>
      <w:r w:rsidRPr="00DF47B9">
        <w:rPr>
          <w:rFonts w:ascii="Times New Roman" w:hAnsi="Times New Roman"/>
        </w:rPr>
        <w:t xml:space="preserve"> In the ITU context of "International Mobile Telecommunications for 2020 (IMT2020)", s. ITU Recommendation: </w:t>
      </w:r>
      <w:hyperlink r:id="rId1" w:history="1">
        <w:r w:rsidRPr="00DF47B9">
          <w:rPr>
            <w:rStyle w:val="Hyperlink"/>
            <w:rFonts w:ascii="Times New Roman" w:hAnsi="Times New Roman"/>
          </w:rPr>
          <w:t>https://www.itu.int/dms_pubrec/itu-r/rec/m/R-REC-M.2083-0-201509-I!!PDF-E.pdf</w:t>
        </w:r>
      </w:hyperlink>
      <w:r w:rsidRPr="00DF47B9">
        <w:rPr>
          <w:rFonts w:ascii="Times New Roman" w:hAnsi="Times New Roman"/>
        </w:rPr>
        <w:t xml:space="preserve"> </w:t>
      </w:r>
    </w:p>
  </w:footnote>
  <w:footnote w:id="3">
    <w:p w14:paraId="3D6FBB0F" w14:textId="77777777" w:rsidR="006464C4" w:rsidRPr="00DF47B9" w:rsidRDefault="006464C4" w:rsidP="0097785E">
      <w:pPr>
        <w:pStyle w:val="FootnoteText"/>
        <w:rPr>
          <w:rFonts w:ascii="Times New Roman" w:hAnsi="Times New Roman"/>
        </w:rPr>
      </w:pPr>
      <w:r w:rsidRPr="00DF47B9">
        <w:rPr>
          <w:rStyle w:val="FootnoteReference"/>
          <w:rFonts w:ascii="Times New Roman" w:hAnsi="Times New Roman"/>
        </w:rPr>
        <w:footnoteRef/>
      </w:r>
      <w:r w:rsidRPr="00DF47B9">
        <w:rPr>
          <w:rFonts w:ascii="Times New Roman" w:hAnsi="Times New Roman"/>
        </w:rPr>
        <w:t xml:space="preserve"> See: </w:t>
      </w:r>
      <w:hyperlink r:id="rId2" w:history="1">
        <w:r w:rsidRPr="00DF47B9">
          <w:rPr>
            <w:rStyle w:val="Hyperlink"/>
            <w:rFonts w:ascii="Times New Roman" w:hAnsi="Times New Roman"/>
          </w:rPr>
          <w:t>https://ec.europa.eu/digital-single-market/en/5g-europe-action-plan</w:t>
        </w:r>
      </w:hyperlink>
      <w:r w:rsidRPr="00DF47B9">
        <w:rPr>
          <w:rFonts w:ascii="Times New Roman" w:hAnsi="Times New Roman"/>
        </w:rPr>
        <w:t xml:space="preserve"> </w:t>
      </w:r>
    </w:p>
  </w:footnote>
  <w:footnote w:id="4">
    <w:p w14:paraId="0267F2B7" w14:textId="77777777" w:rsidR="006464C4" w:rsidRPr="00621165" w:rsidRDefault="006464C4" w:rsidP="0097785E">
      <w:pPr>
        <w:pStyle w:val="FootnoteText"/>
      </w:pPr>
      <w:r w:rsidRPr="00DF47B9">
        <w:rPr>
          <w:rStyle w:val="FootnoteReference"/>
          <w:rFonts w:ascii="Times New Roman" w:hAnsi="Times New Roman"/>
        </w:rPr>
        <w:footnoteRef/>
      </w:r>
      <w:r w:rsidRPr="00DF47B9">
        <w:rPr>
          <w:rFonts w:ascii="Times New Roman" w:hAnsi="Times New Roman"/>
        </w:rPr>
        <w:t xml:space="preserve"> Documents RSPG16-032 final (9 November 2016) and RSPG18-005 final (30 January 2018)</w:t>
      </w:r>
    </w:p>
  </w:footnote>
  <w:footnote w:id="5">
    <w:p w14:paraId="68D6F5CC" w14:textId="77777777" w:rsidR="006464C4" w:rsidRPr="00E91326" w:rsidRDefault="006464C4" w:rsidP="006464C4">
      <w:pPr>
        <w:pStyle w:val="FootnoteText"/>
        <w:rPr>
          <w:rFonts w:ascii="Times New Roman" w:hAnsi="Times New Roman"/>
        </w:rPr>
      </w:pPr>
      <w:r w:rsidRPr="00E91326">
        <w:rPr>
          <w:rStyle w:val="FootnoteReference"/>
          <w:rFonts w:ascii="Times New Roman" w:hAnsi="Times New Roman"/>
        </w:rPr>
        <w:footnoteRef/>
      </w:r>
      <w:r w:rsidRPr="00E91326">
        <w:rPr>
          <w:rFonts w:ascii="Times New Roman" w:hAnsi="Times New Roman"/>
        </w:rPr>
        <w:t xml:space="preserve"> Commission Decision 2006/771/EC as last amended by Commission Decision (EU) 2019/1345.</w:t>
      </w:r>
    </w:p>
  </w:footnote>
  <w:footnote w:id="6">
    <w:p w14:paraId="19A09078" w14:textId="77777777" w:rsidR="006464C4" w:rsidRPr="003F5DCF" w:rsidRDefault="006464C4" w:rsidP="006464C4">
      <w:pPr>
        <w:pStyle w:val="FootnoteText"/>
        <w:spacing w:after="120"/>
        <w:ind w:left="240" w:hanging="240"/>
      </w:pPr>
      <w:r w:rsidRPr="00E91326">
        <w:rPr>
          <w:rStyle w:val="FootnoteReference"/>
          <w:rFonts w:ascii="Times New Roman" w:hAnsi="Times New Roman"/>
        </w:rPr>
        <w:footnoteRef/>
      </w:r>
      <w:r w:rsidRPr="00E91326">
        <w:rPr>
          <w:rFonts w:ascii="Times New Roman" w:hAnsi="Times New Roman"/>
        </w:rPr>
        <w:t xml:space="preserve"> Decision 676/2002/EC of the European Parliament and of the Council of 7 March 2002 on a regulatory framework for radio spectrum policy in the European Community, OJ L 108 of 24.4.2002</w:t>
      </w:r>
    </w:p>
  </w:footnote>
  <w:footnote w:id="7">
    <w:p w14:paraId="3FD311A7" w14:textId="77777777" w:rsidR="006464C4" w:rsidRPr="00DF47B9" w:rsidRDefault="006464C4" w:rsidP="006464C4">
      <w:pPr>
        <w:pStyle w:val="FootnoteText"/>
        <w:rPr>
          <w:rFonts w:ascii="Times New Roman" w:hAnsi="Times New Roman"/>
          <w:lang w:val="es-CO"/>
        </w:rPr>
      </w:pPr>
      <w:r w:rsidRPr="00DF47B9">
        <w:rPr>
          <w:rStyle w:val="FootnoteReference"/>
          <w:rFonts w:ascii="Times New Roman" w:hAnsi="Times New Roman"/>
        </w:rPr>
        <w:footnoteRef/>
      </w:r>
      <w:r w:rsidRPr="00DF47B9">
        <w:rPr>
          <w:rFonts w:ascii="Times New Roman" w:hAnsi="Times New Roman"/>
          <w:lang w:val="es-CO"/>
        </w:rPr>
        <w:t xml:space="preserve"> </w:t>
      </w:r>
      <w:r w:rsidRPr="00DF47B9">
        <w:rPr>
          <w:rFonts w:ascii="Times New Roman" w:hAnsi="Times New Roman"/>
          <w:lang w:val="es-CO"/>
        </w:rPr>
        <w:t>COM(2016)587 final</w:t>
      </w:r>
    </w:p>
  </w:footnote>
  <w:footnote w:id="8">
    <w:p w14:paraId="1F590724" w14:textId="77777777" w:rsidR="006464C4" w:rsidRPr="00DF47B9" w:rsidRDefault="006464C4" w:rsidP="006464C4">
      <w:pPr>
        <w:pStyle w:val="FootnoteText"/>
        <w:rPr>
          <w:rFonts w:ascii="Times New Roman" w:hAnsi="Times New Roman"/>
          <w:lang w:val="es-CO"/>
        </w:rPr>
      </w:pPr>
      <w:r w:rsidRPr="00DF47B9">
        <w:rPr>
          <w:rStyle w:val="FootnoteReference"/>
          <w:rFonts w:ascii="Times New Roman" w:hAnsi="Times New Roman"/>
        </w:rPr>
        <w:footnoteRef/>
      </w:r>
      <w:r w:rsidRPr="00DF47B9">
        <w:rPr>
          <w:rFonts w:ascii="Times New Roman" w:hAnsi="Times New Roman"/>
          <w:lang w:val="es-CO"/>
        </w:rPr>
        <w:t xml:space="preserve"> Directive (EU) 2018/1972.</w:t>
      </w:r>
    </w:p>
  </w:footnote>
  <w:footnote w:id="9">
    <w:p w14:paraId="3573B0E4" w14:textId="77777777" w:rsidR="006464C4" w:rsidRPr="00DF47B9" w:rsidRDefault="006464C4" w:rsidP="006464C4">
      <w:pPr>
        <w:pStyle w:val="FootnoteText"/>
        <w:rPr>
          <w:rFonts w:ascii="Times New Roman" w:hAnsi="Times New Roman"/>
          <w:lang w:val="es-CO"/>
        </w:rPr>
      </w:pPr>
      <w:r w:rsidRPr="00DF47B9">
        <w:rPr>
          <w:rStyle w:val="FootnoteReference"/>
          <w:rFonts w:ascii="Times New Roman" w:hAnsi="Times New Roman"/>
        </w:rPr>
        <w:footnoteRef/>
      </w:r>
      <w:r w:rsidRPr="00DF47B9">
        <w:rPr>
          <w:rFonts w:ascii="Times New Roman" w:hAnsi="Times New Roman"/>
          <w:lang w:val="es-CO"/>
        </w:rPr>
        <w:t xml:space="preserve"> Directive 2014/53/EU.</w:t>
      </w:r>
    </w:p>
  </w:footnote>
  <w:footnote w:id="10">
    <w:p w14:paraId="3255F93D" w14:textId="77777777" w:rsidR="006464C4" w:rsidRDefault="006464C4" w:rsidP="006464C4">
      <w:pPr>
        <w:pStyle w:val="FootnoteText"/>
        <w:spacing w:after="120"/>
      </w:pPr>
      <w:r w:rsidRPr="00DF47B9">
        <w:rPr>
          <w:rStyle w:val="FootnoteReference"/>
          <w:rFonts w:ascii="Times New Roman" w:hAnsi="Times New Roman"/>
        </w:rPr>
        <w:footnoteRef/>
      </w:r>
      <w:r w:rsidRPr="00DF47B9">
        <w:rPr>
          <w:rFonts w:ascii="Times New Roman" w:hAnsi="Times New Roman"/>
        </w:rPr>
        <w:t xml:space="preserve"> Such as the definition of appropriate Block Edge Masks (BEMs).</w:t>
      </w:r>
    </w:p>
  </w:footnote>
  <w:footnote w:id="11">
    <w:p w14:paraId="27476DE8" w14:textId="77777777" w:rsidR="006464C4" w:rsidRPr="007966EF" w:rsidRDefault="006464C4" w:rsidP="006464C4">
      <w:pPr>
        <w:pStyle w:val="FootnoteText"/>
        <w:rPr>
          <w:rFonts w:ascii="Times New Roman" w:hAnsi="Times New Roman"/>
        </w:rPr>
      </w:pPr>
      <w:r w:rsidRPr="00E91326">
        <w:rPr>
          <w:rStyle w:val="FootnoteReference"/>
          <w:rFonts w:ascii="Times New Roman" w:hAnsi="Times New Roman"/>
        </w:rPr>
        <w:footnoteRef/>
      </w:r>
      <w:r w:rsidRPr="00E91326">
        <w:rPr>
          <w:rFonts w:ascii="Times New Roman" w:hAnsi="Times New Roman"/>
        </w:rPr>
        <w:t xml:space="preserve"> </w:t>
      </w:r>
      <w:r w:rsidRPr="00DF47B9">
        <w:rPr>
          <w:rFonts w:ascii="Times New Roman" w:hAnsi="Times New Roman"/>
        </w:rPr>
        <w:t>Document RSCOM 06-27 Rev (5 July 2006)</w:t>
      </w:r>
    </w:p>
  </w:footnote>
  <w:footnote w:id="12">
    <w:p w14:paraId="7A502176" w14:textId="77777777" w:rsidR="006464C4" w:rsidRPr="00DF47B9" w:rsidRDefault="006464C4" w:rsidP="006464C4">
      <w:pPr>
        <w:pStyle w:val="FootnoteText"/>
        <w:rPr>
          <w:rFonts w:ascii="Times New Roman" w:hAnsi="Times New Roman"/>
        </w:rPr>
      </w:pPr>
      <w:r w:rsidRPr="00DF47B9">
        <w:rPr>
          <w:rStyle w:val="FootnoteReference"/>
          <w:rFonts w:ascii="Times New Roman" w:hAnsi="Times New Roman"/>
        </w:rPr>
        <w:footnoteRef/>
      </w:r>
      <w:r w:rsidRPr="00DF47B9">
        <w:rPr>
          <w:rFonts w:ascii="Times New Roman" w:hAnsi="Times New Roman"/>
        </w:rPr>
        <w:t xml:space="preserve"> Document RSCOM19-9rev2</w:t>
      </w:r>
    </w:p>
  </w:footnote>
  <w:footnote w:id="13">
    <w:p w14:paraId="6F20B74E" w14:textId="77777777" w:rsidR="006464C4" w:rsidRDefault="006464C4" w:rsidP="006464C4">
      <w:pPr>
        <w:pStyle w:val="FootnoteText"/>
        <w:spacing w:after="120"/>
      </w:pPr>
      <w:r w:rsidRPr="00DF47B9">
        <w:rPr>
          <w:rStyle w:val="FootnoteReference"/>
          <w:rFonts w:ascii="Times New Roman" w:hAnsi="Times New Roman"/>
        </w:rPr>
        <w:footnoteRef/>
      </w:r>
      <w:r w:rsidRPr="00DF47B9">
        <w:rPr>
          <w:rFonts w:ascii="Times New Roman" w:hAnsi="Times New Roman"/>
        </w:rPr>
        <w:t xml:space="preserve"> Subject to subsequent public consultation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82F249" w14:textId="3F9B1435" w:rsidR="00216BE1" w:rsidRPr="007C5F95" w:rsidRDefault="00216BE1">
    <w:pPr>
      <w:pStyle w:val="Header"/>
      <w:rPr>
        <w:b w:val="0"/>
        <w:lang w:val="da-DK"/>
      </w:rPr>
    </w:pPr>
    <w:r w:rsidRPr="007C5F95">
      <w:rPr>
        <w:b w:val="0"/>
        <w:lang w:val="da-DK"/>
      </w:rPr>
      <w:t>Draft ECC REPORT XXX</w:t>
    </w:r>
  </w:p>
  <w:p w14:paraId="3B95D926" w14:textId="77777777" w:rsidR="00216BE1" w:rsidRPr="007C5F95" w:rsidRDefault="00216BE1">
    <w:pPr>
      <w:pStyle w:val="Header"/>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2</w:t>
    </w:r>
    <w:r>
      <w:rPr>
        <w:noProof/>
        <w:szCs w:val="16"/>
        <w:lang w:val="da-DK"/>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3DED2B" w14:textId="3B630607" w:rsidR="00216BE1" w:rsidRPr="007C5F95" w:rsidRDefault="00216BE1" w:rsidP="00AB46DF">
    <w:pPr>
      <w:pStyle w:val="Header"/>
      <w:jc w:val="right"/>
      <w:rPr>
        <w:b w:val="0"/>
        <w:lang w:val="da-DK"/>
      </w:rPr>
    </w:pPr>
    <w:r w:rsidRPr="007C5F95">
      <w:rPr>
        <w:b w:val="0"/>
        <w:lang w:val="da-DK"/>
      </w:rPr>
      <w:t>Draft ECC REPORT XXX</w:t>
    </w:r>
  </w:p>
  <w:p w14:paraId="1CC048E4" w14:textId="77777777" w:rsidR="00216BE1" w:rsidRPr="007C5F95" w:rsidRDefault="00216BE1" w:rsidP="00AB46DF">
    <w:pPr>
      <w:pStyle w:val="Header"/>
      <w:jc w:val="right"/>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3</w:t>
    </w:r>
    <w:r>
      <w:rPr>
        <w:noProof/>
        <w:szCs w:val="16"/>
        <w:lang w:val="da-DK"/>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E06AC3" w14:textId="6527B6C2" w:rsidR="00216BE1" w:rsidRDefault="00216BE1">
    <w:pPr>
      <w:pStyle w:val="Header"/>
    </w:pPr>
    <w:r>
      <w:rPr>
        <w:noProof/>
        <w:szCs w:val="20"/>
        <w:lang w:val="fr-FR" w:eastAsia="fr-FR"/>
      </w:rPr>
      <w:drawing>
        <wp:anchor distT="0" distB="0" distL="114300" distR="114300" simplePos="0" relativeHeight="251655168" behindDoc="0" locked="0" layoutInCell="1" allowOverlap="1" wp14:anchorId="48980B9A" wp14:editId="6622CF87">
          <wp:simplePos x="0" y="0"/>
          <wp:positionH relativeFrom="page">
            <wp:posOffset>5717540</wp:posOffset>
          </wp:positionH>
          <wp:positionV relativeFrom="page">
            <wp:posOffset>648335</wp:posOffset>
          </wp:positionV>
          <wp:extent cx="1461770" cy="546100"/>
          <wp:effectExtent l="25400" t="0" r="11430" b="0"/>
          <wp:wrapNone/>
          <wp:docPr id="2"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Pr>
        <w:noProof/>
        <w:szCs w:val="20"/>
        <w:lang w:val="fr-FR" w:eastAsia="fr-FR"/>
      </w:rPr>
      <w:drawing>
        <wp:anchor distT="0" distB="0" distL="114300" distR="114300" simplePos="0" relativeHeight="251654144" behindDoc="0" locked="0" layoutInCell="1" allowOverlap="1" wp14:anchorId="40F9CBC9" wp14:editId="608057B1">
          <wp:simplePos x="0" y="0"/>
          <wp:positionH relativeFrom="page">
            <wp:posOffset>572770</wp:posOffset>
          </wp:positionH>
          <wp:positionV relativeFrom="page">
            <wp:posOffset>457200</wp:posOffset>
          </wp:positionV>
          <wp:extent cx="889000" cy="889000"/>
          <wp:effectExtent l="25400" t="0" r="0" b="0"/>
          <wp:wrapNone/>
          <wp:docPr id="1"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CD31AE" w14:textId="346011F3" w:rsidR="00216BE1" w:rsidRPr="007C5F95" w:rsidRDefault="00216BE1">
    <w:pPr>
      <w:pStyle w:val="Header"/>
      <w:rPr>
        <w:szCs w:val="16"/>
        <w:lang w:val="da-DK"/>
      </w:rPr>
    </w:pPr>
    <w:r>
      <w:rPr>
        <w:lang w:val="da-DK"/>
      </w:rPr>
      <w:t xml:space="preserve">CEPT REPORT </w:t>
    </w:r>
    <w:r w:rsidR="00731998">
      <w:rPr>
        <w:lang w:val="da-DK"/>
      </w:rPr>
      <w:t>78</w:t>
    </w:r>
    <w:r>
      <w:rPr>
        <w:lang w:val="da-DK"/>
      </w:rPr>
      <w:t xml:space="preserve"> -</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008D1518" w:rsidRPr="008D1518">
      <w:rPr>
        <w:noProof/>
        <w:szCs w:val="16"/>
        <w:lang w:val="da-DK"/>
      </w:rPr>
      <w:t>2</w:t>
    </w:r>
    <w:r>
      <w:rPr>
        <w:noProof/>
        <w:szCs w:val="16"/>
        <w:lang w:val="da-DK"/>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98C537" w14:textId="649D5E88" w:rsidR="00216BE1" w:rsidRPr="007C5F95" w:rsidRDefault="00216BE1" w:rsidP="00AB46DF">
    <w:pPr>
      <w:pStyle w:val="Header"/>
      <w:jc w:val="right"/>
      <w:rPr>
        <w:szCs w:val="16"/>
        <w:lang w:val="da-DK"/>
      </w:rPr>
    </w:pPr>
    <w:r>
      <w:rPr>
        <w:lang w:val="da-DK"/>
      </w:rPr>
      <w:t xml:space="preserve">CEPT REPORT </w:t>
    </w:r>
    <w:r w:rsidR="00731998">
      <w:rPr>
        <w:lang w:val="da-DK"/>
      </w:rPr>
      <w:t>78</w:t>
    </w:r>
    <w:r>
      <w:rPr>
        <w:lang w:val="da-DK"/>
      </w:rPr>
      <w:t xml:space="preserve"> -</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008D1518" w:rsidRPr="008D1518">
      <w:rPr>
        <w:noProof/>
        <w:szCs w:val="16"/>
        <w:lang w:val="da-DK"/>
      </w:rPr>
      <w:t>3</w:t>
    </w:r>
    <w:r>
      <w:rPr>
        <w:noProof/>
        <w:szCs w:val="16"/>
        <w:lang w:val="da-DK"/>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2B9C74" w14:textId="60EB0D0A" w:rsidR="00216BE1" w:rsidRPr="001223D0" w:rsidRDefault="00216BE1" w:rsidP="00AB46DF">
    <w:pPr>
      <w:pStyle w:val="Header"/>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BD08F8"/>
    <w:multiLevelType w:val="multilevel"/>
    <w:tmpl w:val="FCEC7FBC"/>
    <w:styleLink w:val="ECCBullets"/>
    <w:lvl w:ilvl="0">
      <w:start w:val="1"/>
      <w:numFmt w:val="bullet"/>
      <w:lvlText w:val=""/>
      <w:lvlJc w:val="left"/>
      <w:pPr>
        <w:tabs>
          <w:tab w:val="num" w:pos="340"/>
        </w:tabs>
        <w:ind w:left="340" w:hanging="340"/>
      </w:pPr>
      <w:rPr>
        <w:rFonts w:ascii="Wingdings" w:hAnsi="Wingdings" w:hint="default"/>
        <w:color w:val="D2232A"/>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bullet"/>
      <w:lvlText w:val=""/>
      <w:lvlJc w:val="left"/>
      <w:pPr>
        <w:tabs>
          <w:tab w:val="num" w:pos="1361"/>
        </w:tabs>
        <w:ind w:left="1361" w:hanging="340"/>
      </w:pPr>
      <w:rPr>
        <w:rFonts w:ascii="Wingdings" w:hAnsi="Wingdings" w:hint="default"/>
        <w:color w:val="D2232A"/>
      </w:rPr>
    </w:lvl>
    <w:lvl w:ilvl="4">
      <w:start w:val="1"/>
      <w:numFmt w:val="bullet"/>
      <w:lvlText w:val="o"/>
      <w:lvlJc w:val="left"/>
      <w:pPr>
        <w:tabs>
          <w:tab w:val="num" w:pos="2579"/>
        </w:tabs>
        <w:ind w:left="2579" w:hanging="360"/>
      </w:pPr>
      <w:rPr>
        <w:rFonts w:ascii="Courier New" w:hAnsi="Courier New" w:hint="default"/>
      </w:rPr>
    </w:lvl>
    <w:lvl w:ilvl="5">
      <w:start w:val="1"/>
      <w:numFmt w:val="bullet"/>
      <w:lvlText w:val=""/>
      <w:lvlJc w:val="left"/>
      <w:pPr>
        <w:tabs>
          <w:tab w:val="num" w:pos="3299"/>
        </w:tabs>
        <w:ind w:left="3299" w:hanging="360"/>
      </w:pPr>
      <w:rPr>
        <w:rFonts w:ascii="Wingdings" w:hAnsi="Wingdings" w:hint="default"/>
      </w:rPr>
    </w:lvl>
    <w:lvl w:ilvl="6">
      <w:start w:val="1"/>
      <w:numFmt w:val="bullet"/>
      <w:lvlText w:val=""/>
      <w:lvlJc w:val="left"/>
      <w:pPr>
        <w:tabs>
          <w:tab w:val="num" w:pos="4019"/>
        </w:tabs>
        <w:ind w:left="4019" w:hanging="360"/>
      </w:pPr>
      <w:rPr>
        <w:rFonts w:ascii="Symbol" w:hAnsi="Symbol" w:hint="default"/>
      </w:rPr>
    </w:lvl>
    <w:lvl w:ilvl="7">
      <w:start w:val="1"/>
      <w:numFmt w:val="bullet"/>
      <w:lvlText w:val="o"/>
      <w:lvlJc w:val="left"/>
      <w:pPr>
        <w:tabs>
          <w:tab w:val="num" w:pos="4739"/>
        </w:tabs>
        <w:ind w:left="4739" w:hanging="360"/>
      </w:pPr>
      <w:rPr>
        <w:rFonts w:ascii="Courier New" w:hAnsi="Courier New" w:hint="default"/>
      </w:rPr>
    </w:lvl>
    <w:lvl w:ilvl="8">
      <w:start w:val="1"/>
      <w:numFmt w:val="bullet"/>
      <w:lvlText w:val=""/>
      <w:lvlJc w:val="left"/>
      <w:pPr>
        <w:tabs>
          <w:tab w:val="num" w:pos="5459"/>
        </w:tabs>
        <w:ind w:left="5459" w:hanging="360"/>
      </w:pPr>
      <w:rPr>
        <w:rFonts w:ascii="Wingdings" w:hAnsi="Wingdings" w:hint="default"/>
      </w:rPr>
    </w:lvl>
  </w:abstractNum>
  <w:abstractNum w:abstractNumId="1" w15:restartNumberingAfterBreak="0">
    <w:nsid w:val="212F4188"/>
    <w:multiLevelType w:val="multilevel"/>
    <w:tmpl w:val="BF1AD4A4"/>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272440E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3" w15:restartNumberingAfterBreak="0">
    <w:nsid w:val="3D163F7A"/>
    <w:multiLevelType w:val="multilevel"/>
    <w:tmpl w:val="02CEEBD6"/>
    <w:lvl w:ilvl="0">
      <w:numFmt w:val="decimal"/>
      <w:pStyle w:val="Heading1"/>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3D256B7D"/>
    <w:multiLevelType w:val="multilevel"/>
    <w:tmpl w:val="73A2B310"/>
    <w:styleLink w:val="ECCNumbers-Bullets"/>
    <w:lvl w:ilvl="0">
      <w:start w:val="1"/>
      <w:numFmt w:val="decimal"/>
      <w:pStyle w:val="ECCNumberedBullets"/>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5"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6E6242A"/>
    <w:multiLevelType w:val="hybridMultilevel"/>
    <w:tmpl w:val="85E63E8E"/>
    <w:lvl w:ilvl="0" w:tplc="5D1C976A">
      <w:start w:val="1"/>
      <w:numFmt w:val="decimal"/>
      <w:pStyle w:val="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4A432656"/>
    <w:multiLevelType w:val="multilevel"/>
    <w:tmpl w:val="D0ECA698"/>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080"/>
        </w:tabs>
        <w:ind w:left="1080" w:hanging="600"/>
      </w:pPr>
      <w:rPr>
        <w:rFonts w:hint="default"/>
      </w:rPr>
    </w:lvl>
    <w:lvl w:ilvl="2">
      <w:start w:val="1"/>
      <w:numFmt w:val="decimal"/>
      <w:lvlText w:val="%1.%2.%3."/>
      <w:lvlJc w:val="left"/>
      <w:pPr>
        <w:tabs>
          <w:tab w:val="num" w:pos="1920"/>
        </w:tabs>
        <w:ind w:left="1920" w:hanging="840"/>
      </w:pPr>
      <w:rPr>
        <w:rFonts w:hint="default"/>
      </w:rPr>
    </w:lvl>
    <w:lvl w:ilvl="3">
      <w:start w:val="1"/>
      <w:numFmt w:val="decimal"/>
      <w:lvlText w:val="%1.%2.%3.%4."/>
      <w:lvlJc w:val="left"/>
      <w:pPr>
        <w:tabs>
          <w:tab w:val="num" w:pos="2880"/>
        </w:tabs>
        <w:ind w:left="2880" w:hanging="9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5AFB208E"/>
    <w:multiLevelType w:val="hybridMultilevel"/>
    <w:tmpl w:val="AE102640"/>
    <w:lvl w:ilvl="0" w:tplc="0809000F">
      <w:start w:val="1"/>
      <w:numFmt w:val="decimal"/>
      <w:lvlText w:val="%1."/>
      <w:lvlJc w:val="left"/>
      <w:pPr>
        <w:ind w:left="779" w:hanging="360"/>
      </w:pPr>
    </w:lvl>
    <w:lvl w:ilvl="1" w:tplc="08090019" w:tentative="1">
      <w:start w:val="1"/>
      <w:numFmt w:val="lowerLetter"/>
      <w:lvlText w:val="%2."/>
      <w:lvlJc w:val="left"/>
      <w:pPr>
        <w:ind w:left="1499" w:hanging="360"/>
      </w:pPr>
    </w:lvl>
    <w:lvl w:ilvl="2" w:tplc="0809001B" w:tentative="1">
      <w:start w:val="1"/>
      <w:numFmt w:val="lowerRoman"/>
      <w:lvlText w:val="%3."/>
      <w:lvlJc w:val="right"/>
      <w:pPr>
        <w:ind w:left="2219" w:hanging="180"/>
      </w:pPr>
    </w:lvl>
    <w:lvl w:ilvl="3" w:tplc="0809000F" w:tentative="1">
      <w:start w:val="1"/>
      <w:numFmt w:val="decimal"/>
      <w:lvlText w:val="%4."/>
      <w:lvlJc w:val="left"/>
      <w:pPr>
        <w:ind w:left="2939" w:hanging="360"/>
      </w:pPr>
    </w:lvl>
    <w:lvl w:ilvl="4" w:tplc="08090019" w:tentative="1">
      <w:start w:val="1"/>
      <w:numFmt w:val="lowerLetter"/>
      <w:lvlText w:val="%5."/>
      <w:lvlJc w:val="left"/>
      <w:pPr>
        <w:ind w:left="3659" w:hanging="360"/>
      </w:pPr>
    </w:lvl>
    <w:lvl w:ilvl="5" w:tplc="0809001B" w:tentative="1">
      <w:start w:val="1"/>
      <w:numFmt w:val="lowerRoman"/>
      <w:lvlText w:val="%6."/>
      <w:lvlJc w:val="right"/>
      <w:pPr>
        <w:ind w:left="4379" w:hanging="180"/>
      </w:pPr>
    </w:lvl>
    <w:lvl w:ilvl="6" w:tplc="0809000F" w:tentative="1">
      <w:start w:val="1"/>
      <w:numFmt w:val="decimal"/>
      <w:lvlText w:val="%7."/>
      <w:lvlJc w:val="left"/>
      <w:pPr>
        <w:ind w:left="5099" w:hanging="360"/>
      </w:pPr>
    </w:lvl>
    <w:lvl w:ilvl="7" w:tplc="08090019" w:tentative="1">
      <w:start w:val="1"/>
      <w:numFmt w:val="lowerLetter"/>
      <w:lvlText w:val="%8."/>
      <w:lvlJc w:val="left"/>
      <w:pPr>
        <w:ind w:left="5819" w:hanging="360"/>
      </w:pPr>
    </w:lvl>
    <w:lvl w:ilvl="8" w:tplc="0809001B" w:tentative="1">
      <w:start w:val="1"/>
      <w:numFmt w:val="lowerRoman"/>
      <w:lvlText w:val="%9."/>
      <w:lvlJc w:val="right"/>
      <w:pPr>
        <w:ind w:left="6539" w:hanging="180"/>
      </w:pPr>
    </w:lvl>
  </w:abstractNum>
  <w:abstractNum w:abstractNumId="10" w15:restartNumberingAfterBreak="0">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3"/>
  </w:num>
  <w:num w:numId="2">
    <w:abstractNumId w:val="10"/>
  </w:num>
  <w:num w:numId="3">
    <w:abstractNumId w:val="7"/>
  </w:num>
  <w:num w:numId="4">
    <w:abstractNumId w:val="1"/>
  </w:num>
  <w:num w:numId="5">
    <w:abstractNumId w:val="6"/>
  </w:num>
  <w:num w:numId="6">
    <w:abstractNumId w:val="6"/>
    <w:lvlOverride w:ilvl="0">
      <w:startOverride w:val="1"/>
    </w:lvlOverride>
  </w:num>
  <w:num w:numId="7">
    <w:abstractNumId w:val="0"/>
  </w:num>
  <w:num w:numId="8">
    <w:abstractNumId w:val="4"/>
  </w:num>
  <w:num w:numId="9">
    <w:abstractNumId w:val="2"/>
  </w:num>
  <w:num w:numId="10">
    <w:abstractNumId w:val="5"/>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6145">
      <o:colormru v:ext="edit" colors="#7b6c58,#887e6e,#b0a696,#82828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BEF"/>
    <w:rsid w:val="00000D1A"/>
    <w:rsid w:val="000024D2"/>
    <w:rsid w:val="00011B48"/>
    <w:rsid w:val="00013B01"/>
    <w:rsid w:val="00022A2F"/>
    <w:rsid w:val="0003584B"/>
    <w:rsid w:val="00040059"/>
    <w:rsid w:val="000500C9"/>
    <w:rsid w:val="00055EF9"/>
    <w:rsid w:val="00056956"/>
    <w:rsid w:val="00061447"/>
    <w:rsid w:val="00080AF2"/>
    <w:rsid w:val="00086184"/>
    <w:rsid w:val="00090FBB"/>
    <w:rsid w:val="00091E14"/>
    <w:rsid w:val="0009428A"/>
    <w:rsid w:val="00094A4B"/>
    <w:rsid w:val="000A2B1F"/>
    <w:rsid w:val="000B5001"/>
    <w:rsid w:val="000B6101"/>
    <w:rsid w:val="000C30BC"/>
    <w:rsid w:val="000D2651"/>
    <w:rsid w:val="000D681E"/>
    <w:rsid w:val="0010312B"/>
    <w:rsid w:val="0010471E"/>
    <w:rsid w:val="00120E6E"/>
    <w:rsid w:val="00126769"/>
    <w:rsid w:val="00130E03"/>
    <w:rsid w:val="00136A3B"/>
    <w:rsid w:val="001402CE"/>
    <w:rsid w:val="00142034"/>
    <w:rsid w:val="00146B18"/>
    <w:rsid w:val="00152BE7"/>
    <w:rsid w:val="00166969"/>
    <w:rsid w:val="00166E5F"/>
    <w:rsid w:val="00184E49"/>
    <w:rsid w:val="0018601C"/>
    <w:rsid w:val="001969BC"/>
    <w:rsid w:val="001A65C6"/>
    <w:rsid w:val="001A7F3B"/>
    <w:rsid w:val="001B773E"/>
    <w:rsid w:val="001B7DC7"/>
    <w:rsid w:val="001C077A"/>
    <w:rsid w:val="001D726D"/>
    <w:rsid w:val="001E2642"/>
    <w:rsid w:val="001E3D4E"/>
    <w:rsid w:val="001F0A93"/>
    <w:rsid w:val="001F375A"/>
    <w:rsid w:val="001F3868"/>
    <w:rsid w:val="00205176"/>
    <w:rsid w:val="0021417D"/>
    <w:rsid w:val="00216BE1"/>
    <w:rsid w:val="002209A7"/>
    <w:rsid w:val="00221E79"/>
    <w:rsid w:val="00222C7B"/>
    <w:rsid w:val="00225914"/>
    <w:rsid w:val="00226226"/>
    <w:rsid w:val="00227035"/>
    <w:rsid w:val="00227353"/>
    <w:rsid w:val="00230A9E"/>
    <w:rsid w:val="00247125"/>
    <w:rsid w:val="002536D9"/>
    <w:rsid w:val="00255D53"/>
    <w:rsid w:val="00266A05"/>
    <w:rsid w:val="00273FFF"/>
    <w:rsid w:val="00283A86"/>
    <w:rsid w:val="002855CE"/>
    <w:rsid w:val="002876A3"/>
    <w:rsid w:val="00297DED"/>
    <w:rsid w:val="002A207A"/>
    <w:rsid w:val="002A53E0"/>
    <w:rsid w:val="002C3E5E"/>
    <w:rsid w:val="002E5F9D"/>
    <w:rsid w:val="00303351"/>
    <w:rsid w:val="00303F06"/>
    <w:rsid w:val="00307835"/>
    <w:rsid w:val="00330854"/>
    <w:rsid w:val="00340FE5"/>
    <w:rsid w:val="00350E8A"/>
    <w:rsid w:val="00355360"/>
    <w:rsid w:val="003609CB"/>
    <w:rsid w:val="0036520A"/>
    <w:rsid w:val="00376130"/>
    <w:rsid w:val="003833A4"/>
    <w:rsid w:val="0038519A"/>
    <w:rsid w:val="003A0BBD"/>
    <w:rsid w:val="003C3644"/>
    <w:rsid w:val="003C3EE4"/>
    <w:rsid w:val="003D0F81"/>
    <w:rsid w:val="003D36C5"/>
    <w:rsid w:val="003E123B"/>
    <w:rsid w:val="003E2F72"/>
    <w:rsid w:val="003E7DB3"/>
    <w:rsid w:val="004065EE"/>
    <w:rsid w:val="00415D20"/>
    <w:rsid w:val="00422282"/>
    <w:rsid w:val="00435008"/>
    <w:rsid w:val="00444F37"/>
    <w:rsid w:val="004455E4"/>
    <w:rsid w:val="00445E6E"/>
    <w:rsid w:val="00447E8D"/>
    <w:rsid w:val="00451C4C"/>
    <w:rsid w:val="00454FC5"/>
    <w:rsid w:val="00462C74"/>
    <w:rsid w:val="00465FE4"/>
    <w:rsid w:val="0046658E"/>
    <w:rsid w:val="0046701E"/>
    <w:rsid w:val="00472365"/>
    <w:rsid w:val="004856F5"/>
    <w:rsid w:val="00486533"/>
    <w:rsid w:val="00495551"/>
    <w:rsid w:val="004A1747"/>
    <w:rsid w:val="004B26C0"/>
    <w:rsid w:val="004D24B8"/>
    <w:rsid w:val="004E11F8"/>
    <w:rsid w:val="004E604C"/>
    <w:rsid w:val="004F4A43"/>
    <w:rsid w:val="004F64FD"/>
    <w:rsid w:val="004F6B09"/>
    <w:rsid w:val="005061B8"/>
    <w:rsid w:val="00512677"/>
    <w:rsid w:val="00516BE3"/>
    <w:rsid w:val="00521C26"/>
    <w:rsid w:val="00523977"/>
    <w:rsid w:val="00531603"/>
    <w:rsid w:val="00563FAB"/>
    <w:rsid w:val="005723E3"/>
    <w:rsid w:val="0057711C"/>
    <w:rsid w:val="005A07BA"/>
    <w:rsid w:val="005B1DAA"/>
    <w:rsid w:val="005B2F4B"/>
    <w:rsid w:val="005D00DA"/>
    <w:rsid w:val="005F399C"/>
    <w:rsid w:val="005F40A0"/>
    <w:rsid w:val="006069BC"/>
    <w:rsid w:val="00606E29"/>
    <w:rsid w:val="00607F17"/>
    <w:rsid w:val="00617209"/>
    <w:rsid w:val="00640566"/>
    <w:rsid w:val="006464C4"/>
    <w:rsid w:val="00662D80"/>
    <w:rsid w:val="00676806"/>
    <w:rsid w:val="006770E1"/>
    <w:rsid w:val="0067753A"/>
    <w:rsid w:val="006820C1"/>
    <w:rsid w:val="00683603"/>
    <w:rsid w:val="006A3934"/>
    <w:rsid w:val="006A41DE"/>
    <w:rsid w:val="006A62A2"/>
    <w:rsid w:val="006B6617"/>
    <w:rsid w:val="006D0468"/>
    <w:rsid w:val="006D3AD2"/>
    <w:rsid w:val="006E15E1"/>
    <w:rsid w:val="006E278F"/>
    <w:rsid w:val="006F07CB"/>
    <w:rsid w:val="006F5883"/>
    <w:rsid w:val="006F7213"/>
    <w:rsid w:val="006F7EF5"/>
    <w:rsid w:val="007056D7"/>
    <w:rsid w:val="00707BDC"/>
    <w:rsid w:val="007303DE"/>
    <w:rsid w:val="00731998"/>
    <w:rsid w:val="00735EC9"/>
    <w:rsid w:val="00736995"/>
    <w:rsid w:val="00743C56"/>
    <w:rsid w:val="007454A7"/>
    <w:rsid w:val="007546AB"/>
    <w:rsid w:val="007664A0"/>
    <w:rsid w:val="007723C8"/>
    <w:rsid w:val="00776651"/>
    <w:rsid w:val="00777362"/>
    <w:rsid w:val="00786E61"/>
    <w:rsid w:val="0079013D"/>
    <w:rsid w:val="00792309"/>
    <w:rsid w:val="007A1B85"/>
    <w:rsid w:val="007A3C20"/>
    <w:rsid w:val="007B5E81"/>
    <w:rsid w:val="007C2B9F"/>
    <w:rsid w:val="007C4543"/>
    <w:rsid w:val="007F4D4C"/>
    <w:rsid w:val="007F760F"/>
    <w:rsid w:val="00816824"/>
    <w:rsid w:val="00841DFC"/>
    <w:rsid w:val="00844E8C"/>
    <w:rsid w:val="008551C6"/>
    <w:rsid w:val="00860A3A"/>
    <w:rsid w:val="00865153"/>
    <w:rsid w:val="00866B7C"/>
    <w:rsid w:val="008710A5"/>
    <w:rsid w:val="00877ED0"/>
    <w:rsid w:val="00882100"/>
    <w:rsid w:val="00884249"/>
    <w:rsid w:val="00887702"/>
    <w:rsid w:val="00894153"/>
    <w:rsid w:val="008C7853"/>
    <w:rsid w:val="008D1518"/>
    <w:rsid w:val="008D2272"/>
    <w:rsid w:val="008F2CCA"/>
    <w:rsid w:val="00917193"/>
    <w:rsid w:val="0093206F"/>
    <w:rsid w:val="00936A7D"/>
    <w:rsid w:val="009372E3"/>
    <w:rsid w:val="00937545"/>
    <w:rsid w:val="009448E1"/>
    <w:rsid w:val="009451D3"/>
    <w:rsid w:val="00960095"/>
    <w:rsid w:val="009620BB"/>
    <w:rsid w:val="00973337"/>
    <w:rsid w:val="009774B9"/>
    <w:rsid w:val="0097785E"/>
    <w:rsid w:val="009978B0"/>
    <w:rsid w:val="009A1469"/>
    <w:rsid w:val="009A1668"/>
    <w:rsid w:val="009A50C0"/>
    <w:rsid w:val="009B2265"/>
    <w:rsid w:val="009C0B47"/>
    <w:rsid w:val="009C1A37"/>
    <w:rsid w:val="009C1FC8"/>
    <w:rsid w:val="009E3E5F"/>
    <w:rsid w:val="009E59B8"/>
    <w:rsid w:val="00A0060C"/>
    <w:rsid w:val="00A0614C"/>
    <w:rsid w:val="00A24DC6"/>
    <w:rsid w:val="00A331BF"/>
    <w:rsid w:val="00A33C09"/>
    <w:rsid w:val="00A34FE2"/>
    <w:rsid w:val="00A35F55"/>
    <w:rsid w:val="00A4408D"/>
    <w:rsid w:val="00A513A2"/>
    <w:rsid w:val="00A52022"/>
    <w:rsid w:val="00A810D4"/>
    <w:rsid w:val="00AA248F"/>
    <w:rsid w:val="00AB46DF"/>
    <w:rsid w:val="00AE0887"/>
    <w:rsid w:val="00AE14AB"/>
    <w:rsid w:val="00B033E3"/>
    <w:rsid w:val="00B061F0"/>
    <w:rsid w:val="00B06BEF"/>
    <w:rsid w:val="00B110BB"/>
    <w:rsid w:val="00B23694"/>
    <w:rsid w:val="00B27AED"/>
    <w:rsid w:val="00B35A92"/>
    <w:rsid w:val="00B559AF"/>
    <w:rsid w:val="00B60CB6"/>
    <w:rsid w:val="00B66B4F"/>
    <w:rsid w:val="00B81AAF"/>
    <w:rsid w:val="00B81D75"/>
    <w:rsid w:val="00B87C22"/>
    <w:rsid w:val="00BA0000"/>
    <w:rsid w:val="00BA1D7F"/>
    <w:rsid w:val="00BC1782"/>
    <w:rsid w:val="00BE5004"/>
    <w:rsid w:val="00BE752E"/>
    <w:rsid w:val="00C06B81"/>
    <w:rsid w:val="00C073EF"/>
    <w:rsid w:val="00C079CF"/>
    <w:rsid w:val="00C32A26"/>
    <w:rsid w:val="00C4068C"/>
    <w:rsid w:val="00C416EF"/>
    <w:rsid w:val="00C446F7"/>
    <w:rsid w:val="00C454F3"/>
    <w:rsid w:val="00C465B9"/>
    <w:rsid w:val="00C513C8"/>
    <w:rsid w:val="00C6122D"/>
    <w:rsid w:val="00C671A5"/>
    <w:rsid w:val="00C71032"/>
    <w:rsid w:val="00C72E3A"/>
    <w:rsid w:val="00C73F57"/>
    <w:rsid w:val="00C77F0A"/>
    <w:rsid w:val="00C80198"/>
    <w:rsid w:val="00C81566"/>
    <w:rsid w:val="00C873B4"/>
    <w:rsid w:val="00C916B1"/>
    <w:rsid w:val="00CB04DE"/>
    <w:rsid w:val="00CB0573"/>
    <w:rsid w:val="00CB2591"/>
    <w:rsid w:val="00CB4786"/>
    <w:rsid w:val="00CC20B4"/>
    <w:rsid w:val="00CD472C"/>
    <w:rsid w:val="00CD5518"/>
    <w:rsid w:val="00CD69A3"/>
    <w:rsid w:val="00CE1F76"/>
    <w:rsid w:val="00CE4B6D"/>
    <w:rsid w:val="00CE6D25"/>
    <w:rsid w:val="00CE7196"/>
    <w:rsid w:val="00CE7911"/>
    <w:rsid w:val="00CF3708"/>
    <w:rsid w:val="00CF3CEF"/>
    <w:rsid w:val="00D20E3B"/>
    <w:rsid w:val="00D34BDA"/>
    <w:rsid w:val="00D3752D"/>
    <w:rsid w:val="00D54E2D"/>
    <w:rsid w:val="00D73DED"/>
    <w:rsid w:val="00D853BB"/>
    <w:rsid w:val="00D97D78"/>
    <w:rsid w:val="00DA0738"/>
    <w:rsid w:val="00DA6AF8"/>
    <w:rsid w:val="00DB0A3D"/>
    <w:rsid w:val="00DB3A2A"/>
    <w:rsid w:val="00DB3D32"/>
    <w:rsid w:val="00DC162B"/>
    <w:rsid w:val="00DC717F"/>
    <w:rsid w:val="00DD7F74"/>
    <w:rsid w:val="00DE2CFE"/>
    <w:rsid w:val="00DE6A8A"/>
    <w:rsid w:val="00E04B86"/>
    <w:rsid w:val="00E07EB5"/>
    <w:rsid w:val="00E24A2B"/>
    <w:rsid w:val="00E278C3"/>
    <w:rsid w:val="00E32DD0"/>
    <w:rsid w:val="00E42DA7"/>
    <w:rsid w:val="00E54B3C"/>
    <w:rsid w:val="00E55BB0"/>
    <w:rsid w:val="00E55C68"/>
    <w:rsid w:val="00E83C44"/>
    <w:rsid w:val="00E87177"/>
    <w:rsid w:val="00E87E4E"/>
    <w:rsid w:val="00E93DDC"/>
    <w:rsid w:val="00EB689F"/>
    <w:rsid w:val="00EC72EA"/>
    <w:rsid w:val="00ED287E"/>
    <w:rsid w:val="00ED5C80"/>
    <w:rsid w:val="00ED7E75"/>
    <w:rsid w:val="00EE122B"/>
    <w:rsid w:val="00EF3129"/>
    <w:rsid w:val="00EF7C93"/>
    <w:rsid w:val="00F0623F"/>
    <w:rsid w:val="00F32A95"/>
    <w:rsid w:val="00F332DC"/>
    <w:rsid w:val="00F346C3"/>
    <w:rsid w:val="00F4095C"/>
    <w:rsid w:val="00F5076F"/>
    <w:rsid w:val="00F53C3C"/>
    <w:rsid w:val="00F55708"/>
    <w:rsid w:val="00F63111"/>
    <w:rsid w:val="00F73D49"/>
    <w:rsid w:val="00F87ADE"/>
    <w:rsid w:val="00FA6907"/>
    <w:rsid w:val="00FB146F"/>
    <w:rsid w:val="00FC4ABB"/>
    <w:rsid w:val="00FD24E6"/>
    <w:rsid w:val="00FD4A3A"/>
    <w:rsid w:val="00FE0154"/>
    <w:rsid w:val="00FE0EA9"/>
    <w:rsid w:val="00FE1ABA"/>
    <w:rsid w:val="00FE4838"/>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colormru v:ext="edit" colors="#7b6c58,#887e6e,#b0a696,#828282"/>
    </o:shapedefaults>
    <o:shapelayout v:ext="edit">
      <o:idmap v:ext="edit" data="1"/>
    </o:shapelayout>
  </w:shapeDefaults>
  <w:decimalSymbol w:val="."/>
  <w:listSeparator w:val=","/>
  <w14:docId w14:val="340A44F7"/>
  <w15:docId w15:val="{2CA09673-4CD2-45DE-916E-23C3D35A8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D20E3B"/>
    <w:pPr>
      <w:keepNext/>
      <w:pageBreakBefore/>
      <w:numPr>
        <w:numId w:val="1"/>
      </w:numPr>
      <w:spacing w:before="6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D20E3B"/>
    <w:pPr>
      <w:keepNext/>
      <w:numPr>
        <w:ilvl w:val="1"/>
        <w:numId w:val="1"/>
      </w:numPr>
      <w:spacing w:before="480" w:after="240"/>
      <w:outlineLvl w:val="1"/>
    </w:pPr>
    <w:rPr>
      <w:rFonts w:cs="Arial"/>
      <w:b/>
      <w:bCs/>
      <w:iCs/>
      <w:caps/>
      <w:szCs w:val="28"/>
    </w:rPr>
  </w:style>
  <w:style w:type="paragraph" w:styleId="Heading3">
    <w:name w:val="heading 3"/>
    <w:aliases w:val="ECC Heading 3"/>
    <w:basedOn w:val="Normal"/>
    <w:next w:val="ECCParagraph"/>
    <w:autoRedefine/>
    <w:qFormat/>
    <w:rsid w:val="00D20E3B"/>
    <w:pPr>
      <w:keepNext/>
      <w:numPr>
        <w:ilvl w:val="2"/>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D20E3B"/>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D20E3B"/>
    <w:pPr>
      <w:numPr>
        <w:ilvl w:val="4"/>
        <w:numId w:val="1"/>
      </w:numPr>
      <w:spacing w:before="240" w:after="60"/>
      <w:outlineLvl w:val="4"/>
    </w:pPr>
    <w:rPr>
      <w:b/>
      <w:bCs/>
      <w:i/>
      <w:iCs/>
      <w:sz w:val="26"/>
      <w:szCs w:val="26"/>
    </w:rPr>
  </w:style>
  <w:style w:type="paragraph" w:styleId="Heading6">
    <w:name w:val="heading 6"/>
    <w:basedOn w:val="Normal"/>
    <w:next w:val="Normal"/>
    <w:qFormat/>
    <w:rsid w:val="00D20E3B"/>
    <w:pPr>
      <w:numPr>
        <w:ilvl w:val="5"/>
        <w:numId w:val="1"/>
      </w:numPr>
      <w:spacing w:before="240" w:after="60"/>
      <w:outlineLvl w:val="5"/>
    </w:pPr>
    <w:rPr>
      <w:b/>
      <w:bCs/>
      <w:sz w:val="22"/>
      <w:szCs w:val="22"/>
    </w:rPr>
  </w:style>
  <w:style w:type="paragraph" w:styleId="Heading7">
    <w:name w:val="heading 7"/>
    <w:basedOn w:val="Normal"/>
    <w:next w:val="Normal"/>
    <w:qFormat/>
    <w:rsid w:val="00D20E3B"/>
    <w:pPr>
      <w:numPr>
        <w:ilvl w:val="6"/>
        <w:numId w:val="1"/>
      </w:numPr>
      <w:spacing w:before="240" w:after="60"/>
      <w:outlineLvl w:val="6"/>
    </w:pPr>
    <w:rPr>
      <w:sz w:val="24"/>
    </w:rPr>
  </w:style>
  <w:style w:type="paragraph" w:styleId="Heading8">
    <w:name w:val="heading 8"/>
    <w:basedOn w:val="Normal"/>
    <w:next w:val="Normal"/>
    <w:qFormat/>
    <w:rsid w:val="00D20E3B"/>
    <w:pPr>
      <w:numPr>
        <w:ilvl w:val="7"/>
        <w:numId w:val="1"/>
      </w:numPr>
      <w:spacing w:before="240" w:after="60"/>
      <w:outlineLvl w:val="7"/>
    </w:pPr>
    <w:rPr>
      <w:i/>
      <w:iCs/>
      <w:sz w:val="24"/>
    </w:rPr>
  </w:style>
  <w:style w:type="paragraph" w:styleId="Heading9">
    <w:name w:val="heading 9"/>
    <w:basedOn w:val="Normal"/>
    <w:next w:val="Normal"/>
    <w:qFormat/>
    <w:rsid w:val="00D20E3B"/>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link w:val="ECCParagraphChar"/>
    <w:rsid w:val="004E66F0"/>
    <w:pPr>
      <w:spacing w:after="240"/>
      <w:jc w:val="both"/>
    </w:pPr>
    <w:rPr>
      <w:lang w:val="en-GB"/>
    </w:r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heading1"/>
    <w:basedOn w:val="Heading1"/>
    <w:next w:val="ECCParagraph"/>
    <w:rsid w:val="002209A7"/>
    <w:pPr>
      <w:numPr>
        <w:numId w:val="4"/>
      </w:numPr>
    </w:pPr>
  </w:style>
  <w:style w:type="paragraph" w:styleId="TOC1">
    <w:name w:val="toc 1"/>
    <w:basedOn w:val="Normal"/>
    <w:next w:val="Normal"/>
    <w:autoRedefine/>
    <w:uiPriority w:val="39"/>
    <w:rsid w:val="00EA7A83"/>
    <w:pPr>
      <w:tabs>
        <w:tab w:val="left" w:pos="360"/>
        <w:tab w:val="right" w:leader="dot" w:pos="9629"/>
      </w:tabs>
      <w:spacing w:before="240"/>
    </w:pPr>
    <w:rPr>
      <w:b/>
      <w:caps/>
    </w:rPr>
  </w:style>
  <w:style w:type="character" w:styleId="Hyperlink">
    <w:name w:val="Hyperlink"/>
    <w:aliases w:val="ECC Hyperlink"/>
    <w:basedOn w:val="DefaultParagraphFont"/>
    <w:uiPriority w:val="99"/>
    <w:rsid w:val="00A82384"/>
    <w:rPr>
      <w:color w:val="0000FF"/>
      <w:u w:val="single"/>
    </w:rPr>
  </w:style>
  <w:style w:type="paragraph" w:styleId="TOC2">
    <w:name w:val="toc 2"/>
    <w:basedOn w:val="Normal"/>
    <w:next w:val="Normal"/>
    <w:autoRedefine/>
    <w:uiPriority w:val="39"/>
    <w:rsid w:val="00EA7A83"/>
    <w:pPr>
      <w:tabs>
        <w:tab w:val="left" w:pos="900"/>
        <w:tab w:val="right" w:leader="dot" w:pos="9629"/>
      </w:tabs>
      <w:ind w:left="360"/>
    </w:pPr>
  </w:style>
  <w:style w:type="paragraph" w:styleId="TOC3">
    <w:name w:val="toc 3"/>
    <w:basedOn w:val="Normal"/>
    <w:next w:val="Normal"/>
    <w:autoRedefine/>
    <w:uiPriority w:val="39"/>
    <w:rsid w:val="00CF7259"/>
    <w:pPr>
      <w:tabs>
        <w:tab w:val="left" w:pos="1440"/>
        <w:tab w:val="right" w:leader="dot" w:pos="9629"/>
      </w:tabs>
      <w:ind w:left="900"/>
    </w:pPr>
  </w:style>
  <w:style w:type="paragraph" w:styleId="TOC4">
    <w:name w:val="toc 4"/>
    <w:basedOn w:val="Normal"/>
    <w:next w:val="Normal"/>
    <w:autoRedefine/>
    <w:uiPriority w:val="39"/>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aliases w:val="footnote text,ALTS FOOTNOTE"/>
    <w:basedOn w:val="Normal"/>
    <w:link w:val="FootnoteTextChar"/>
    <w:rsid w:val="008935B9"/>
    <w:rPr>
      <w:szCs w:val="20"/>
    </w:rPr>
  </w:style>
  <w:style w:type="character" w:styleId="FootnoteReference">
    <w:name w:val="footnote reference"/>
    <w:aliases w:val="Appel note de bas de p,Nota,Footnote symbol,Footnote"/>
    <w:basedOn w:val="DefaultParagraphFont"/>
    <w:uiPriority w:val="99"/>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5"/>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485B05"/>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080D86"/>
    <w:pPr>
      <w:spacing w:before="120" w:after="120"/>
      <w:ind w:left="3402"/>
    </w:pPr>
    <w:rPr>
      <w:bCs/>
      <w:sz w:val="18"/>
    </w:rPr>
  </w:style>
  <w:style w:type="paragraph" w:customStyle="1" w:styleId="Reporttitledescription">
    <w:name w:val="Report title/description"/>
    <w:basedOn w:val="Normal"/>
    <w:rsid w:val="009B4646"/>
    <w:pPr>
      <w:spacing w:before="600" w:line="288" w:lineRule="auto"/>
      <w:ind w:left="3402"/>
    </w:pPr>
    <w:rPr>
      <w:sz w:val="24"/>
    </w:rPr>
  </w:style>
  <w:style w:type="paragraph" w:customStyle="1" w:styleId="Default">
    <w:name w:val="Default"/>
    <w:rsid w:val="00080D86"/>
    <w:pPr>
      <w:autoSpaceDE w:val="0"/>
      <w:autoSpaceDN w:val="0"/>
      <w:adjustRightInd w:val="0"/>
    </w:pPr>
    <w:rPr>
      <w:color w:val="000000"/>
      <w:sz w:val="24"/>
      <w:szCs w:val="24"/>
      <w:lang w:val="en-US"/>
    </w:rPr>
  </w:style>
  <w:style w:type="numbering" w:customStyle="1" w:styleId="ECCBullets">
    <w:name w:val="ECC Bullets"/>
    <w:basedOn w:val="NoList"/>
    <w:rsid w:val="003C3EE4"/>
    <w:pPr>
      <w:numPr>
        <w:numId w:val="7"/>
      </w:numPr>
    </w:pPr>
  </w:style>
  <w:style w:type="paragraph" w:customStyle="1" w:styleId="ECCNumbered-LetteredList">
    <w:name w:val="ECC Numbered-Lettered List"/>
    <w:basedOn w:val="Normal"/>
    <w:qFormat/>
    <w:rsid w:val="00D20E3B"/>
    <w:pPr>
      <w:numPr>
        <w:numId w:val="9"/>
      </w:numPr>
    </w:pPr>
  </w:style>
  <w:style w:type="paragraph" w:customStyle="1" w:styleId="ECCNumberedBullets">
    <w:name w:val="ECC Numbered Bullets"/>
    <w:basedOn w:val="Normal"/>
    <w:rsid w:val="00D20E3B"/>
    <w:pPr>
      <w:numPr>
        <w:numId w:val="8"/>
      </w:numPr>
    </w:pPr>
  </w:style>
  <w:style w:type="paragraph" w:styleId="BalloonText">
    <w:name w:val="Balloon Text"/>
    <w:basedOn w:val="Normal"/>
    <w:link w:val="BalloonTextChar"/>
    <w:uiPriority w:val="99"/>
    <w:semiHidden/>
    <w:unhideWhenUsed/>
    <w:rsid w:val="00D20E3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20E3B"/>
    <w:rPr>
      <w:rFonts w:ascii="Lucida Grande" w:hAnsi="Lucida Grande" w:cs="Lucida Grande"/>
      <w:sz w:val="18"/>
      <w:szCs w:val="18"/>
      <w:lang w:val="en-US"/>
    </w:rPr>
  </w:style>
  <w:style w:type="numbering" w:customStyle="1" w:styleId="ECCNumbers-Bullets">
    <w:name w:val="ECC Numbers-Bullets"/>
    <w:uiPriority w:val="99"/>
    <w:rsid w:val="00D20E3B"/>
    <w:pPr>
      <w:numPr>
        <w:numId w:val="8"/>
      </w:numPr>
    </w:pPr>
  </w:style>
  <w:style w:type="numbering" w:customStyle="1" w:styleId="ECCNumbers-Letters">
    <w:name w:val="ECC Numbers-Letters"/>
    <w:uiPriority w:val="99"/>
    <w:rsid w:val="00D20E3B"/>
    <w:pPr>
      <w:numPr>
        <w:numId w:val="9"/>
      </w:numPr>
    </w:pPr>
  </w:style>
  <w:style w:type="character" w:customStyle="1" w:styleId="FootnoteTextChar">
    <w:name w:val="Footnote Text Char"/>
    <w:aliases w:val="footnote text Char,ALTS FOOTNOTE Char"/>
    <w:basedOn w:val="DefaultParagraphFont"/>
    <w:link w:val="FootnoteText"/>
    <w:rsid w:val="00435008"/>
    <w:rPr>
      <w:rFonts w:ascii="Arial" w:hAnsi="Arial"/>
      <w:lang w:val="en-US"/>
    </w:rPr>
  </w:style>
  <w:style w:type="paragraph" w:customStyle="1" w:styleId="ECCReference">
    <w:name w:val="ECC Reference"/>
    <w:basedOn w:val="Normal"/>
    <w:rsid w:val="00A34FE2"/>
    <w:pPr>
      <w:tabs>
        <w:tab w:val="num" w:pos="397"/>
      </w:tabs>
      <w:ind w:left="397" w:hanging="397"/>
      <w:jc w:val="both"/>
    </w:pPr>
    <w:rPr>
      <w:rFonts w:eastAsia="Calibri"/>
      <w:szCs w:val="22"/>
      <w:lang w:val="en-GB" w:eastAsia="ja-JP"/>
    </w:rPr>
  </w:style>
  <w:style w:type="paragraph" w:customStyle="1" w:styleId="ZCom">
    <w:name w:val="Z_Com"/>
    <w:basedOn w:val="Normal"/>
    <w:next w:val="ZDGName"/>
    <w:rsid w:val="006464C4"/>
    <w:pPr>
      <w:widowControl w:val="0"/>
      <w:ind w:right="85"/>
      <w:jc w:val="both"/>
    </w:pPr>
    <w:rPr>
      <w:snapToGrid w:val="0"/>
      <w:sz w:val="24"/>
      <w:szCs w:val="20"/>
      <w:lang w:val="en-GB"/>
    </w:rPr>
  </w:style>
  <w:style w:type="paragraph" w:customStyle="1" w:styleId="ZDGName">
    <w:name w:val="Z_DGName"/>
    <w:basedOn w:val="Normal"/>
    <w:rsid w:val="006464C4"/>
    <w:pPr>
      <w:widowControl w:val="0"/>
      <w:ind w:right="85"/>
    </w:pPr>
    <w:rPr>
      <w:snapToGrid w:val="0"/>
      <w:sz w:val="16"/>
      <w:szCs w:val="20"/>
      <w:lang w:val="en-GB"/>
    </w:rPr>
  </w:style>
  <w:style w:type="paragraph" w:styleId="ListNumber">
    <w:name w:val="List Number"/>
    <w:basedOn w:val="Normal"/>
    <w:rsid w:val="006464C4"/>
    <w:pPr>
      <w:numPr>
        <w:numId w:val="10"/>
      </w:numPr>
      <w:spacing w:after="240"/>
      <w:jc w:val="both"/>
    </w:pPr>
    <w:rPr>
      <w:rFonts w:ascii="Times New Roman" w:hAnsi="Times New Roman"/>
      <w:sz w:val="24"/>
      <w:szCs w:val="20"/>
      <w:lang w:val="en-GB" w:eastAsia="fr-BE"/>
    </w:rPr>
  </w:style>
  <w:style w:type="paragraph" w:customStyle="1" w:styleId="ListNumberLevel2">
    <w:name w:val="List Number (Level 2)"/>
    <w:basedOn w:val="Normal"/>
    <w:rsid w:val="006464C4"/>
    <w:pPr>
      <w:numPr>
        <w:ilvl w:val="1"/>
        <w:numId w:val="10"/>
      </w:numPr>
      <w:spacing w:after="240"/>
      <w:jc w:val="both"/>
    </w:pPr>
    <w:rPr>
      <w:rFonts w:ascii="Times New Roman" w:hAnsi="Times New Roman"/>
      <w:sz w:val="24"/>
      <w:szCs w:val="20"/>
      <w:lang w:val="en-GB" w:eastAsia="fr-BE"/>
    </w:rPr>
  </w:style>
  <w:style w:type="paragraph" w:customStyle="1" w:styleId="ListNumberLevel3">
    <w:name w:val="List Number (Level 3)"/>
    <w:basedOn w:val="Normal"/>
    <w:rsid w:val="006464C4"/>
    <w:pPr>
      <w:numPr>
        <w:ilvl w:val="2"/>
        <w:numId w:val="10"/>
      </w:numPr>
      <w:spacing w:after="240"/>
      <w:jc w:val="both"/>
    </w:pPr>
    <w:rPr>
      <w:rFonts w:ascii="Times New Roman" w:hAnsi="Times New Roman"/>
      <w:sz w:val="24"/>
      <w:szCs w:val="20"/>
      <w:lang w:val="en-GB" w:eastAsia="fr-BE"/>
    </w:rPr>
  </w:style>
  <w:style w:type="paragraph" w:customStyle="1" w:styleId="ListNumberLevel4">
    <w:name w:val="List Number (Level 4)"/>
    <w:basedOn w:val="Normal"/>
    <w:rsid w:val="006464C4"/>
    <w:pPr>
      <w:numPr>
        <w:ilvl w:val="3"/>
        <w:numId w:val="10"/>
      </w:numPr>
      <w:spacing w:after="240"/>
      <w:jc w:val="both"/>
    </w:pPr>
    <w:rPr>
      <w:rFonts w:ascii="Times New Roman" w:hAnsi="Times New Roman"/>
      <w:sz w:val="24"/>
      <w:szCs w:val="20"/>
      <w:lang w:val="en-GB" w:eastAsia="fr-BE"/>
    </w:rPr>
  </w:style>
  <w:style w:type="paragraph" w:styleId="ListParagraph">
    <w:name w:val="List Paragraph"/>
    <w:basedOn w:val="Normal"/>
    <w:uiPriority w:val="34"/>
    <w:qFormat/>
    <w:rsid w:val="006464C4"/>
    <w:pPr>
      <w:ind w:left="720"/>
      <w:contextualSpacing/>
    </w:pPr>
  </w:style>
  <w:style w:type="character" w:customStyle="1" w:styleId="ECCParagraphChar">
    <w:name w:val="ECC Paragraph Char"/>
    <w:link w:val="ECCParagraph"/>
    <w:locked/>
    <w:rsid w:val="006464C4"/>
    <w:rPr>
      <w:rFonts w:ascii="Arial" w:hAnsi="Arial"/>
      <w:szCs w:val="24"/>
    </w:rPr>
  </w:style>
  <w:style w:type="character" w:styleId="FollowedHyperlink">
    <w:name w:val="FollowedHyperlink"/>
    <w:basedOn w:val="DefaultParagraphFont"/>
    <w:uiPriority w:val="99"/>
    <w:semiHidden/>
    <w:unhideWhenUsed/>
    <w:rsid w:val="001969BC"/>
    <w:rPr>
      <w:color w:val="800080" w:themeColor="followedHyperlink"/>
      <w:u w:val="single"/>
    </w:rPr>
  </w:style>
  <w:style w:type="character" w:customStyle="1" w:styleId="UnresolvedMention1">
    <w:name w:val="Unresolved Mention1"/>
    <w:basedOn w:val="DefaultParagraphFont"/>
    <w:uiPriority w:val="99"/>
    <w:semiHidden/>
    <w:unhideWhenUsed/>
    <w:rsid w:val="00DD7F74"/>
    <w:rPr>
      <w:color w:val="605E5C"/>
      <w:shd w:val="clear" w:color="auto" w:fill="E1DFDD"/>
    </w:rPr>
  </w:style>
  <w:style w:type="character" w:styleId="CommentReference">
    <w:name w:val="annotation reference"/>
    <w:basedOn w:val="DefaultParagraphFont"/>
    <w:uiPriority w:val="99"/>
    <w:semiHidden/>
    <w:unhideWhenUsed/>
    <w:rsid w:val="00CF3708"/>
    <w:rPr>
      <w:sz w:val="16"/>
      <w:szCs w:val="16"/>
    </w:rPr>
  </w:style>
  <w:style w:type="paragraph" w:styleId="CommentText">
    <w:name w:val="annotation text"/>
    <w:basedOn w:val="Normal"/>
    <w:link w:val="CommentTextChar"/>
    <w:uiPriority w:val="99"/>
    <w:semiHidden/>
    <w:unhideWhenUsed/>
    <w:rsid w:val="00CF3708"/>
    <w:rPr>
      <w:szCs w:val="20"/>
    </w:rPr>
  </w:style>
  <w:style w:type="character" w:customStyle="1" w:styleId="CommentTextChar">
    <w:name w:val="Comment Text Char"/>
    <w:basedOn w:val="DefaultParagraphFont"/>
    <w:link w:val="CommentText"/>
    <w:uiPriority w:val="99"/>
    <w:semiHidden/>
    <w:rsid w:val="00CF3708"/>
    <w:rPr>
      <w:rFonts w:ascii="Arial" w:hAnsi="Arial"/>
      <w:lang w:val="en-US"/>
    </w:rPr>
  </w:style>
  <w:style w:type="paragraph" w:styleId="CommentSubject">
    <w:name w:val="annotation subject"/>
    <w:basedOn w:val="CommentText"/>
    <w:next w:val="CommentText"/>
    <w:link w:val="CommentSubjectChar"/>
    <w:uiPriority w:val="99"/>
    <w:semiHidden/>
    <w:unhideWhenUsed/>
    <w:rsid w:val="00CF3708"/>
    <w:rPr>
      <w:b/>
      <w:bCs/>
    </w:rPr>
  </w:style>
  <w:style w:type="character" w:customStyle="1" w:styleId="CommentSubjectChar">
    <w:name w:val="Comment Subject Char"/>
    <w:basedOn w:val="CommentTextChar"/>
    <w:link w:val="CommentSubject"/>
    <w:uiPriority w:val="99"/>
    <w:semiHidden/>
    <w:rsid w:val="00CF3708"/>
    <w:rPr>
      <w:rFonts w:ascii="Arial" w:hAnsi="Arial"/>
      <w:b/>
      <w:bCs/>
      <w:lang w:val="en-US"/>
    </w:rPr>
  </w:style>
  <w:style w:type="paragraph" w:styleId="Revision">
    <w:name w:val="Revision"/>
    <w:hidden/>
    <w:uiPriority w:val="99"/>
    <w:semiHidden/>
    <w:rsid w:val="0018601C"/>
    <w:rPr>
      <w:rFonts w:ascii="Arial" w:hAnsi="Arial"/>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562238">
      <w:bodyDiv w:val="1"/>
      <w:marLeft w:val="0"/>
      <w:marRight w:val="0"/>
      <w:marTop w:val="0"/>
      <w:marBottom w:val="0"/>
      <w:divBdr>
        <w:top w:val="none" w:sz="0" w:space="0" w:color="auto"/>
        <w:left w:val="none" w:sz="0" w:space="0" w:color="auto"/>
        <w:bottom w:val="none" w:sz="0" w:space="0" w:color="auto"/>
        <w:right w:val="none" w:sz="0" w:space="0" w:color="auto"/>
      </w:divBdr>
    </w:div>
    <w:div w:id="472256727">
      <w:bodyDiv w:val="1"/>
      <w:marLeft w:val="0"/>
      <w:marRight w:val="0"/>
      <w:marTop w:val="0"/>
      <w:marBottom w:val="0"/>
      <w:divBdr>
        <w:top w:val="none" w:sz="0" w:space="0" w:color="auto"/>
        <w:left w:val="none" w:sz="0" w:space="0" w:color="auto"/>
        <w:bottom w:val="none" w:sz="0" w:space="0" w:color="auto"/>
        <w:right w:val="none" w:sz="0" w:space="0" w:color="auto"/>
      </w:divBdr>
    </w:div>
    <w:div w:id="1023093486">
      <w:bodyDiv w:val="1"/>
      <w:marLeft w:val="0"/>
      <w:marRight w:val="0"/>
      <w:marTop w:val="0"/>
      <w:marBottom w:val="0"/>
      <w:divBdr>
        <w:top w:val="none" w:sz="0" w:space="0" w:color="auto"/>
        <w:left w:val="none" w:sz="0" w:space="0" w:color="auto"/>
        <w:bottom w:val="none" w:sz="0" w:space="0" w:color="auto"/>
        <w:right w:val="none" w:sz="0" w:space="0" w:color="auto"/>
      </w:divBdr>
    </w:div>
    <w:div w:id="1179344815">
      <w:bodyDiv w:val="1"/>
      <w:marLeft w:val="0"/>
      <w:marRight w:val="0"/>
      <w:marTop w:val="0"/>
      <w:marBottom w:val="0"/>
      <w:divBdr>
        <w:top w:val="none" w:sz="0" w:space="0" w:color="auto"/>
        <w:left w:val="none" w:sz="0" w:space="0" w:color="auto"/>
        <w:bottom w:val="none" w:sz="0" w:space="0" w:color="auto"/>
        <w:right w:val="none" w:sz="0" w:space="0" w:color="auto"/>
      </w:divBdr>
    </w:div>
    <w:div w:id="1644851152">
      <w:bodyDiv w:val="1"/>
      <w:marLeft w:val="0"/>
      <w:marRight w:val="0"/>
      <w:marTop w:val="0"/>
      <w:marBottom w:val="0"/>
      <w:divBdr>
        <w:top w:val="none" w:sz="0" w:space="0" w:color="auto"/>
        <w:left w:val="none" w:sz="0" w:space="0" w:color="auto"/>
        <w:bottom w:val="none" w:sz="0" w:space="0" w:color="auto"/>
        <w:right w:val="none" w:sz="0" w:space="0" w:color="auto"/>
      </w:divBdr>
    </w:div>
    <w:div w:id="1890340636">
      <w:bodyDiv w:val="1"/>
      <w:marLeft w:val="0"/>
      <w:marRight w:val="0"/>
      <w:marTop w:val="0"/>
      <w:marBottom w:val="0"/>
      <w:divBdr>
        <w:top w:val="none" w:sz="0" w:space="0" w:color="auto"/>
        <w:left w:val="none" w:sz="0" w:space="0" w:color="auto"/>
        <w:bottom w:val="none" w:sz="0" w:space="0" w:color="auto"/>
        <w:right w:val="none" w:sz="0" w:space="0" w:color="auto"/>
      </w:divBdr>
    </w:div>
    <w:div w:id="1918782633">
      <w:bodyDiv w:val="1"/>
      <w:marLeft w:val="0"/>
      <w:marRight w:val="0"/>
      <w:marTop w:val="0"/>
      <w:marBottom w:val="0"/>
      <w:divBdr>
        <w:top w:val="none" w:sz="0" w:space="0" w:color="auto"/>
        <w:left w:val="none" w:sz="0" w:space="0" w:color="auto"/>
        <w:bottom w:val="none" w:sz="0" w:space="0" w:color="auto"/>
        <w:right w:val="none" w:sz="0" w:space="0" w:color="auto"/>
      </w:divBdr>
    </w:div>
    <w:div w:id="192422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hyperlink" Target="https://cept.org/ecc/topics/spectrum-for-wireless-broadband-5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digital-single-market/en/5g-europe-action-plan" TargetMode="External"/><Relationship Id="rId1" Type="http://schemas.openxmlformats.org/officeDocument/2006/relationships/hyperlink" Target="https://www.itu.int/dms_pubrec/itu-r/rec/m/R-REC-M.2083-0-201509-I!!PDF-E.pdf"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aig.scott\Downloads\Standard%20format%20-%20CEPT%20Report_June_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4478C85EABFF844A0D06D88F3A1A6B4" ma:contentTypeVersion="13" ma:contentTypeDescription="Opret et nyt dokument." ma:contentTypeScope="" ma:versionID="5d5d0c1fde7714b7931655350c170616">
  <xsd:schema xmlns:xsd="http://www.w3.org/2001/XMLSchema" xmlns:xs="http://www.w3.org/2001/XMLSchema" xmlns:p="http://schemas.microsoft.com/office/2006/metadata/properties" xmlns:ns3="6ba27844-833f-4423-84e4-22994afd6f72" xmlns:ns4="684d70c0-33e3-486b-8421-e10352fabac3" targetNamespace="http://schemas.microsoft.com/office/2006/metadata/properties" ma:root="true" ma:fieldsID="e8c169a09e3faa99b9fa3eee6bd30e56" ns3:_="" ns4:_="">
    <xsd:import namespace="6ba27844-833f-4423-84e4-22994afd6f72"/>
    <xsd:import namespace="684d70c0-33e3-486b-8421-e10352fabac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a27844-833f-4423-84e4-22994afd6f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4d70c0-33e3-486b-8421-e10352fabac3"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SharingHintHash" ma:index="12" nillable="true" ma:displayName="Hashværdi for deling"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CBA22-32AD-4917-B460-5EF0D255BE62}">
  <ds:schemaRefs>
    <ds:schemaRef ds:uri="http://schemas.microsoft.com/sharepoint/v3/contenttype/forms"/>
  </ds:schemaRefs>
</ds:datastoreItem>
</file>

<file path=customXml/itemProps2.xml><?xml version="1.0" encoding="utf-8"?>
<ds:datastoreItem xmlns:ds="http://schemas.openxmlformats.org/officeDocument/2006/customXml" ds:itemID="{84D376A5-C3BA-4031-932B-4B2F322CCB6A}">
  <ds:schemaRefs>
    <ds:schemaRef ds:uri="http://schemas.microsoft.com/office/infopath/2007/PartnerControls"/>
    <ds:schemaRef ds:uri="http://purl.org/dc/terms/"/>
    <ds:schemaRef ds:uri="http://schemas.microsoft.com/office/2006/documentManagement/types"/>
    <ds:schemaRef ds:uri="684d70c0-33e3-486b-8421-e10352fabac3"/>
    <ds:schemaRef ds:uri="http://purl.org/dc/dcmitype/"/>
    <ds:schemaRef ds:uri="6ba27844-833f-4423-84e4-22994afd6f72"/>
    <ds:schemaRef ds:uri="http://www.w3.org/XML/1998/namespace"/>
    <ds:schemaRef ds:uri="http://purl.org/dc/elements/1.1/"/>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0A6B7F22-815A-4A44-A494-CE386431F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a27844-833f-4423-84e4-22994afd6f72"/>
    <ds:schemaRef ds:uri="684d70c0-33e3-486b-8421-e10352fab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17901A-54A8-43D3-9213-917848F84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 format - CEPT Report_June_2012</Template>
  <TotalTime>1</TotalTime>
  <Pages>12</Pages>
  <Words>3243</Words>
  <Characters>17615</Characters>
  <Application>Microsoft Office Word</Application>
  <DocSecurity>0</DocSecurity>
  <Lines>629</Lines>
  <Paragraphs>325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New ECC Report Style</vt:lpstr>
      <vt:lpstr>New ECC Report Style</vt:lpstr>
    </vt:vector>
  </TitlesOfParts>
  <Company>ECO</Company>
  <LinksUpToDate>false</LinksUpToDate>
  <CharactersWithSpaces>20533</CharactersWithSpaces>
  <SharedDoc>false</SharedDoc>
  <HLinks>
    <vt:vector size="12" baseType="variant">
      <vt:variant>
        <vt:i4>3342362</vt:i4>
      </vt:variant>
      <vt:variant>
        <vt:i4>-1</vt:i4>
      </vt:variant>
      <vt:variant>
        <vt:i4>2049</vt:i4>
      </vt:variant>
      <vt:variant>
        <vt:i4>1</vt:i4>
      </vt:variant>
      <vt:variant>
        <vt:lpwstr>cept logo</vt:lpwstr>
      </vt:variant>
      <vt:variant>
        <vt:lpwstr/>
      </vt:variant>
      <vt:variant>
        <vt:i4>852028</vt:i4>
      </vt:variant>
      <vt:variant>
        <vt:i4>-1</vt:i4>
      </vt:variant>
      <vt:variant>
        <vt:i4>2050</vt:i4>
      </vt:variant>
      <vt:variant>
        <vt:i4>1</vt:i4>
      </vt:variant>
      <vt:variant>
        <vt:lpwstr>ecc_logo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CEPT Report 78</dc:title>
  <dc:creator>eco@eco.cept.org</dc:creator>
  <cp:keywords>CEPT Report 78</cp:keywords>
  <dc:description>This template is used as guidance to draft ECC Reports.</dc:description>
  <cp:lastModifiedBy>Anne-Dorthe Hjelm Christensen</cp:lastModifiedBy>
  <cp:revision>2</cp:revision>
  <cp:lastPrinted>2011-06-06T15:43:00Z</cp:lastPrinted>
  <dcterms:created xsi:type="dcterms:W3CDTF">2021-03-10T16:19:00Z</dcterms:created>
  <dcterms:modified xsi:type="dcterms:W3CDTF">2021-03-10T16:19:00Z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0x01010044478C85EABFF844A0D06D88F3A1A6B4</vt:lpwstr>
  </property>
  <property fmtid="{D5CDD505-2E9C-101B-9397-08002B2CF9AE}" pid="3" name="MSIP_Label_5a50d26f-5c2c-4137-8396-1b24eb24286c_Enabled">
    <vt:lpwstr>True</vt:lpwstr>
  </property>
  <property fmtid="{D5CDD505-2E9C-101B-9397-08002B2CF9AE}" pid="4" name="MSIP_Label_5a50d26f-5c2c-4137-8396-1b24eb24286c_SiteId">
    <vt:lpwstr>0af648de-310c-4068-8ae4-f9418bae24cc</vt:lpwstr>
  </property>
  <property fmtid="{D5CDD505-2E9C-101B-9397-08002B2CF9AE}" pid="5" name="MSIP_Label_5a50d26f-5c2c-4137-8396-1b24eb24286c_Owner">
    <vt:lpwstr>Andrew.Gowans@ofcom.org.uk</vt:lpwstr>
  </property>
  <property fmtid="{D5CDD505-2E9C-101B-9397-08002B2CF9AE}" pid="6" name="MSIP_Label_5a50d26f-5c2c-4137-8396-1b24eb24286c_SetDate">
    <vt:lpwstr>2021-01-13T15:18:02.1123521Z</vt:lpwstr>
  </property>
  <property fmtid="{D5CDD505-2E9C-101B-9397-08002B2CF9AE}" pid="7" name="MSIP_Label_5a50d26f-5c2c-4137-8396-1b24eb24286c_Name">
    <vt:lpwstr>Protected</vt:lpwstr>
  </property>
  <property fmtid="{D5CDD505-2E9C-101B-9397-08002B2CF9AE}" pid="8" name="MSIP_Label_5a50d26f-5c2c-4137-8396-1b24eb24286c_Application">
    <vt:lpwstr>Microsoft Azure Information Protection</vt:lpwstr>
  </property>
  <property fmtid="{D5CDD505-2E9C-101B-9397-08002B2CF9AE}" pid="9" name="MSIP_Label_5a50d26f-5c2c-4137-8396-1b24eb24286c_ActionId">
    <vt:lpwstr>8b013cdd-2209-4c79-b1e5-ce36175c4c4c</vt:lpwstr>
  </property>
  <property fmtid="{D5CDD505-2E9C-101B-9397-08002B2CF9AE}" pid="10" name="MSIP_Label_5a50d26f-5c2c-4137-8396-1b24eb24286c_Extended_MSFT_Method">
    <vt:lpwstr>Manual</vt:lpwstr>
  </property>
  <property fmtid="{D5CDD505-2E9C-101B-9397-08002B2CF9AE}" pid="11" name="Sensitivity">
    <vt:lpwstr>Protected</vt:lpwstr>
  </property>
</Properties>
</file>