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F51B1" w14:textId="77777777" w:rsidR="00AB46DF" w:rsidRPr="008D2A17" w:rsidRDefault="00AB46DF" w:rsidP="00BE123F">
      <w:pPr>
        <w:jc w:val="center"/>
        <w:rPr>
          <w:lang w:val="en-GB"/>
        </w:rPr>
      </w:pPr>
    </w:p>
    <w:p w14:paraId="393DF980" w14:textId="77777777" w:rsidR="00AB46DF" w:rsidRPr="008D2A17" w:rsidRDefault="00AB46DF" w:rsidP="00BE123F">
      <w:pPr>
        <w:rPr>
          <w:lang w:val="en-GB"/>
        </w:rPr>
      </w:pPr>
    </w:p>
    <w:p w14:paraId="19996344" w14:textId="77777777" w:rsidR="00AB46DF" w:rsidRPr="008D2A17" w:rsidRDefault="00AB46DF" w:rsidP="00BE123F">
      <w:pPr>
        <w:rPr>
          <w:lang w:val="en-GB"/>
        </w:rPr>
      </w:pPr>
    </w:p>
    <w:p w14:paraId="2C81F149" w14:textId="77777777" w:rsidR="00AB46DF" w:rsidRPr="008D2A17" w:rsidRDefault="00D20E3B" w:rsidP="00AB46DF">
      <w:pPr>
        <w:jc w:val="center"/>
        <w:rPr>
          <w:b/>
          <w:sz w:val="24"/>
          <w:lang w:val="en-GB"/>
        </w:rPr>
      </w:pPr>
      <w:r w:rsidRPr="008D2A17">
        <w:rPr>
          <w:b/>
          <w:noProof/>
          <w:sz w:val="24"/>
          <w:szCs w:val="20"/>
          <w:lang w:val="da-DK" w:eastAsia="da-DK"/>
        </w:rPr>
        <mc:AlternateContent>
          <mc:Choice Requires="wpg">
            <w:drawing>
              <wp:anchor distT="0" distB="0" distL="114300" distR="114300" simplePos="0" relativeHeight="251629056" behindDoc="0" locked="0" layoutInCell="1" allowOverlap="1" wp14:anchorId="447B6810" wp14:editId="3C9C38E6">
                <wp:simplePos x="0" y="0"/>
                <wp:positionH relativeFrom="column">
                  <wp:posOffset>-720090</wp:posOffset>
                </wp:positionH>
                <wp:positionV relativeFrom="paragraph">
                  <wp:posOffset>69850</wp:posOffset>
                </wp:positionV>
                <wp:extent cx="7564120" cy="8268970"/>
                <wp:effectExtent l="0" t="76200" r="5080" b="0"/>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8"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643FC5" w14:textId="77777777" w:rsidR="00297F2E" w:rsidRPr="00FE1795" w:rsidRDefault="00297F2E" w:rsidP="00AB46DF">
                              <w:pPr>
                                <w:rPr>
                                  <w:color w:val="57433E"/>
                                  <w:sz w:val="68"/>
                                </w:rPr>
                              </w:pPr>
                              <w:r w:rsidRPr="00FE1795">
                                <w:rPr>
                                  <w:color w:val="FFFFFF"/>
                                  <w:sz w:val="68"/>
                                </w:rPr>
                                <w:t xml:space="preserve">CEPT Report </w:t>
                              </w:r>
                              <w:r>
                                <w:rPr>
                                  <w:color w:val="D2232A"/>
                                  <w:sz w:val="68"/>
                                </w:rPr>
                                <w:t>67</w:t>
                              </w:r>
                            </w:p>
                          </w:txbxContent>
                        </wps:txbx>
                        <wps:bodyPr rot="0" vert="horz" wrap="square" lIns="2880000" tIns="540000" rIns="72000" bIns="45720" anchor="t" anchorCtr="0" upright="1">
                          <a:noAutofit/>
                        </wps:bodyPr>
                      </wps:wsp>
                      <wpg:grpSp>
                        <wpg:cNvPr id="10" name="Group 36"/>
                        <wpg:cNvGrpSpPr>
                          <a:grpSpLocks/>
                        </wpg:cNvGrpSpPr>
                        <wpg:grpSpPr bwMode="auto">
                          <a:xfrm>
                            <a:off x="1304" y="2744"/>
                            <a:ext cx="2683" cy="2464"/>
                            <a:chOff x="1304" y="2744"/>
                            <a:chExt cx="2683" cy="2464"/>
                          </a:xfrm>
                        </wpg:grpSpPr>
                        <wps:wsp>
                          <wps:cNvPr id="11"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2"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3"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4"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5"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56.7pt;margin-top:5.5pt;width:595.6pt;height:651.1pt;z-index:251629056"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">
                <v:rect id="Rectangle 24"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F2PL8A&#10;AADaAAAADwAAAGRycy9kb3ducmV2LnhtbERPy2rCQBTdC/7DcAvdiJlUtJbUUaRScFdrdH87c5uE&#10;Zu6EzJjH33cWgsvDeW92g61FR62vHCt4SVIQxNqZigsFl/xz/gbCB2SDtWNSMJKH3XY62WBmXM/f&#10;1J1DIWII+wwVlCE0mZRel2TRJ64hjtyvay2GCNtCmhb7GG5ruUjTV2mx4thQYkMfJem/880qWKy+&#10;Zqf1qG8HfaVuaUJOP8NBqeenYf8OItAQHuK7+2gUxK3xSrwBcvs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AXY8vwAAANoAAAAPAAAAAAAAAAAAAAAAAJgCAABkcnMvZG93bnJl&#10;di54bWxQSwUGAAAAAAQABAD1AAAAhAM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oa8sEA&#10;AADaAAAADwAAAGRycy9kb3ducmV2LnhtbESPT4vCMBTE74LfITxhb5rqobjVtKiw4EFY/+H50Tzb&#10;avNSmmzt7qc3grDHYWZ+wyyz3tSio9ZVlhVMJxEI4tzqigsF59PXeA7CeWSNtWVS8EsOsnQ4WGKi&#10;7YMP1B19IQKEXYIKSu+bREqXl2TQTWxDHLyrbQ36INtC6hYfAW5qOYuiWBqsOCyU2NCmpPx+/DEK&#10;bsjx2Zy+uwvNdmYd21Vt//ZKfYz61QKEp97/h9/trVbwCa8r4QbI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aGvLBAAAA2gAAAA8AAAAAAAAAAAAAAAAAmAIAAGRycy9kb3du&#10;cmV2LnhtbFBLBQYAAAAABAAEAPUAAACGAwAAAAA=&#10;" fillcolor="#828282" stroked="f">
                  <v:textbox inset="80mm,15mm,2mm">
                    <w:txbxContent>
                      <w:p w14:paraId="02643FC5" w14:textId="77777777" w:rsidR="00297F2E" w:rsidRPr="00FE1795" w:rsidRDefault="00297F2E" w:rsidP="00AB46DF">
                        <w:pPr>
                          <w:rPr>
                            <w:color w:val="57433E"/>
                            <w:sz w:val="68"/>
                          </w:rPr>
                        </w:pPr>
                        <w:r w:rsidRPr="00FE1795">
                          <w:rPr>
                            <w:color w:val="FFFFFF"/>
                            <w:sz w:val="68"/>
                          </w:rPr>
                          <w:t xml:space="preserve">CEPT Report </w:t>
                        </w:r>
                        <w:r>
                          <w:rPr>
                            <w:color w:val="D2232A"/>
                            <w:sz w:val="68"/>
                          </w:rPr>
                          <w:t>67</w:t>
                        </w:r>
                      </w:p>
                    </w:txbxContent>
                  </v:textbox>
                </v:shape>
                <v:group id="Group 36" o:spid="_x0000_s1029"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30" o:spid="_x0000_s1030"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akJMIAAADbAAAADwAAAGRycy9kb3ducmV2LnhtbERPTWvCQBC9C/6HZYTedBNLQ0xdRaSh&#10;rfRSbfE6ZKdJMDsbdldN/323IHibx/uc5XownbiQ861lBeksAUFcWd1yreDrUE5zED4ga+wsk4Jf&#10;8rBejUdLLLS98idd9qEWMYR9gQqaEPpCSl81ZNDPbE8cuR/rDIYIXS21w2sMN52cJ0kmDbYcGxrs&#10;adtQddqfjYLX/OMlO1aLdocuy7/L8/tx9/ik1MNk2DyDCDSEu/jmftNxfgr/v8Q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KakJMIAAADbAAAADwAAAAAAAAAAAAAA&#10;AAChAgAAZHJzL2Rvd25yZXYueG1sUEsFBgAAAAAEAAQA+QAAAJADAAAAAA==&#10;" strokecolor="#d2232a" strokeweight="15pt"/>
                  <v:line id="Line 31" o:spid="_x0000_s1031"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tb4bwAAADbAAAADwAAAGRycy9kb3ducmV2LnhtbERPSwrCMBDdC94hjOBOUwVFqlFEEHTl&#10;f+FubMa22kxKE7Xe3giCu3m870xmtSnEkyqXW1bQ60YgiBOrc04VHA/LzgiE88gaC8uk4E0OZtNm&#10;Y4Kxti/e0XPvUxFC2MWoIPO+jKV0SUYGXdeWxIG72sqgD7BKpa7wFcJNIftRNJQGcw4NGZa0yCi5&#10;7x9GAV3odLsS4XYwPA9M+pbrpdso1W7V8zEIT7X/i3/ulQ7z+/D9JRwgpx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Whtb4bwAAADbAAAADwAAAAAAAAAAAAAAAAChAgAA&#10;ZHJzL2Rvd25yZXYueG1sUEsFBgAAAAAEAAQA+QAAAIoDAAAAAA==&#10;" strokecolor="#d2232a" strokeweight="15pt"/>
                  <v:line id="Line 32" o:spid="_x0000_s1032" style="position:absolute;rotation:-45;flip:x;visibility:visible;mso-wrap-style:squar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OEGsMAAADbAAAADwAAAGRycy9kb3ducmV2LnhtbERPTWvCQBC9C/0PyxR6EbOxQikxq1ih&#10;pR4KRkU8DtkxCc3OprtrjP++KxR6m8f7nHw5mFb05HxjWcE0SUEQl1Y3XCk47N8nryB8QNbYWiYF&#10;N/KwXDyMcsy0vXJB/S5UIoawz1BBHUKXSenLmgz6xHbEkTtbZzBE6CqpHV5juGnlc5q+SIMNx4Ya&#10;O1rXVH7vLkbBxf2g+xi/4XF7XIX2NCs2/Veh1NPjsJqDCDSEf/Gf+1PH+TO4/xIP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DhBrDAAAA2wAAAA8AAAAAAAAAAAAA&#10;AAAAoQIAAGRycy9kb3ducmV2LnhtbFBLBQYAAAAABAAEAPkAAACRAwAAAAA=&#10;" strokecolor="white" strokeweight="15pt"/>
                  <v:line id="Line 33" o:spid="_x0000_s1033" style="position:absolute;rotation:-45;flip:x;visibility:visible;mso-wrap-style:squar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ocbsIAAADbAAAADwAAAGRycy9kb3ducmV2LnhtbERPS2vCQBC+F/wPywi9FN30gUh0FRUU&#10;PRQaFfE4ZMckmJ1Nd9eY/nu3UOhtPr7nTOedqUVLzleWFbwOExDEudUVFwqOh/VgDMIHZI21ZVLw&#10;Qx7ms97TFFNt75xRuw+FiCHsU1RQhtCkUvq8JIN+aBviyF2sMxgidIXUDu8x3NTyLUlG0mDFsaHE&#10;hlYl5df9zSi4uW90m5clnr5Oi1Cf37Nd+5kp9dzvFhMQgbrwL/5zb3Wc/wG/v8Q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OocbsIAAADbAAAADwAAAAAAAAAAAAAA&#10;AAChAgAAZHJzL2Rvd25yZXYueG1sUEsFBgAAAAAEAAQA+QAAAJADAAAAAA==&#10;" strokecolor="white" strokeweight="15pt"/>
                  <v:line id="Line 34" o:spid="_x0000_s1034"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8cIAAADbAAAADwAAAGRycy9kb3ducmV2LnhtbERPTWvCQBC9F/wPywje6sYWi02zESlY&#10;FNpDovQ8ZKfZYHY2ZtcY/323UPA2j/c52Xq0rRio941jBYt5AoK4crrhWsHxsH1cgfABWWPrmBTc&#10;yMM6nzxkmGp35YKGMtQihrBPUYEJoUul9JUhi37uOuLI/bjeYoiwr6Xu8RrDbSufkuRFWmw4Nhjs&#10;6N1QdSovVsH+9VIcvszz8rz4/uiGIsHtZ3FWajYdN28gAo3hLv5373Scv4S/X+IBMv8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Z++8cIAAADbAAAADwAAAAAAAAAAAAAA&#10;AAChAgAAZHJzL2Rvd25yZXYueG1sUEsFBgAAAAAEAAQA+QAAAJADAAAAAA==&#10;" strokecolor="#828282" strokeweight="15.5pt"/>
                </v:group>
              </v:group>
            </w:pict>
          </mc:Fallback>
        </mc:AlternateContent>
      </w:r>
    </w:p>
    <w:p w14:paraId="10123F3C" w14:textId="77777777" w:rsidR="00AB46DF" w:rsidRPr="008D2A17" w:rsidRDefault="00AB46DF" w:rsidP="00AB46DF">
      <w:pPr>
        <w:jc w:val="center"/>
        <w:rPr>
          <w:b/>
          <w:sz w:val="24"/>
          <w:lang w:val="en-GB"/>
        </w:rPr>
      </w:pPr>
    </w:p>
    <w:p w14:paraId="27109FBD" w14:textId="77777777" w:rsidR="00AB46DF" w:rsidRPr="008D2A17" w:rsidRDefault="00AB46DF" w:rsidP="00AB46DF">
      <w:pPr>
        <w:jc w:val="center"/>
        <w:rPr>
          <w:b/>
          <w:sz w:val="24"/>
          <w:lang w:val="en-GB"/>
        </w:rPr>
      </w:pPr>
    </w:p>
    <w:p w14:paraId="43CCDF51" w14:textId="77777777" w:rsidR="00AB46DF" w:rsidRPr="008D2A17" w:rsidRDefault="00AB46DF" w:rsidP="00AB46DF">
      <w:pPr>
        <w:jc w:val="center"/>
        <w:rPr>
          <w:b/>
          <w:sz w:val="24"/>
          <w:lang w:val="en-GB"/>
        </w:rPr>
      </w:pPr>
    </w:p>
    <w:p w14:paraId="259FEF1C" w14:textId="77777777" w:rsidR="00AB46DF" w:rsidRPr="008D2A17" w:rsidRDefault="00AB46DF" w:rsidP="00AB46DF">
      <w:pPr>
        <w:jc w:val="center"/>
        <w:rPr>
          <w:b/>
          <w:sz w:val="24"/>
          <w:lang w:val="en-GB"/>
        </w:rPr>
      </w:pPr>
    </w:p>
    <w:p w14:paraId="03A4BFFF" w14:textId="77777777" w:rsidR="00AB46DF" w:rsidRPr="008D2A17" w:rsidRDefault="00AB46DF" w:rsidP="00AB46DF">
      <w:pPr>
        <w:jc w:val="center"/>
        <w:rPr>
          <w:b/>
          <w:sz w:val="24"/>
          <w:lang w:val="en-GB"/>
        </w:rPr>
      </w:pPr>
    </w:p>
    <w:p w14:paraId="62663D4D" w14:textId="77777777" w:rsidR="00AB46DF" w:rsidRPr="008D2A17" w:rsidRDefault="00AB46DF" w:rsidP="00AB46DF">
      <w:pPr>
        <w:jc w:val="center"/>
        <w:rPr>
          <w:b/>
          <w:sz w:val="24"/>
          <w:lang w:val="en-GB"/>
        </w:rPr>
      </w:pPr>
    </w:p>
    <w:p w14:paraId="074A9E80" w14:textId="77777777" w:rsidR="00AB46DF" w:rsidRPr="008D2A17" w:rsidRDefault="00AB46DF" w:rsidP="00AB46DF">
      <w:pPr>
        <w:jc w:val="center"/>
        <w:rPr>
          <w:b/>
          <w:sz w:val="24"/>
          <w:lang w:val="en-GB"/>
        </w:rPr>
      </w:pPr>
    </w:p>
    <w:p w14:paraId="54AF3AB6" w14:textId="77777777" w:rsidR="00AB46DF" w:rsidRPr="008D2A17" w:rsidRDefault="00AB46DF" w:rsidP="00AB46DF">
      <w:pPr>
        <w:jc w:val="center"/>
        <w:rPr>
          <w:b/>
          <w:sz w:val="24"/>
          <w:lang w:val="en-GB"/>
        </w:rPr>
      </w:pPr>
    </w:p>
    <w:p w14:paraId="616C4A62" w14:textId="77777777" w:rsidR="00AB46DF" w:rsidRPr="008D2A17" w:rsidRDefault="00AB46DF" w:rsidP="00AB46DF">
      <w:pPr>
        <w:jc w:val="center"/>
        <w:rPr>
          <w:b/>
          <w:sz w:val="24"/>
          <w:lang w:val="en-GB"/>
        </w:rPr>
      </w:pPr>
    </w:p>
    <w:p w14:paraId="126E6B85" w14:textId="77777777" w:rsidR="00AB46DF" w:rsidRPr="008D2A17" w:rsidRDefault="00AB46DF" w:rsidP="00AB46DF">
      <w:pPr>
        <w:jc w:val="center"/>
        <w:rPr>
          <w:b/>
          <w:sz w:val="24"/>
          <w:lang w:val="en-GB"/>
        </w:rPr>
      </w:pPr>
    </w:p>
    <w:p w14:paraId="311F7F98" w14:textId="77777777" w:rsidR="00AB46DF" w:rsidRPr="008D2A17" w:rsidRDefault="00AB46DF" w:rsidP="00761B79">
      <w:pPr>
        <w:jc w:val="right"/>
        <w:rPr>
          <w:b/>
          <w:sz w:val="24"/>
          <w:lang w:val="en-GB"/>
        </w:rPr>
      </w:pPr>
    </w:p>
    <w:p w14:paraId="206EBF7D" w14:textId="77777777" w:rsidR="00AB46DF" w:rsidRPr="008D2A17" w:rsidRDefault="00AB46DF" w:rsidP="00AB46DF">
      <w:pPr>
        <w:jc w:val="center"/>
        <w:rPr>
          <w:b/>
          <w:sz w:val="24"/>
          <w:lang w:val="en-GB"/>
        </w:rPr>
      </w:pPr>
    </w:p>
    <w:p w14:paraId="53B4ED02" w14:textId="77777777" w:rsidR="00AB46DF" w:rsidRPr="008D2A17" w:rsidRDefault="00A62B40" w:rsidP="00AB46DF">
      <w:pPr>
        <w:pStyle w:val="Reporttitledescription"/>
        <w:rPr>
          <w:lang w:val="en-GB"/>
        </w:rPr>
      </w:pPr>
      <w:r w:rsidRPr="008D2A17">
        <w:rPr>
          <w:lang w:val="en-GB"/>
        </w:rPr>
        <w:fldChar w:fldCharType="begin">
          <w:ffData>
            <w:name w:val="Text7"/>
            <w:enabled/>
            <w:calcOnExit w:val="0"/>
            <w:textInput>
              <w:default w:val="Report A from CEPT to the European Commission in response to the Mandate "/>
            </w:textInput>
          </w:ffData>
        </w:fldChar>
      </w:r>
      <w:bookmarkStart w:id="0" w:name="Text7"/>
      <w:r w:rsidRPr="008D2A17">
        <w:rPr>
          <w:lang w:val="en-GB"/>
        </w:rPr>
        <w:instrText xml:space="preserve"> FORMTEXT </w:instrText>
      </w:r>
      <w:r w:rsidRPr="008D2A17">
        <w:rPr>
          <w:lang w:val="en-GB"/>
        </w:rPr>
      </w:r>
      <w:r w:rsidRPr="008D2A17">
        <w:rPr>
          <w:lang w:val="en-GB"/>
        </w:rPr>
        <w:fldChar w:fldCharType="separate"/>
      </w:r>
      <w:r w:rsidR="00CB2C51">
        <w:rPr>
          <w:noProof/>
          <w:lang w:val="en-GB"/>
        </w:rPr>
        <w:t xml:space="preserve">Report A from CEPT to the European Commission in response to the Mandate </w:t>
      </w:r>
      <w:r w:rsidRPr="008D2A17">
        <w:rPr>
          <w:lang w:val="en-GB"/>
        </w:rPr>
        <w:fldChar w:fldCharType="end"/>
      </w:r>
      <w:bookmarkEnd w:id="0"/>
      <w:r w:rsidR="003C3EE4" w:rsidRPr="008D2A17">
        <w:rPr>
          <w:lang w:val="en-GB"/>
        </w:rPr>
        <w:t xml:space="preserve"> </w:t>
      </w:r>
    </w:p>
    <w:p w14:paraId="5EF55452" w14:textId="77777777" w:rsidR="006F5883" w:rsidRPr="008D2A17" w:rsidRDefault="00A62B40" w:rsidP="00AB46DF">
      <w:pPr>
        <w:pStyle w:val="Reporttitledescription"/>
        <w:rPr>
          <w:lang w:val="en-GB"/>
        </w:rPr>
      </w:pPr>
      <w:r w:rsidRPr="008D2A17">
        <w:rPr>
          <w:lang w:val="en-GB"/>
        </w:rPr>
        <w:t>“</w:t>
      </w:r>
      <w:proofErr w:type="gramStart"/>
      <w:r w:rsidRPr="008D2A17">
        <w:rPr>
          <w:lang w:val="en-GB"/>
        </w:rPr>
        <w:t>to</w:t>
      </w:r>
      <w:proofErr w:type="gramEnd"/>
      <w:r w:rsidRPr="008D2A17">
        <w:rPr>
          <w:lang w:val="en-GB"/>
        </w:rPr>
        <w:t xml:space="preserve"> develop harmonised technical conditions for spectrum use in support of the introduction of next-generation (5G) terrestrial wireless systems in the Union”</w:t>
      </w:r>
    </w:p>
    <w:p w14:paraId="04B0AB87" w14:textId="77777777" w:rsidR="00351960" w:rsidRPr="008D2A17" w:rsidRDefault="00351960" w:rsidP="00AB46DF">
      <w:pPr>
        <w:pStyle w:val="Reporttitledescription"/>
        <w:rPr>
          <w:lang w:val="en-GB"/>
        </w:rPr>
      </w:pPr>
      <w:r w:rsidRPr="008D2A17">
        <w:rPr>
          <w:lang w:val="en-GB"/>
        </w:rPr>
        <w:t>Review of the harmonised technical conditions applicable to the 3.4-3.8 GHz ('3.6 GHz') frequency band</w:t>
      </w:r>
    </w:p>
    <w:p w14:paraId="08B11670" w14:textId="1F015B18" w:rsidR="00AB46DF" w:rsidRPr="008D2A17" w:rsidRDefault="00A242AC" w:rsidP="00AB46DF">
      <w:pPr>
        <w:pStyle w:val="Reporttitledescription"/>
        <w:rPr>
          <w:b/>
          <w:sz w:val="18"/>
          <w:lang w:val="en-GB"/>
        </w:rPr>
      </w:pPr>
      <w:r>
        <w:rPr>
          <w:b/>
          <w:sz w:val="18"/>
          <w:lang w:val="en-GB"/>
        </w:rPr>
        <w:fldChar w:fldCharType="begin">
          <w:ffData>
            <w:name w:val="Text8"/>
            <w:enabled/>
            <w:calcOnExit w:val="0"/>
            <w:textInput>
              <w:default w:val="Report approved on 6 July 2018 by the ECC"/>
            </w:textInput>
          </w:ffData>
        </w:fldChar>
      </w:r>
      <w:r>
        <w:rPr>
          <w:b/>
          <w:sz w:val="18"/>
          <w:lang w:val="en-GB"/>
        </w:rPr>
        <w:instrText xml:space="preserve"> </w:instrText>
      </w:r>
      <w:bookmarkStart w:id="1" w:name="Text8"/>
      <w:r>
        <w:rPr>
          <w:b/>
          <w:sz w:val="18"/>
          <w:lang w:val="en-GB"/>
        </w:rPr>
        <w:instrText xml:space="preserve">FORMTEXT </w:instrText>
      </w:r>
      <w:r>
        <w:rPr>
          <w:b/>
          <w:sz w:val="18"/>
          <w:lang w:val="en-GB"/>
        </w:rPr>
      </w:r>
      <w:r>
        <w:rPr>
          <w:b/>
          <w:sz w:val="18"/>
          <w:lang w:val="en-GB"/>
        </w:rPr>
        <w:fldChar w:fldCharType="separate"/>
      </w:r>
      <w:r>
        <w:rPr>
          <w:b/>
          <w:noProof/>
          <w:sz w:val="18"/>
          <w:lang w:val="en-GB"/>
        </w:rPr>
        <w:t>Report approved on 6 July 2018 by the ECC</w:t>
      </w:r>
      <w:r>
        <w:rPr>
          <w:b/>
          <w:sz w:val="18"/>
          <w:lang w:val="en-GB"/>
        </w:rPr>
        <w:fldChar w:fldCharType="end"/>
      </w:r>
      <w:bookmarkEnd w:id="1"/>
      <w:r w:rsidR="00512677" w:rsidRPr="008D2A17">
        <w:rPr>
          <w:b/>
          <w:sz w:val="18"/>
          <w:lang w:val="en-GB"/>
        </w:rPr>
        <w:tab/>
      </w:r>
    </w:p>
    <w:p w14:paraId="18D7BCB1" w14:textId="77777777" w:rsidR="00AB46DF" w:rsidRPr="008D2A17" w:rsidRDefault="002E3A6C" w:rsidP="00AB46DF">
      <w:pPr>
        <w:pStyle w:val="Lastupdated"/>
        <w:rPr>
          <w:b/>
          <w:lang w:val="en-GB"/>
        </w:rPr>
      </w:pPr>
      <w:r w:rsidRPr="008D2A17">
        <w:rPr>
          <w:b/>
          <w:lang w:val="en-GB"/>
        </w:rPr>
        <w:fldChar w:fldCharType="begin">
          <w:ffData>
            <w:name w:val="Text3"/>
            <w:enabled/>
            <w:calcOnExit w:val="0"/>
            <w:textInput/>
          </w:ffData>
        </w:fldChar>
      </w:r>
      <w:bookmarkStart w:id="2" w:name="Text3"/>
      <w:r w:rsidRPr="008D2A17">
        <w:rPr>
          <w:b/>
          <w:lang w:val="en-GB"/>
        </w:rPr>
        <w:instrText xml:space="preserve"> FORMTEXT </w:instrText>
      </w:r>
      <w:r w:rsidRPr="008D2A17">
        <w:rPr>
          <w:b/>
          <w:lang w:val="en-GB"/>
        </w:rPr>
      </w:r>
      <w:r w:rsidRPr="008D2A17">
        <w:rPr>
          <w:b/>
          <w:lang w:val="en-GB"/>
        </w:rPr>
        <w:fldChar w:fldCharType="separate"/>
      </w:r>
      <w:r w:rsidR="00CB2C51">
        <w:rPr>
          <w:b/>
          <w:noProof/>
          <w:lang w:val="en-GB"/>
        </w:rPr>
        <w:t> </w:t>
      </w:r>
      <w:r w:rsidR="00CB2C51">
        <w:rPr>
          <w:b/>
          <w:noProof/>
          <w:lang w:val="en-GB"/>
        </w:rPr>
        <w:t> </w:t>
      </w:r>
      <w:r w:rsidR="00CB2C51">
        <w:rPr>
          <w:b/>
          <w:noProof/>
          <w:lang w:val="en-GB"/>
        </w:rPr>
        <w:t> </w:t>
      </w:r>
      <w:r w:rsidR="00CB2C51">
        <w:rPr>
          <w:b/>
          <w:noProof/>
          <w:lang w:val="en-GB"/>
        </w:rPr>
        <w:t> </w:t>
      </w:r>
      <w:r w:rsidR="00CB2C51">
        <w:rPr>
          <w:b/>
          <w:noProof/>
          <w:lang w:val="en-GB"/>
        </w:rPr>
        <w:t> </w:t>
      </w:r>
      <w:r w:rsidRPr="008D2A17">
        <w:rPr>
          <w:b/>
          <w:lang w:val="en-GB"/>
        </w:rPr>
        <w:fldChar w:fldCharType="end"/>
      </w:r>
      <w:bookmarkEnd w:id="2"/>
    </w:p>
    <w:p w14:paraId="276E960A" w14:textId="77777777" w:rsidR="00AB46DF" w:rsidRPr="008D2A17" w:rsidRDefault="00AB46DF">
      <w:pPr>
        <w:rPr>
          <w:lang w:val="en-GB"/>
        </w:rPr>
        <w:sectPr w:rsidR="00AB46DF" w:rsidRPr="008D2A17">
          <w:headerReference w:type="first" r:id="rId9"/>
          <w:pgSz w:w="11907" w:h="16840" w:code="9"/>
          <w:pgMar w:top="1440" w:right="1134" w:bottom="1440" w:left="1134" w:header="709" w:footer="709" w:gutter="0"/>
          <w:cols w:space="708"/>
          <w:titlePg/>
          <w:docGrid w:linePitch="360"/>
        </w:sectPr>
      </w:pPr>
    </w:p>
    <w:p w14:paraId="587EB8E6" w14:textId="77777777" w:rsidR="00AB46DF" w:rsidRPr="008D2A17" w:rsidRDefault="003C3EE4" w:rsidP="00381B4F">
      <w:pPr>
        <w:pStyle w:val="Heading1"/>
      </w:pPr>
      <w:bookmarkStart w:id="3" w:name="_Toc514428321"/>
      <w:bookmarkStart w:id="4" w:name="_Toc507766084"/>
      <w:r w:rsidRPr="008D2A17">
        <w:lastRenderedPageBreak/>
        <w:t>Executive summary</w:t>
      </w:r>
      <w:bookmarkEnd w:id="3"/>
      <w:bookmarkEnd w:id="4"/>
    </w:p>
    <w:p w14:paraId="10884366" w14:textId="77777777" w:rsidR="00B46BF8" w:rsidRPr="008D2A17" w:rsidRDefault="00B46BF8" w:rsidP="00B46BF8">
      <w:pPr>
        <w:pStyle w:val="ECCParagraph"/>
      </w:pPr>
      <w:r w:rsidRPr="008D2A17">
        <w:t>Due to its favourable properties, such as radio wave propagation and available bandwidth, the frequency band 3400-3800</w:t>
      </w:r>
      <w:r w:rsidR="00AB2111" w:rsidRPr="008D2A17">
        <w:t> MHz</w:t>
      </w:r>
      <w:r w:rsidRPr="008D2A17">
        <w:t xml:space="preserve"> will be the primary spectrum band for the introduction of 5G WBB ECS systems based on TDD mode in Europe.</w:t>
      </w:r>
    </w:p>
    <w:p w14:paraId="568E4C7C" w14:textId="77777777" w:rsidR="00B46BF8" w:rsidRPr="008D2A17" w:rsidRDefault="00B46BF8" w:rsidP="00B46BF8">
      <w:pPr>
        <w:pStyle w:val="ECCParagraph"/>
      </w:pPr>
      <w:r w:rsidRPr="008D2A17">
        <w:t xml:space="preserve">The European Commission issued a mandate to the CEPT to review the harmonised technical conditions applicable to the </w:t>
      </w:r>
      <w:r w:rsidRPr="008D2A17">
        <w:rPr>
          <w:b/>
        </w:rPr>
        <w:t>3400-3800</w:t>
      </w:r>
      <w:r w:rsidR="00AB2111" w:rsidRPr="008D2A17">
        <w:rPr>
          <w:b/>
        </w:rPr>
        <w:t> MHz</w:t>
      </w:r>
      <w:r w:rsidRPr="008D2A17">
        <w:rPr>
          <w:b/>
        </w:rPr>
        <w:t xml:space="preserve"> frequency band, as a 5G pioneer band</w:t>
      </w:r>
      <w:r w:rsidRPr="008D2A17">
        <w:t xml:space="preserve">, with </w:t>
      </w:r>
      <w:r w:rsidR="00351960" w:rsidRPr="008D2A17">
        <w:t xml:space="preserve">a </w:t>
      </w:r>
      <w:r w:rsidRPr="008D2A17">
        <w:t>view to their suitability for 5G terrestrial wireless systems.</w:t>
      </w:r>
    </w:p>
    <w:p w14:paraId="2C19263C" w14:textId="047639FE" w:rsidR="00B46BF8" w:rsidRPr="008D2A17" w:rsidRDefault="00B46BF8" w:rsidP="00B46BF8">
      <w:pPr>
        <w:pStyle w:val="ECCParagraph"/>
      </w:pPr>
      <w:r w:rsidRPr="008D2A17">
        <w:t xml:space="preserve">This report forms the response to this mandate and provides recommendations to update the existing regulatory framework in EC Decision 2014/276/EU </w:t>
      </w:r>
      <w:r w:rsidR="00CB2C51">
        <w:fldChar w:fldCharType="begin"/>
      </w:r>
      <w:r w:rsidR="00CB2C51">
        <w:instrText xml:space="preserve"> REF _Ref514428317 \r \h </w:instrText>
      </w:r>
      <w:r w:rsidR="00CB2C51">
        <w:fldChar w:fldCharType="separate"/>
      </w:r>
      <w:r w:rsidR="00FA5407">
        <w:t>[1]</w:t>
      </w:r>
      <w:r w:rsidR="00CB2C51">
        <w:fldChar w:fldCharType="end"/>
      </w:r>
      <w:r w:rsidR="0094535F" w:rsidRPr="008D2A17">
        <w:t xml:space="preserve"> </w:t>
      </w:r>
      <w:r w:rsidRPr="008D2A17">
        <w:t xml:space="preserve">focussing on the use of Active Antenna Systems (AAS) envisaged for 5G. </w:t>
      </w:r>
    </w:p>
    <w:p w14:paraId="5BDCA8EE" w14:textId="77777777" w:rsidR="00B46BF8" w:rsidRPr="008D2A17" w:rsidRDefault="00B46BF8" w:rsidP="00B46BF8">
      <w:pPr>
        <w:pStyle w:val="ECCParagraph"/>
      </w:pPr>
      <w:r w:rsidRPr="008D2A17">
        <w:t>When reviewing the applicability of the current regulatory framework for 5G, CEPT identified that:</w:t>
      </w:r>
    </w:p>
    <w:p w14:paraId="3B49AA32" w14:textId="77777777" w:rsidR="00A62B40" w:rsidRPr="008D2A17" w:rsidRDefault="00A62B40" w:rsidP="00B46BF8">
      <w:pPr>
        <w:pStyle w:val="ECCBulletsLv1"/>
      </w:pPr>
      <w:r w:rsidRPr="008D2A17">
        <w:t>There is no need to maintain FDD frequency arrangement. Moreover, the frequency separation at 3.6 GHz for the TDD frequency arrangement</w:t>
      </w:r>
      <w:r w:rsidR="00DF4065" w:rsidRPr="008D2A17">
        <w:t xml:space="preserve"> </w:t>
      </w:r>
      <w:r w:rsidRPr="008D2A17">
        <w:t xml:space="preserve">is no </w:t>
      </w:r>
      <w:r w:rsidR="00351960" w:rsidRPr="008D2A17">
        <w:t xml:space="preserve">longer </w:t>
      </w:r>
      <w:r w:rsidRPr="008D2A17">
        <w:t>needed;</w:t>
      </w:r>
    </w:p>
    <w:p w14:paraId="1413240C" w14:textId="121058BA" w:rsidR="00A62B40" w:rsidRPr="008D2A17" w:rsidRDefault="00A62B40" w:rsidP="00B46BF8">
      <w:pPr>
        <w:pStyle w:val="ECCBulletsLv1"/>
      </w:pPr>
      <w:r w:rsidRPr="008D2A17">
        <w:t xml:space="preserve">The proposed frequency arrangement will facilitate availability of larger contiguous frequency blocks </w:t>
      </w:r>
      <w:r w:rsidR="001053BD" w:rsidRPr="008D2A17">
        <w:t xml:space="preserve">to enable </w:t>
      </w:r>
      <w:r w:rsidRPr="008D2A17">
        <w:t xml:space="preserve">5G. Accounting for the need for large contiguous portions of spectrum to be made available for 5G, there </w:t>
      </w:r>
      <w:r w:rsidR="00120D37" w:rsidRPr="008D2A17">
        <w:t>may be a</w:t>
      </w:r>
      <w:r w:rsidRPr="008D2A17">
        <w:t xml:space="preserve"> need to reorganise and defragment the band. CEPT is now developing guidelines / best practices for </w:t>
      </w:r>
      <w:r w:rsidR="00EA1D94" w:rsidRPr="008D2A17">
        <w:t>A</w:t>
      </w:r>
      <w:r w:rsidRPr="008D2A17">
        <w:t xml:space="preserve">dministrations suggesting ways to facilitate availability of </w:t>
      </w:r>
      <w:r w:rsidR="00E879DA" w:rsidRPr="008D2A17">
        <w:t xml:space="preserve">the </w:t>
      </w:r>
      <w:r w:rsidRPr="008D2A17">
        <w:t>largest possible contiguous portions of spectrum.</w:t>
      </w:r>
    </w:p>
    <w:p w14:paraId="3D5A98B5" w14:textId="77777777" w:rsidR="00A62B40" w:rsidRPr="008D2A17" w:rsidRDefault="00A62B40" w:rsidP="00297F2E">
      <w:pPr>
        <w:pStyle w:val="ECCBulletsLv1"/>
        <w:numPr>
          <w:ilvl w:val="0"/>
          <w:numId w:val="0"/>
        </w:numPr>
      </w:pPr>
      <w:r w:rsidRPr="008D2A17">
        <w:t xml:space="preserve">Moreover, </w:t>
      </w:r>
    </w:p>
    <w:p w14:paraId="57A12202" w14:textId="77777777" w:rsidR="00B46BF8" w:rsidRPr="008D2A17" w:rsidRDefault="00B46BF8" w:rsidP="00B46BF8">
      <w:pPr>
        <w:pStyle w:val="ECCBulletsLv1"/>
      </w:pPr>
      <w:r w:rsidRPr="008D2A17">
        <w:t>5G is expected to be commonly deployed leveraging AAS</w:t>
      </w:r>
      <w:r w:rsidR="00621F51" w:rsidRPr="008D2A17">
        <w:t>;</w:t>
      </w:r>
    </w:p>
    <w:p w14:paraId="5BA280CA" w14:textId="77777777" w:rsidR="00B46BF8" w:rsidRPr="008D2A17" w:rsidRDefault="00B46BF8" w:rsidP="00B46BF8">
      <w:pPr>
        <w:pStyle w:val="ECCBulletsLv1"/>
      </w:pPr>
      <w:r w:rsidRPr="008D2A17">
        <w:t>the current regulatory framework is not appropriate for AAS</w:t>
      </w:r>
      <w:r w:rsidR="00621F51" w:rsidRPr="008D2A17">
        <w:t>;</w:t>
      </w:r>
    </w:p>
    <w:p w14:paraId="0433ABF7" w14:textId="77777777" w:rsidR="00A62B40" w:rsidRPr="008D2A17" w:rsidRDefault="00A62B40" w:rsidP="00B46BF8">
      <w:pPr>
        <w:pStyle w:val="ECCBulletsLv1"/>
      </w:pPr>
      <w:r w:rsidRPr="008D2A17">
        <w:t>there is a need for additional BEM: 4G and 5G AAS BSs are similar from a compatibility standpoint and can be accommodated by a single set of LRTCs appropriate for AAS BSs</w:t>
      </w:r>
      <w:r w:rsidR="00621F51" w:rsidRPr="008D2A17">
        <w:t>;</w:t>
      </w:r>
    </w:p>
    <w:p w14:paraId="4D58C965" w14:textId="4168A64E" w:rsidR="00B46BF8" w:rsidRPr="008D2A17" w:rsidRDefault="00B46BF8" w:rsidP="00B46BF8">
      <w:pPr>
        <w:pStyle w:val="ECCBulletsLv1"/>
      </w:pPr>
      <w:r w:rsidRPr="008D2A17">
        <w:t>4G and 5G non-AAS BSs are similar from a compatibility standpoint and can be accommodated by a single set of LRTCs appropriate for non-AAS BSs</w:t>
      </w:r>
      <w:r w:rsidR="00FA36E3" w:rsidRPr="008D2A17">
        <w:t>.</w:t>
      </w:r>
    </w:p>
    <w:p w14:paraId="6232F70A" w14:textId="77777777" w:rsidR="00B46BF8" w:rsidRPr="008D2A17" w:rsidRDefault="00B46BF8" w:rsidP="00B46BF8">
      <w:pPr>
        <w:pStyle w:val="ECCParagraph"/>
      </w:pPr>
      <w:r w:rsidRPr="008D2A17">
        <w:t>Therefore, CEPT concluded that in order not to restrict 5G to only non-AAS deployment, it was necessary to extend the current regulatory framework with a set of LRTCs appropriate for AAS BSs</w:t>
      </w:r>
      <w:r w:rsidR="00FA36E3" w:rsidRPr="008D2A17">
        <w:t xml:space="preserve"> as described in Annex </w:t>
      </w:r>
      <w:r w:rsidR="00AE78D1" w:rsidRPr="008D2A17">
        <w:t>2</w:t>
      </w:r>
      <w:r w:rsidRPr="008D2A17">
        <w:t>.</w:t>
      </w:r>
    </w:p>
    <w:p w14:paraId="583C222F" w14:textId="77777777" w:rsidR="00B46BF8" w:rsidRPr="008D2A17" w:rsidRDefault="00B46BF8" w:rsidP="00B46BF8">
      <w:pPr>
        <w:pStyle w:val="ECCParagraph"/>
        <w:rPr>
          <w:lang w:eastAsia="de-DE"/>
        </w:rPr>
      </w:pPr>
      <w:r w:rsidRPr="008D2A17">
        <w:rPr>
          <w:lang w:eastAsia="de-DE"/>
        </w:rPr>
        <w:t>The following considerations are taken into account in the assessment of the existing framework.</w:t>
      </w:r>
    </w:p>
    <w:p w14:paraId="15F83FF7" w14:textId="77777777" w:rsidR="00B46BF8" w:rsidRPr="008D2A17" w:rsidRDefault="00B46BF8" w:rsidP="0062167A">
      <w:pPr>
        <w:pStyle w:val="ECCNumberedBullets"/>
        <w:numPr>
          <w:ilvl w:val="0"/>
          <w:numId w:val="10"/>
        </w:numPr>
        <w:spacing w:after="240"/>
        <w:jc w:val="both"/>
        <w:rPr>
          <w:lang w:val="en-GB"/>
        </w:rPr>
      </w:pPr>
      <w:r w:rsidRPr="008D2A17">
        <w:rPr>
          <w:lang w:val="en-GB"/>
        </w:rPr>
        <w:t>In-block radiated power limits</w:t>
      </w:r>
    </w:p>
    <w:p w14:paraId="6FBAA6DE" w14:textId="408DC964" w:rsidR="00B46BF8" w:rsidRPr="008D2A17" w:rsidRDefault="0094535F" w:rsidP="00B46BF8">
      <w:pPr>
        <w:pStyle w:val="ECCParagraph"/>
        <w:ind w:firstLine="340"/>
      </w:pPr>
      <w:r w:rsidRPr="008D2A17">
        <w:t xml:space="preserve">ECC Decision (11)06 </w:t>
      </w:r>
      <w:r w:rsidR="00205579">
        <w:fldChar w:fldCharType="begin"/>
      </w:r>
      <w:r w:rsidR="00205579">
        <w:instrText xml:space="preserve"> REF _Ref500924972 \r \h </w:instrText>
      </w:r>
      <w:r w:rsidR="00205579">
        <w:fldChar w:fldCharType="separate"/>
      </w:r>
      <w:r w:rsidR="00FA5407">
        <w:t>[2]</w:t>
      </w:r>
      <w:r w:rsidR="00205579">
        <w:fldChar w:fldCharType="end"/>
      </w:r>
      <w:r w:rsidRPr="008D2A17">
        <w:t xml:space="preserve"> </w:t>
      </w:r>
      <w:r w:rsidR="00B46BF8" w:rsidRPr="008D2A17">
        <w:t>and EC Decision 2014/276/EU</w:t>
      </w:r>
      <w:r w:rsidRPr="008D2A17">
        <w:t xml:space="preserve"> </w:t>
      </w:r>
      <w:r w:rsidR="00CB2C51">
        <w:fldChar w:fldCharType="begin"/>
      </w:r>
      <w:r w:rsidR="00CB2C51">
        <w:instrText xml:space="preserve"> REF _Ref514428317 \r \h </w:instrText>
      </w:r>
      <w:r w:rsidR="00CB2C51">
        <w:fldChar w:fldCharType="separate"/>
      </w:r>
      <w:r w:rsidR="00FA5407">
        <w:t>[1]</w:t>
      </w:r>
      <w:r w:rsidR="00CB2C51">
        <w:fldChar w:fldCharType="end"/>
      </w:r>
      <w:r w:rsidR="00B46BF8" w:rsidRPr="008D2A17">
        <w:t xml:space="preserve"> specify</w:t>
      </w:r>
      <w:r w:rsidR="00B46BF8" w:rsidRPr="008D2A17">
        <w:rPr>
          <w:vertAlign w:val="superscript"/>
        </w:rPr>
        <w:footnoteReference w:id="2"/>
      </w:r>
      <w:r w:rsidR="00621F51" w:rsidRPr="008D2A17">
        <w:t>;</w:t>
      </w:r>
    </w:p>
    <w:p w14:paraId="66A07F11" w14:textId="142AD032" w:rsidR="00B46BF8" w:rsidRPr="008D2A17" w:rsidRDefault="00B46BF8" w:rsidP="00B46BF8">
      <w:pPr>
        <w:pStyle w:val="ECCBulletsLv1"/>
      </w:pPr>
      <w:r w:rsidRPr="008D2A17">
        <w:t xml:space="preserve">a maximum BS in-block EIRP of </w:t>
      </w:r>
      <w:r w:rsidRPr="008D2A17">
        <w:sym w:font="Symbol" w:char="00A3"/>
      </w:r>
      <w:r w:rsidRPr="008D2A17">
        <w:t xml:space="preserve"> 68 </w:t>
      </w:r>
      <w:r w:rsidR="00EA1D94" w:rsidRPr="008D2A17">
        <w:t>dBm/(5 MHz)</w:t>
      </w:r>
      <w:r w:rsidRPr="008D2A17">
        <w:t xml:space="preserve"> per antenna (non-mandatory)</w:t>
      </w:r>
      <w:r w:rsidR="00621F51" w:rsidRPr="008D2A17">
        <w:t>;</w:t>
      </w:r>
    </w:p>
    <w:p w14:paraId="3637A916" w14:textId="77777777" w:rsidR="00B46BF8" w:rsidRPr="008D2A17" w:rsidRDefault="00B46BF8" w:rsidP="00B46BF8">
      <w:pPr>
        <w:pStyle w:val="ECCBulletsLv1"/>
      </w:pPr>
      <w:proofErr w:type="gramStart"/>
      <w:r w:rsidRPr="008D2A17">
        <w:t>a</w:t>
      </w:r>
      <w:proofErr w:type="gramEnd"/>
      <w:r w:rsidRPr="008D2A17">
        <w:t xml:space="preserve"> maximum TS in-block TRP of 25 dBm.</w:t>
      </w:r>
    </w:p>
    <w:p w14:paraId="105E78C7" w14:textId="6F2A061E" w:rsidR="00B46BF8" w:rsidRPr="008D2A17" w:rsidRDefault="00F64EFB" w:rsidP="00B46BF8">
      <w:pPr>
        <w:pStyle w:val="ECCBulletsLv1"/>
        <w:numPr>
          <w:ilvl w:val="0"/>
          <w:numId w:val="0"/>
        </w:numPr>
        <w:ind w:left="360"/>
      </w:pPr>
      <w:r w:rsidRPr="008D2A17">
        <w:t xml:space="preserve">CEPT confirms that BS in-block EIRP is not </w:t>
      </w:r>
      <w:proofErr w:type="gramStart"/>
      <w:r w:rsidRPr="008D2A17">
        <w:t>mandatory,</w:t>
      </w:r>
      <w:proofErr w:type="gramEnd"/>
      <w:r w:rsidR="00D00B22" w:rsidRPr="008D2A17">
        <w:t xml:space="preserve"> </w:t>
      </w:r>
      <w:r w:rsidR="004D58C3" w:rsidRPr="008D2A17">
        <w:t>t</w:t>
      </w:r>
      <w:r w:rsidR="00D00B22" w:rsidRPr="008D2A17">
        <w:t>herefore</w:t>
      </w:r>
      <w:r w:rsidR="00D55BCA" w:rsidRPr="008D2A17">
        <w:t>,</w:t>
      </w:r>
      <w:r w:rsidRPr="008D2A17">
        <w:t xml:space="preserve"> there is no need to include a reference limit in the regulatory framework for </w:t>
      </w:r>
      <w:r w:rsidR="00EA1D94" w:rsidRPr="008D2A17">
        <w:t>either</w:t>
      </w:r>
      <w:r w:rsidRPr="008D2A17">
        <w:t xml:space="preserve"> non</w:t>
      </w:r>
      <w:r w:rsidR="00444A5C" w:rsidRPr="008D2A17">
        <w:t>-</w:t>
      </w:r>
      <w:r w:rsidRPr="008D2A17">
        <w:t xml:space="preserve">AAS </w:t>
      </w:r>
      <w:r w:rsidR="00EA1D94" w:rsidRPr="008D2A17">
        <w:t>or</w:t>
      </w:r>
      <w:r w:rsidRPr="008D2A17">
        <w:t xml:space="preserve"> AAS systems. </w:t>
      </w:r>
      <w:r w:rsidR="00EA1D94" w:rsidRPr="008D2A17">
        <w:t>Member States</w:t>
      </w:r>
      <w:r w:rsidRPr="008D2A17">
        <w:t xml:space="preserve"> wishing </w:t>
      </w:r>
      <w:r w:rsidRPr="008D2A17">
        <w:lastRenderedPageBreak/>
        <w:t>to include a limit in their authori</w:t>
      </w:r>
      <w:r w:rsidR="00EA1D94" w:rsidRPr="008D2A17">
        <w:t>s</w:t>
      </w:r>
      <w:r w:rsidRPr="008D2A17">
        <w:t xml:space="preserve">ation or to use a limit for coordination purpose may define such limits </w:t>
      </w:r>
      <w:r w:rsidR="004D58C3" w:rsidRPr="008D2A17">
        <w:t>on a national basis</w:t>
      </w:r>
      <w:r w:rsidRPr="008D2A17">
        <w:t>.</w:t>
      </w:r>
    </w:p>
    <w:p w14:paraId="6A301F76" w14:textId="77777777" w:rsidR="00B46BF8" w:rsidRPr="008D2A17" w:rsidRDefault="00B46BF8" w:rsidP="0062167A">
      <w:pPr>
        <w:pStyle w:val="ECCNumberedBullets"/>
        <w:numPr>
          <w:ilvl w:val="0"/>
          <w:numId w:val="10"/>
        </w:numPr>
        <w:spacing w:after="240"/>
        <w:jc w:val="both"/>
        <w:rPr>
          <w:lang w:val="en-GB"/>
        </w:rPr>
      </w:pPr>
      <w:r w:rsidRPr="008D2A17">
        <w:rPr>
          <w:lang w:val="en-GB"/>
        </w:rPr>
        <w:t xml:space="preserve">Out-of-block power limits - Interference between </w:t>
      </w:r>
      <w:r w:rsidR="00AE78D1" w:rsidRPr="008D2A17">
        <w:rPr>
          <w:lang w:val="en-GB"/>
        </w:rPr>
        <w:t>operators in adjacent blocks</w:t>
      </w:r>
    </w:p>
    <w:p w14:paraId="5333D8E5" w14:textId="632439D2" w:rsidR="00B46BF8" w:rsidRPr="008D2A17" w:rsidRDefault="0094535F" w:rsidP="00B46BF8">
      <w:pPr>
        <w:pStyle w:val="ECCParagraph"/>
        <w:ind w:left="340"/>
      </w:pPr>
      <w:r w:rsidRPr="008D2A17">
        <w:t xml:space="preserve">ECC Decision (11)06 </w:t>
      </w:r>
      <w:r w:rsidR="00205579">
        <w:fldChar w:fldCharType="begin"/>
      </w:r>
      <w:r w:rsidR="00205579">
        <w:instrText xml:space="preserve"> REF _Ref500924972 \r \h </w:instrText>
      </w:r>
      <w:r w:rsidR="00205579">
        <w:fldChar w:fldCharType="separate"/>
      </w:r>
      <w:r w:rsidR="00FA5407">
        <w:t>[2]</w:t>
      </w:r>
      <w:r w:rsidR="00205579">
        <w:fldChar w:fldCharType="end"/>
      </w:r>
      <w:r w:rsidRPr="008D2A17">
        <w:t xml:space="preserve"> and EC Decision 2014/276/EU </w:t>
      </w:r>
      <w:r w:rsidR="00CB2C51">
        <w:fldChar w:fldCharType="begin"/>
      </w:r>
      <w:r w:rsidR="00CB2C51">
        <w:instrText xml:space="preserve"> REF _Ref514428317 \r \h </w:instrText>
      </w:r>
      <w:r w:rsidR="00CB2C51">
        <w:fldChar w:fldCharType="separate"/>
      </w:r>
      <w:r w:rsidR="00FA5407">
        <w:t>[1]</w:t>
      </w:r>
      <w:r w:rsidR="00CB2C51">
        <w:fldChar w:fldCharType="end"/>
      </w:r>
      <w:r w:rsidRPr="008D2A17">
        <w:t xml:space="preserve"> specify </w:t>
      </w:r>
      <w:r w:rsidR="0075525E" w:rsidRPr="008D2A17">
        <w:t xml:space="preserve">out-of-block </w:t>
      </w:r>
      <w:r w:rsidR="00B46BF8" w:rsidRPr="008D2A17">
        <w:t>EIRP limits for “synchronous TDD” inside the band that are based on 3GPP spectrum emission masks (transmit powers), specified “per antenna”, and predicated on an assumed nominal antenna gain</w:t>
      </w:r>
      <w:r w:rsidR="00B46BF8" w:rsidRPr="008D2A17">
        <w:rPr>
          <w:rStyle w:val="FootnoteReference"/>
        </w:rPr>
        <w:footnoteReference w:id="3"/>
      </w:r>
      <w:r w:rsidR="00B46BF8" w:rsidRPr="008D2A17">
        <w:t xml:space="preserve">. The Decisions specify more stringent </w:t>
      </w:r>
      <w:r w:rsidR="0075525E" w:rsidRPr="008D2A17">
        <w:t>out-of-block</w:t>
      </w:r>
      <w:r w:rsidR="00B46BF8" w:rsidRPr="008D2A17">
        <w:t xml:space="preserve"> EIRP limits for unsynchronised TDD.</w:t>
      </w:r>
    </w:p>
    <w:p w14:paraId="071499AB" w14:textId="247896F3" w:rsidR="00B46BF8" w:rsidRPr="008D2A17" w:rsidRDefault="00B46BF8" w:rsidP="00B46BF8">
      <w:pPr>
        <w:pStyle w:val="ECCParagraph"/>
        <w:ind w:left="340"/>
      </w:pPr>
      <w:r w:rsidRPr="008D2A17">
        <w:t xml:space="preserve">It is important to assess whether these types of specifications for </w:t>
      </w:r>
      <w:r w:rsidR="0075525E" w:rsidRPr="008D2A17">
        <w:t>out-of-block</w:t>
      </w:r>
      <w:r w:rsidRPr="008D2A17">
        <w:t xml:space="preserve"> EIRP are applicable for AAS base stations</w:t>
      </w:r>
      <w:r w:rsidR="00110F55" w:rsidRPr="008D2A17">
        <w:t>.</w:t>
      </w:r>
    </w:p>
    <w:p w14:paraId="3C57EBBF" w14:textId="77777777" w:rsidR="00B46BF8" w:rsidRPr="008D2A17" w:rsidRDefault="00B46BF8" w:rsidP="0062167A">
      <w:pPr>
        <w:pStyle w:val="ECCNumberedBullets"/>
        <w:numPr>
          <w:ilvl w:val="0"/>
          <w:numId w:val="10"/>
        </w:numPr>
        <w:spacing w:after="240"/>
        <w:jc w:val="both"/>
        <w:rPr>
          <w:lang w:val="en-GB"/>
        </w:rPr>
      </w:pPr>
      <w:r w:rsidRPr="008D2A17">
        <w:rPr>
          <w:lang w:val="en-GB"/>
        </w:rPr>
        <w:t>Out-of-band (OOB) power limits - Interference to other services in adjacent bands</w:t>
      </w:r>
    </w:p>
    <w:p w14:paraId="13FBC1D3" w14:textId="2FF1648B" w:rsidR="00B46BF8" w:rsidRPr="008D2A17" w:rsidRDefault="00B46BF8" w:rsidP="00B46BF8">
      <w:pPr>
        <w:pStyle w:val="ECCParagraph"/>
        <w:ind w:left="340"/>
      </w:pPr>
      <w:r w:rsidRPr="008D2A17">
        <w:t>In order to continue to ensure protection of radar below 3400</w:t>
      </w:r>
      <w:r w:rsidR="00AB2111" w:rsidRPr="008D2A17">
        <w:t> MHz</w:t>
      </w:r>
      <w:r w:rsidRPr="008D2A17">
        <w:t xml:space="preserve"> the existing OOB EIRP limit needs to be reviewed in the context of AAS base station deployments</w:t>
      </w:r>
      <w:r w:rsidR="007E5CB8" w:rsidRPr="008D2A17">
        <w:t>.</w:t>
      </w:r>
    </w:p>
    <w:p w14:paraId="1E3C771B" w14:textId="5AAAEE54" w:rsidR="007E5CB8" w:rsidRPr="008D2A17" w:rsidRDefault="007E5CB8" w:rsidP="00EA1D94">
      <w:pPr>
        <w:pStyle w:val="ECCParagraph"/>
        <w:ind w:left="340"/>
      </w:pPr>
      <w:r w:rsidRPr="008D2A17">
        <w:t>For protection of FSS and FS above 3800 MHz in the context of non</w:t>
      </w:r>
      <w:r w:rsidR="00444A5C" w:rsidRPr="008D2A17">
        <w:t>-</w:t>
      </w:r>
      <w:r w:rsidRPr="008D2A17">
        <w:t>AAS system,</w:t>
      </w:r>
      <w:r w:rsidR="00AF2DD8" w:rsidRPr="008D2A17">
        <w:t xml:space="preserve"> for consistency, the inclusion of emission limits above 3800 MHz for non</w:t>
      </w:r>
      <w:r w:rsidR="00444A5C" w:rsidRPr="008D2A17">
        <w:t>-</w:t>
      </w:r>
      <w:r w:rsidR="00AF2DD8" w:rsidRPr="008D2A17">
        <w:t>AAS</w:t>
      </w:r>
      <w:r w:rsidR="00250318" w:rsidRPr="008D2A17">
        <w:t xml:space="preserve"> is recommended</w:t>
      </w:r>
      <w:r w:rsidR="00AF2DD8" w:rsidRPr="008D2A17">
        <w:t>, based on the baseline BEM, similarly to what has been done for AAS. It is noted that, even for existing WBB ECS authori</w:t>
      </w:r>
      <w:r w:rsidR="00B4183D">
        <w:t>s</w:t>
      </w:r>
      <w:r w:rsidR="00AF2DD8" w:rsidRPr="008D2A17">
        <w:t xml:space="preserve">ations, this does not bring any additional constraint since base stations are already complying with the baseline BEM. </w:t>
      </w:r>
      <w:r w:rsidRPr="008D2A17">
        <w:t>Coexistence above</w:t>
      </w:r>
      <w:r w:rsidR="002A1448" w:rsidRPr="008D2A17">
        <w:t xml:space="preserve"> 3800 MHz</w:t>
      </w:r>
      <w:r w:rsidRPr="008D2A17">
        <w:t xml:space="preserve"> could be managed on case by case basis as it is the case today (for example, by adding relevant filters to BS).  </w:t>
      </w:r>
    </w:p>
    <w:p w14:paraId="10B2181C" w14:textId="58F7577B" w:rsidR="00B46BF8" w:rsidRPr="008D2A17" w:rsidRDefault="00CB1FCB" w:rsidP="00B46BF8">
      <w:pPr>
        <w:pStyle w:val="ECCParagraph"/>
        <w:tabs>
          <w:tab w:val="left" w:pos="7233"/>
        </w:tabs>
      </w:pPr>
      <w:r w:rsidRPr="008D2A17">
        <w:t>In the conclusion of the CEPT studies</w:t>
      </w:r>
      <w:r w:rsidRPr="008D2A17">
        <w:rPr>
          <w:rStyle w:val="FootnoteReference"/>
        </w:rPr>
        <w:footnoteReference w:id="4"/>
      </w:r>
      <w:r w:rsidRPr="008D2A17">
        <w:t>, t</w:t>
      </w:r>
      <w:r w:rsidR="00FA36E3" w:rsidRPr="008D2A17">
        <w:t>he following updates are proposed to the existing framework</w:t>
      </w:r>
      <w:r w:rsidR="00353A95" w:rsidRPr="008D2A17">
        <w:t xml:space="preserve"> under the assumption of individual </w:t>
      </w:r>
      <w:r w:rsidR="00C83EEC" w:rsidRPr="008D2A17">
        <w:t xml:space="preserve">authorisation </w:t>
      </w:r>
      <w:r w:rsidR="00353A95" w:rsidRPr="008D2A17">
        <w:t>regime</w:t>
      </w:r>
      <w:r w:rsidR="0006121B">
        <w:t>;</w:t>
      </w:r>
      <w:r w:rsidR="00517DEE" w:rsidRPr="00517DEE">
        <w:t xml:space="preserve"> </w:t>
      </w:r>
      <w:r w:rsidR="00517DEE" w:rsidRPr="00661C15">
        <w:t>the limits have been derived based on outdoor deployment scenarios</w:t>
      </w:r>
      <w:r w:rsidR="00B46BF8" w:rsidRPr="00492E41">
        <w:t>:</w:t>
      </w:r>
    </w:p>
    <w:p w14:paraId="724995AC" w14:textId="5A810D78" w:rsidR="005F203A" w:rsidRPr="008D2A17" w:rsidRDefault="0048472C" w:rsidP="005F203A">
      <w:pPr>
        <w:pStyle w:val="ECCBulletsLv1"/>
      </w:pPr>
      <w:r w:rsidRPr="008D2A17">
        <w:t>H</w:t>
      </w:r>
      <w:r w:rsidR="00E61854" w:rsidRPr="008D2A17">
        <w:t xml:space="preserve">igh throughput </w:t>
      </w:r>
      <w:r w:rsidR="005F203A" w:rsidRPr="008D2A17">
        <w:t xml:space="preserve">5G use cases </w:t>
      </w:r>
      <w:r w:rsidR="00DF66A7" w:rsidRPr="008D2A17">
        <w:t>benefit from</w:t>
      </w:r>
      <w:r w:rsidR="005F203A" w:rsidRPr="008D2A17">
        <w:t xml:space="preserve"> </w:t>
      </w:r>
      <w:r w:rsidR="00E61854" w:rsidRPr="008D2A17">
        <w:t xml:space="preserve">wide </w:t>
      </w:r>
      <w:r w:rsidR="005F203A" w:rsidRPr="008D2A17">
        <w:t>contiguous frequency allocations</w:t>
      </w:r>
      <w:r w:rsidR="004D43DD" w:rsidRPr="008D2A17">
        <w:t>.</w:t>
      </w:r>
      <w:r w:rsidR="005F203A" w:rsidRPr="008D2A17">
        <w:t xml:space="preserve"> </w:t>
      </w:r>
      <w:r w:rsidR="004D43DD" w:rsidRPr="008D2A17">
        <w:rPr>
          <w:rStyle w:val="ECCHLorange"/>
          <w:shd w:val="clear" w:color="auto" w:fill="auto"/>
        </w:rPr>
        <w:t xml:space="preserve">Current </w:t>
      </w:r>
      <w:r w:rsidR="00DE643E" w:rsidRPr="008D2A17">
        <w:rPr>
          <w:rStyle w:val="ECCHLorange"/>
          <w:shd w:val="clear" w:color="auto" w:fill="auto"/>
        </w:rPr>
        <w:t>5G NR specifications support channel bandwidths up to 100 MHz</w:t>
      </w:r>
      <w:r w:rsidRPr="008D2A17">
        <w:rPr>
          <w:rStyle w:val="ECCHLorange"/>
          <w:shd w:val="clear" w:color="auto" w:fill="auto"/>
        </w:rPr>
        <w:t>.</w:t>
      </w:r>
      <w:r w:rsidR="00110F55" w:rsidRPr="008D2A17">
        <w:t xml:space="preserve"> T</w:t>
      </w:r>
      <w:r w:rsidRPr="008D2A17">
        <w:t>herefore</w:t>
      </w:r>
      <w:r w:rsidR="00110F55" w:rsidRPr="008D2A17">
        <w:t>,</w:t>
      </w:r>
      <w:r w:rsidRPr="008D2A17">
        <w:t xml:space="preserve"> the spectrum should be provided in a manner allowing for at least 3x50 MHz of contiguous spectrum;</w:t>
      </w:r>
    </w:p>
    <w:p w14:paraId="0BFFD7BB" w14:textId="23EE9C12" w:rsidR="00B46BF8" w:rsidRPr="008D2A17" w:rsidRDefault="00B46BF8" w:rsidP="00B46BF8">
      <w:pPr>
        <w:pStyle w:val="ECCBulletsLv1"/>
      </w:pPr>
      <w:r w:rsidRPr="008D2A17">
        <w:t>There is no need to consider separate frequency arrangements for 3400-3600</w:t>
      </w:r>
      <w:r w:rsidR="00AB2111" w:rsidRPr="008D2A17">
        <w:t> MHz</w:t>
      </w:r>
      <w:r w:rsidRPr="008D2A17">
        <w:t xml:space="preserve"> and 3600</w:t>
      </w:r>
      <w:r w:rsidR="00B4183D">
        <w:t>­</w:t>
      </w:r>
      <w:r w:rsidRPr="008D2A17">
        <w:t>3800</w:t>
      </w:r>
      <w:r w:rsidR="00AB2111" w:rsidRPr="008D2A17">
        <w:t> MHz</w:t>
      </w:r>
      <w:r w:rsidRPr="008D2A17">
        <w:t xml:space="preserve"> from a regulatory perspective. The unpaired arrangement is therefore selected as the only option for the 3400-3800</w:t>
      </w:r>
      <w:r w:rsidR="00AB2111" w:rsidRPr="008D2A17">
        <w:t> MHz</w:t>
      </w:r>
      <w:r w:rsidRPr="008D2A17">
        <w:t xml:space="preserve"> band</w:t>
      </w:r>
      <w:r w:rsidR="00621F51" w:rsidRPr="008D2A17">
        <w:t>;</w:t>
      </w:r>
    </w:p>
    <w:p w14:paraId="7103D84E" w14:textId="57AC6A06" w:rsidR="00B46BF8" w:rsidRPr="00BE123F" w:rsidRDefault="00FA36E3" w:rsidP="00B46BF8">
      <w:pPr>
        <w:pStyle w:val="ECCBulletsLv1"/>
        <w:rPr>
          <w:rStyle w:val="ECCHLorange"/>
        </w:rPr>
      </w:pPr>
      <w:r w:rsidRPr="008D2A17">
        <w:t xml:space="preserve">The levels of existing out-of-block power limits for coexistence of synchronised </w:t>
      </w:r>
      <w:r w:rsidR="00AE78D1" w:rsidRPr="008D2A17">
        <w:t>WBB ECS</w:t>
      </w:r>
      <w:r w:rsidRPr="008D2A17">
        <w:t xml:space="preserve"> BS are </w:t>
      </w:r>
      <w:r w:rsidR="00960FB5" w:rsidRPr="008D2A17">
        <w:t>applied</w:t>
      </w:r>
      <w:r w:rsidRPr="008D2A17">
        <w:t xml:space="preserve"> for AAS base stations, specified as TRP limits </w:t>
      </w:r>
      <w:r w:rsidR="00231CDE" w:rsidRPr="008D2A17">
        <w:rPr>
          <w:rStyle w:val="ECCHLorange"/>
          <w:shd w:val="clear" w:color="auto" w:fill="auto"/>
        </w:rPr>
        <w:t xml:space="preserve">per </w:t>
      </w:r>
      <w:r w:rsidR="00EF7573" w:rsidRPr="008D2A17">
        <w:rPr>
          <w:rStyle w:val="ECCHLorange"/>
          <w:shd w:val="clear" w:color="auto" w:fill="auto"/>
        </w:rPr>
        <w:t>cell</w:t>
      </w:r>
      <w:r w:rsidR="00EF7573" w:rsidRPr="008D2A17">
        <w:rPr>
          <w:rStyle w:val="ECCHLorange"/>
          <w:shd w:val="clear" w:color="auto" w:fill="auto"/>
          <w:vertAlign w:val="superscript"/>
        </w:rPr>
        <w:footnoteReference w:id="5"/>
      </w:r>
      <w:r w:rsidR="00621F51" w:rsidRPr="00BE123F">
        <w:rPr>
          <w:rStyle w:val="ECCHLorange"/>
          <w:shd w:val="clear" w:color="auto" w:fill="auto"/>
        </w:rPr>
        <w:t>;</w:t>
      </w:r>
      <w:r w:rsidR="00B3605B">
        <w:rPr>
          <w:rStyle w:val="ECCHLorange"/>
          <w:shd w:val="clear" w:color="auto" w:fill="auto"/>
        </w:rPr>
        <w:t xml:space="preserve"> </w:t>
      </w:r>
    </w:p>
    <w:p w14:paraId="534C5AC7" w14:textId="7A09AD14" w:rsidR="00B46BF8" w:rsidRPr="008D2A17" w:rsidRDefault="00FA36E3" w:rsidP="00B46BF8">
      <w:pPr>
        <w:pStyle w:val="ECCBulletsLv1"/>
      </w:pPr>
      <w:r w:rsidRPr="008D2A17">
        <w:t xml:space="preserve">For unsynchronised and semi-synchronised operations, if no geographic </w:t>
      </w:r>
      <w:r w:rsidR="00330532" w:rsidRPr="008D2A17">
        <w:rPr>
          <w:rStyle w:val="ECCHLorange"/>
          <w:shd w:val="clear" w:color="auto" w:fill="auto"/>
        </w:rPr>
        <w:t>or indoor/outdoor</w:t>
      </w:r>
      <w:r w:rsidR="00330532" w:rsidRPr="008D2A17">
        <w:t xml:space="preserve"> </w:t>
      </w:r>
      <w:r w:rsidRPr="008D2A17">
        <w:t xml:space="preserve">separation is available, the restricted baseline applies. </w:t>
      </w:r>
      <w:r w:rsidR="00517FF3" w:rsidRPr="008D2A17">
        <w:t xml:space="preserve">Less stringent technical parameters, if agreed among the operators of such networks, may also be used. </w:t>
      </w:r>
      <w:r w:rsidR="00331A6F" w:rsidRPr="008D2A17">
        <w:t>In addition, relaxed baseline limit applying to specific implementation cases</w:t>
      </w:r>
      <w:r w:rsidR="00225572" w:rsidRPr="008D2A17">
        <w:t xml:space="preserve"> may be defined at national level.</w:t>
      </w:r>
      <w:r w:rsidR="00225572" w:rsidRPr="008D2A17" w:rsidDel="00225572">
        <w:t xml:space="preserve"> </w:t>
      </w:r>
      <w:r w:rsidR="00C0211E" w:rsidRPr="008D2A17">
        <w:t xml:space="preserve">CEPT is developing </w:t>
      </w:r>
      <w:r w:rsidR="00EA1D94" w:rsidRPr="008D2A17">
        <w:t xml:space="preserve">a </w:t>
      </w:r>
      <w:r w:rsidR="002C5AB9" w:rsidRPr="008D2A17">
        <w:t>toolbox for the most appropriate synchroni</w:t>
      </w:r>
      <w:r w:rsidR="00EA1D94" w:rsidRPr="008D2A17">
        <w:t>s</w:t>
      </w:r>
      <w:r w:rsidR="002C5AB9" w:rsidRPr="008D2A17">
        <w:t xml:space="preserve">ation regulatory framework </w:t>
      </w:r>
      <w:r w:rsidR="00412C49" w:rsidRPr="008D2A17">
        <w:t xml:space="preserve">to help either network operators or </w:t>
      </w:r>
      <w:r w:rsidR="00EA1D94" w:rsidRPr="008D2A17">
        <w:t>A</w:t>
      </w:r>
      <w:r w:rsidR="00412C49" w:rsidRPr="008D2A17">
        <w:t xml:space="preserve">dministrations to address </w:t>
      </w:r>
      <w:r w:rsidR="00143321" w:rsidRPr="008D2A17">
        <w:t>relevant</w:t>
      </w:r>
      <w:r w:rsidR="00F04555" w:rsidRPr="008D2A17">
        <w:t xml:space="preserve"> coexistence issues</w:t>
      </w:r>
      <w:r w:rsidR="00110F55" w:rsidRPr="008D2A17">
        <w:t>;</w:t>
      </w:r>
    </w:p>
    <w:p w14:paraId="334373F0" w14:textId="3F436B39" w:rsidR="00B46BF8" w:rsidRPr="008D2A17" w:rsidRDefault="00231CDE" w:rsidP="00B46BF8">
      <w:pPr>
        <w:pStyle w:val="ECCBulletsLv1"/>
      </w:pPr>
      <w:r w:rsidRPr="008D2A17">
        <w:rPr>
          <w:rStyle w:val="ECCHLorange"/>
          <w:shd w:val="clear" w:color="auto" w:fill="auto"/>
        </w:rPr>
        <w:t>An out-</w:t>
      </w:r>
      <w:r w:rsidRPr="00BE123F">
        <w:rPr>
          <w:rStyle w:val="ECCHLorange"/>
          <w:shd w:val="clear" w:color="auto" w:fill="auto"/>
        </w:rPr>
        <w:t>of</w:t>
      </w:r>
      <w:r w:rsidRPr="008D2A17">
        <w:rPr>
          <w:rStyle w:val="ECCHLorange"/>
          <w:shd w:val="clear" w:color="auto" w:fill="auto"/>
        </w:rPr>
        <w:t>-block restricted baseline power limit of -43 dBm/</w:t>
      </w:r>
      <w:r w:rsidR="00EA1D94" w:rsidRPr="008D2A17">
        <w:rPr>
          <w:rStyle w:val="ECCHLorange"/>
          <w:shd w:val="clear" w:color="auto" w:fill="auto"/>
        </w:rPr>
        <w:t>(</w:t>
      </w:r>
      <w:r w:rsidRPr="008D2A17">
        <w:rPr>
          <w:rStyle w:val="ECCHLorange"/>
          <w:shd w:val="clear" w:color="auto" w:fill="auto"/>
        </w:rPr>
        <w:t>5 MHz</w:t>
      </w:r>
      <w:r w:rsidR="00EA1D94" w:rsidRPr="008D2A17">
        <w:rPr>
          <w:rStyle w:val="ECCHLorange"/>
          <w:shd w:val="clear" w:color="auto" w:fill="auto"/>
        </w:rPr>
        <w:t>)</w:t>
      </w:r>
      <w:r w:rsidRPr="008D2A17">
        <w:rPr>
          <w:rStyle w:val="ECCHLorange"/>
          <w:shd w:val="clear" w:color="auto" w:fill="auto"/>
        </w:rPr>
        <w:t xml:space="preserve"> TRP per cell </w:t>
      </w:r>
      <w:r w:rsidR="00960FB5" w:rsidRPr="008D2A17">
        <w:rPr>
          <w:rStyle w:val="ECCHLorange"/>
          <w:shd w:val="clear" w:color="auto" w:fill="auto"/>
        </w:rPr>
        <w:t>applies</w:t>
      </w:r>
      <w:r w:rsidRPr="008D2A17">
        <w:rPr>
          <w:rStyle w:val="ECCHLorange"/>
          <w:shd w:val="clear" w:color="auto" w:fill="auto"/>
        </w:rPr>
        <w:t xml:space="preserve"> for coexistence of unsynchronised and semi-synchronised WBB ECS BS</w:t>
      </w:r>
      <w:r w:rsidR="00AA481D" w:rsidRPr="008D2A17">
        <w:rPr>
          <w:rStyle w:val="ECCHLorange"/>
          <w:shd w:val="clear" w:color="auto" w:fill="auto"/>
        </w:rPr>
        <w:t xml:space="preserve"> in the same geographical area</w:t>
      </w:r>
      <w:r w:rsidRPr="008D2A17">
        <w:rPr>
          <w:rStyle w:val="ECCHLorange"/>
          <w:shd w:val="clear" w:color="auto" w:fill="auto"/>
        </w:rPr>
        <w:t>;</w:t>
      </w:r>
    </w:p>
    <w:p w14:paraId="3DC38A64" w14:textId="569F4FC3" w:rsidR="00B46BF8" w:rsidRPr="008D2A17" w:rsidRDefault="007A008E" w:rsidP="00F535F7">
      <w:pPr>
        <w:pStyle w:val="ECCBulletsLv1"/>
      </w:pPr>
      <w:r w:rsidRPr="008D2A17">
        <w:t>An a</w:t>
      </w:r>
      <w:r w:rsidR="009B1900" w:rsidRPr="008D2A17">
        <w:t>dditional baseline</w:t>
      </w:r>
      <w:r w:rsidR="00F535F7" w:rsidRPr="008D2A17">
        <w:t xml:space="preserve"> </w:t>
      </w:r>
      <w:r w:rsidR="009B1900" w:rsidRPr="008D2A17">
        <w:t>is</w:t>
      </w:r>
      <w:r w:rsidR="00F535F7" w:rsidRPr="008D2A17">
        <w:t xml:space="preserve"> proposed for countries wishing to protect radar below 3400 MHz. Coordination may be required, for example a coordination distance of up to 12 km around fixed terrestrial radars, based on a</w:t>
      </w:r>
      <w:r w:rsidR="00B4183D">
        <w:t>n</w:t>
      </w:r>
      <w:r w:rsidR="00F535F7" w:rsidRPr="008D2A17">
        <w:t xml:space="preserve"> AAS BS </w:t>
      </w:r>
      <w:r w:rsidR="007F1AB6">
        <w:t>TRP</w:t>
      </w:r>
      <w:r w:rsidR="00F535F7" w:rsidRPr="008D2A17">
        <w:t xml:space="preserve"> limit </w:t>
      </w:r>
      <w:proofErr w:type="gramStart"/>
      <w:r w:rsidR="00F535F7" w:rsidRPr="008D2A17">
        <w:t>of -52 dBm/MHz per cell</w:t>
      </w:r>
      <w:proofErr w:type="gramEnd"/>
      <w:r w:rsidR="00F535F7" w:rsidRPr="008D2A17">
        <w:t xml:space="preserve">. Such coordination is the responsibility of the relevant administration. It is noted that, for AAS base stations, manufacturers </w:t>
      </w:r>
      <w:r w:rsidR="00F535F7" w:rsidRPr="008D2A17">
        <w:lastRenderedPageBreak/>
        <w:t xml:space="preserve">have indicated that the power limit of -52 dBm/MHz would imply, under current technology, about 20 MHz frequency </w:t>
      </w:r>
      <w:proofErr w:type="gramStart"/>
      <w:r w:rsidR="00F535F7" w:rsidRPr="008D2A17">
        <w:t>separation</w:t>
      </w:r>
      <w:proofErr w:type="gramEnd"/>
      <w:r w:rsidR="00F535F7" w:rsidRPr="008D2A17">
        <w:t xml:space="preserve"> between the block edge and 3400 MHz</w:t>
      </w:r>
      <w:r w:rsidR="00A42AF6" w:rsidRPr="008D2A17">
        <w:t>. Further details are provided in Table 5</w:t>
      </w:r>
      <w:r w:rsidR="009715B3" w:rsidRPr="008D2A17">
        <w:t>;</w:t>
      </w:r>
    </w:p>
    <w:p w14:paraId="11A0EDC1" w14:textId="34F33F64" w:rsidR="00900D73" w:rsidRPr="008D2A17" w:rsidRDefault="00B46BF8" w:rsidP="00B46BF8">
      <w:pPr>
        <w:pStyle w:val="ECCBulletsLv1"/>
      </w:pPr>
      <w:r w:rsidRPr="008D2A17">
        <w:t>For protection of FSS and FS above 3800</w:t>
      </w:r>
      <w:r w:rsidR="00AB2111" w:rsidRPr="008D2A17">
        <w:t> MHz</w:t>
      </w:r>
      <w:r w:rsidRPr="008D2A17">
        <w:t xml:space="preserve">, </w:t>
      </w:r>
      <w:r w:rsidR="00CF37AD" w:rsidRPr="008D2A17">
        <w:t xml:space="preserve">a set of additional baselines </w:t>
      </w:r>
      <w:r w:rsidR="00960FB5" w:rsidRPr="008D2A17">
        <w:t>applies</w:t>
      </w:r>
      <w:r w:rsidR="00CF37AD" w:rsidRPr="008D2A17">
        <w:t xml:space="preserve"> for AAS and non-AAS base stations</w:t>
      </w:r>
      <w:r w:rsidRPr="008D2A17">
        <w:t xml:space="preserve"> to support the coordination process to be carried out at national level on </w:t>
      </w:r>
      <w:r w:rsidR="00B4183D">
        <w:t xml:space="preserve">a </w:t>
      </w:r>
      <w:r w:rsidRPr="008D2A17">
        <w:t>case</w:t>
      </w:r>
      <w:r w:rsidR="00B4183D">
        <w:t>-</w:t>
      </w:r>
      <w:r w:rsidRPr="008D2A17">
        <w:t>by</w:t>
      </w:r>
      <w:r w:rsidR="00B4183D">
        <w:t>-</w:t>
      </w:r>
      <w:r w:rsidRPr="008D2A17">
        <w:t xml:space="preserve">case basis with support from the operations guidelines from ECC Report 254 </w:t>
      </w:r>
      <w:r w:rsidRPr="008D2A17">
        <w:rPr>
          <w:b/>
          <w:bCs/>
          <w:iCs/>
          <w:caps/>
        </w:rPr>
        <w:fldChar w:fldCharType="begin"/>
      </w:r>
      <w:r w:rsidRPr="008D2A17">
        <w:instrText xml:space="preserve"> REF _Ref500264610 \r \h </w:instrText>
      </w:r>
      <w:r w:rsidR="00EB2D19" w:rsidRPr="008D2A17">
        <w:rPr>
          <w:b/>
          <w:bCs/>
          <w:iCs/>
          <w:caps/>
        </w:rPr>
        <w:instrText xml:space="preserve"> \* MERGEFORMAT </w:instrText>
      </w:r>
      <w:r w:rsidRPr="008D2A17">
        <w:rPr>
          <w:b/>
          <w:bCs/>
          <w:iCs/>
          <w:caps/>
        </w:rPr>
      </w:r>
      <w:r w:rsidRPr="008D2A17">
        <w:rPr>
          <w:b/>
          <w:bCs/>
          <w:iCs/>
          <w:caps/>
        </w:rPr>
        <w:fldChar w:fldCharType="separate"/>
      </w:r>
      <w:r w:rsidR="00FA5407">
        <w:t>[2]</w:t>
      </w:r>
      <w:r w:rsidRPr="008D2A17">
        <w:rPr>
          <w:b/>
          <w:bCs/>
          <w:iCs/>
          <w:caps/>
        </w:rPr>
        <w:fldChar w:fldCharType="end"/>
      </w:r>
      <w:r w:rsidR="00621F51" w:rsidRPr="008D2A17">
        <w:rPr>
          <w:b/>
          <w:bCs/>
          <w:iCs/>
          <w:caps/>
        </w:rPr>
        <w:t>;</w:t>
      </w:r>
      <w:r w:rsidR="002D7CB1" w:rsidRPr="008D2A17">
        <w:rPr>
          <w:b/>
          <w:bCs/>
          <w:iCs/>
          <w:caps/>
        </w:rPr>
        <w:t xml:space="preserve"> </w:t>
      </w:r>
    </w:p>
    <w:p w14:paraId="2348A6D6" w14:textId="7CBA645B" w:rsidR="00B64C20" w:rsidRPr="008D2A17" w:rsidRDefault="00694DBD" w:rsidP="00B64C20">
      <w:pPr>
        <w:pStyle w:val="ECCBulletsLv1"/>
      </w:pPr>
      <w:r w:rsidRPr="008D2A17">
        <w:t>The in-block e.i.r.p. limit for</w:t>
      </w:r>
      <w:r w:rsidRPr="00BE123F">
        <w:rPr>
          <w:rStyle w:val="ECCHLorange"/>
          <w:shd w:val="clear" w:color="auto" w:fill="auto"/>
        </w:rPr>
        <w:t xml:space="preserve"> non-AAS </w:t>
      </w:r>
      <w:r w:rsidRPr="008D2A17">
        <w:t xml:space="preserve">base stations is </w:t>
      </w:r>
      <w:r w:rsidR="00282942" w:rsidRPr="008D2A17">
        <w:t xml:space="preserve">not mandatory. </w:t>
      </w:r>
      <w:r w:rsidR="002E7D71" w:rsidRPr="008D2A17">
        <w:t xml:space="preserve">Any in block limit </w:t>
      </w:r>
      <w:r w:rsidR="00D109CE" w:rsidRPr="008D2A17">
        <w:t xml:space="preserve">for AAS or non-AAS </w:t>
      </w:r>
      <w:r w:rsidR="00CC45D7" w:rsidRPr="008D2A17">
        <w:t xml:space="preserve">BSs </w:t>
      </w:r>
      <w:r w:rsidR="00D109CE" w:rsidRPr="008D2A17">
        <w:t>may</w:t>
      </w:r>
      <w:r w:rsidR="002E7D71" w:rsidRPr="008D2A17">
        <w:t xml:space="preserve"> be</w:t>
      </w:r>
      <w:r w:rsidR="00282942" w:rsidRPr="008D2A17">
        <w:t xml:space="preserve"> </w:t>
      </w:r>
      <w:r w:rsidR="002E7D71" w:rsidRPr="008D2A17">
        <w:t>defined</w:t>
      </w:r>
      <w:r w:rsidR="00282942" w:rsidRPr="008D2A17">
        <w:t xml:space="preserve"> </w:t>
      </w:r>
      <w:r w:rsidR="002E7D71" w:rsidRPr="008D2A17">
        <w:t xml:space="preserve">on </w:t>
      </w:r>
      <w:r w:rsidR="00CC45D7" w:rsidRPr="008D2A17">
        <w:t>a</w:t>
      </w:r>
      <w:r w:rsidR="00282942" w:rsidRPr="008D2A17">
        <w:t xml:space="preserve"> national </w:t>
      </w:r>
      <w:r w:rsidR="002E7D71" w:rsidRPr="008D2A17">
        <w:t>basis</w:t>
      </w:r>
      <w:r w:rsidR="00CC45D7" w:rsidRPr="008D2A17">
        <w:t>;</w:t>
      </w:r>
      <w:r w:rsidR="00282942" w:rsidRPr="008D2A17">
        <w:t xml:space="preserve"> </w:t>
      </w:r>
    </w:p>
    <w:p w14:paraId="768EBF84" w14:textId="1B2D8FF5" w:rsidR="00E8590C" w:rsidRPr="008D2A17" w:rsidRDefault="00E8590C" w:rsidP="00E8590C">
      <w:pPr>
        <w:pStyle w:val="ECCBulletsLv1"/>
      </w:pPr>
      <w:r w:rsidRPr="008D2A17">
        <w:t xml:space="preserve">As for the technical condition for user equipment (UEs) it is recommended that the in-block TRP for mobile UEs does not exceed 28 dBm. The in-block radiated power limit for fixed/nomadic UEs may be agreed on a national basis provided that cross-border obligations are fulfilled. </w:t>
      </w:r>
    </w:p>
    <w:p w14:paraId="323F4B77" w14:textId="433EA001" w:rsidR="00B46BF8" w:rsidRPr="008D2A17" w:rsidRDefault="00694DBD" w:rsidP="00900D73">
      <w:pPr>
        <w:pStyle w:val="ECCBulletsLv1"/>
        <w:numPr>
          <w:ilvl w:val="0"/>
          <w:numId w:val="0"/>
        </w:numPr>
        <w:tabs>
          <w:tab w:val="clear" w:pos="340"/>
          <w:tab w:val="left" w:pos="0"/>
        </w:tabs>
        <w:ind w:left="340" w:hanging="340"/>
      </w:pPr>
      <w:r w:rsidRPr="008D2A17">
        <w:t>Coexistence between LTE and 5G NR in adjacent frequencies is ensured when:</w:t>
      </w:r>
    </w:p>
    <w:p w14:paraId="413EF1BE" w14:textId="4524BC0C" w:rsidR="00B46BF8" w:rsidRPr="008D2A17" w:rsidRDefault="00D72C51" w:rsidP="00B46BF8">
      <w:pPr>
        <w:pStyle w:val="ECCBulletsLv1"/>
      </w:pPr>
      <w:r w:rsidRPr="008D2A17">
        <w:t xml:space="preserve">Each system </w:t>
      </w:r>
      <w:r w:rsidR="00353A95" w:rsidRPr="008D2A17">
        <w:t>r</w:t>
      </w:r>
      <w:r w:rsidR="00694DBD" w:rsidRPr="008D2A17">
        <w:t>espect</w:t>
      </w:r>
      <w:r w:rsidRPr="008D2A17">
        <w:t>s</w:t>
      </w:r>
      <w:r w:rsidR="00694DBD" w:rsidRPr="008D2A17">
        <w:t xml:space="preserve"> the </w:t>
      </w:r>
      <w:r w:rsidRPr="008D2A17">
        <w:t>relevant applicable</w:t>
      </w:r>
      <w:r w:rsidR="00694DBD" w:rsidRPr="008D2A17">
        <w:t xml:space="preserve"> baseline level in case of synchronised operation</w:t>
      </w:r>
      <w:r w:rsidR="00C80CF9" w:rsidRPr="008D2A17">
        <w:t xml:space="preserve"> </w:t>
      </w:r>
      <w:r w:rsidR="00353A95" w:rsidRPr="008D2A17">
        <w:t>for AAS or non</w:t>
      </w:r>
      <w:r w:rsidR="00444A5C" w:rsidRPr="008D2A17">
        <w:t>-</w:t>
      </w:r>
      <w:r w:rsidR="00353A95" w:rsidRPr="008D2A17">
        <w:t>AAS systems</w:t>
      </w:r>
      <w:r w:rsidR="00621F51" w:rsidRPr="008D2A17">
        <w:t>;</w:t>
      </w:r>
      <w:r w:rsidR="002D7CB1" w:rsidRPr="008D2A17">
        <w:t xml:space="preserve"> </w:t>
      </w:r>
      <w:r w:rsidR="00C80CF9" w:rsidRPr="008D2A17">
        <w:t>or</w:t>
      </w:r>
    </w:p>
    <w:p w14:paraId="1AE907A7" w14:textId="0A83E2A1" w:rsidR="002D7CB1" w:rsidRPr="008D2A17" w:rsidRDefault="00D72C51" w:rsidP="001855D5">
      <w:pPr>
        <w:pStyle w:val="ECCBulletsLv1"/>
      </w:pPr>
      <w:r w:rsidRPr="008D2A17">
        <w:t>Each syste</w:t>
      </w:r>
      <w:r w:rsidR="00353A95" w:rsidRPr="008D2A17">
        <w:t>m</w:t>
      </w:r>
      <w:r w:rsidRPr="008D2A17">
        <w:t xml:space="preserve"> r</w:t>
      </w:r>
      <w:r w:rsidR="00694DBD" w:rsidRPr="008D2A17">
        <w:t>espect</w:t>
      </w:r>
      <w:r w:rsidRPr="008D2A17">
        <w:t>s</w:t>
      </w:r>
      <w:r w:rsidR="00694DBD" w:rsidRPr="008D2A17">
        <w:t xml:space="preserve"> the </w:t>
      </w:r>
      <w:r w:rsidRPr="008D2A17">
        <w:t>relevant applicable</w:t>
      </w:r>
      <w:r w:rsidR="00694DBD" w:rsidRPr="008D2A17">
        <w:t xml:space="preserve"> restricted baseline level in case of </w:t>
      </w:r>
      <w:r w:rsidR="005233D6" w:rsidRPr="008D2A17">
        <w:t>un</w:t>
      </w:r>
      <w:r w:rsidR="00694DBD" w:rsidRPr="008D2A17">
        <w:t xml:space="preserve">synchronised </w:t>
      </w:r>
      <w:r w:rsidR="00F75A56" w:rsidRPr="008D2A17">
        <w:t xml:space="preserve">operation </w:t>
      </w:r>
      <w:r w:rsidR="00353A95" w:rsidRPr="008D2A17">
        <w:t>for AAS or non</w:t>
      </w:r>
      <w:r w:rsidR="00444A5C" w:rsidRPr="008D2A17">
        <w:t>-</w:t>
      </w:r>
      <w:r w:rsidR="00353A95" w:rsidRPr="008D2A17">
        <w:t>AAS systems</w:t>
      </w:r>
      <w:r w:rsidR="00621F51" w:rsidRPr="008D2A17">
        <w:t>.</w:t>
      </w:r>
    </w:p>
    <w:p w14:paraId="78D74BE2" w14:textId="2F1C6DF1" w:rsidR="00B46BF8" w:rsidRPr="008D2A17" w:rsidRDefault="00694DBD" w:rsidP="00694DBD">
      <w:pPr>
        <w:pStyle w:val="ECCParagraph"/>
        <w:rPr>
          <w:rStyle w:val="ECCHLorange"/>
        </w:rPr>
      </w:pPr>
      <w:r w:rsidRPr="008D2A17">
        <w:t>Synchronised operation between 5G NR and LTE is technically feasible but may lead to higher latency and reduced flexibility in the UL/DL transmission ratio, although networks could be designed to ov</w:t>
      </w:r>
      <w:r w:rsidR="00B4183D">
        <w:t>ercome some of these drawbacks.</w:t>
      </w:r>
    </w:p>
    <w:p w14:paraId="76872279" w14:textId="77777777" w:rsidR="00B46BF8" w:rsidRPr="00BE123F" w:rsidRDefault="00B46BF8" w:rsidP="00AB36DE">
      <w:pPr>
        <w:pStyle w:val="ECCParagraph"/>
        <w:rPr>
          <w:rStyle w:val="ECCHLorange"/>
        </w:rPr>
      </w:pPr>
      <w:r w:rsidRPr="008D2A17">
        <w:t>Cross-border co-ordination can be sufficiently addressed through existing bilateral and multi-lateral procedures, supported by ECC Recommendations. CEPT will work to ensure Recommendations are 5G compatible.</w:t>
      </w:r>
    </w:p>
    <w:p w14:paraId="39426216" w14:textId="1828831B" w:rsidR="00AB46DF" w:rsidRPr="008D2A17" w:rsidRDefault="003C3EE4" w:rsidP="00AB46DF">
      <w:pPr>
        <w:rPr>
          <w:lang w:val="en-GB"/>
        </w:rPr>
      </w:pPr>
      <w:r w:rsidRPr="008D2A17">
        <w:rPr>
          <w:lang w:val="en-GB"/>
        </w:rPr>
        <w:br w:type="page"/>
      </w:r>
    </w:p>
    <w:p w14:paraId="42B9AFA6" w14:textId="77777777" w:rsidR="00AB46DF" w:rsidRPr="008D2A17" w:rsidRDefault="00D20E3B" w:rsidP="00AB46DF">
      <w:pPr>
        <w:rPr>
          <w:b/>
          <w:color w:val="FFFFFF"/>
          <w:lang w:val="en-GB"/>
        </w:rPr>
      </w:pPr>
      <w:r w:rsidRPr="008D2A17">
        <w:rPr>
          <w:b/>
          <w:noProof/>
          <w:color w:val="FFFFFF"/>
          <w:szCs w:val="20"/>
          <w:lang w:val="da-DK" w:eastAsia="da-DK"/>
        </w:rPr>
        <w:lastRenderedPageBreak/>
        <mc:AlternateContent>
          <mc:Choice Requires="wps">
            <w:drawing>
              <wp:anchor distT="0" distB="0" distL="114300" distR="114300" simplePos="0" relativeHeight="251630080" behindDoc="1" locked="0" layoutInCell="1" allowOverlap="1" wp14:anchorId="525347F3" wp14:editId="503FA067">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FB84B4" id="Rectangle 21" o:spid="_x0000_s1026" style="position:absolute;margin-left:0;margin-top:70.9pt;width:595.3pt;height:56.7pt;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DHq4gu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14:paraId="68943BFC" w14:textId="77777777" w:rsidR="00D20E3B" w:rsidRPr="008D2A17" w:rsidRDefault="00D20E3B" w:rsidP="00AB46DF">
      <w:pPr>
        <w:rPr>
          <w:b/>
          <w:color w:val="FFFFFF"/>
          <w:szCs w:val="20"/>
          <w:lang w:val="en-GB"/>
        </w:rPr>
      </w:pPr>
    </w:p>
    <w:p w14:paraId="19CE13BB" w14:textId="77777777" w:rsidR="00AB46DF" w:rsidRPr="008D2A17" w:rsidRDefault="002209A7" w:rsidP="00AB46DF">
      <w:pPr>
        <w:rPr>
          <w:b/>
          <w:color w:val="FFFFFF"/>
          <w:szCs w:val="20"/>
          <w:lang w:val="en-GB"/>
        </w:rPr>
      </w:pPr>
      <w:r w:rsidRPr="008D2A17">
        <w:rPr>
          <w:b/>
          <w:color w:val="FFFFFF"/>
          <w:szCs w:val="20"/>
          <w:lang w:val="en-GB"/>
        </w:rPr>
        <w:t>TABLE OF CONTENTS</w:t>
      </w:r>
    </w:p>
    <w:p w14:paraId="11D7B6F7" w14:textId="77777777" w:rsidR="00512677" w:rsidRPr="008D2A17" w:rsidRDefault="00512677" w:rsidP="00AB46DF">
      <w:pPr>
        <w:rPr>
          <w:b/>
          <w:color w:val="FFFFFF"/>
          <w:szCs w:val="20"/>
          <w:lang w:val="en-GB"/>
        </w:rPr>
      </w:pPr>
    </w:p>
    <w:p w14:paraId="1B92E6E4" w14:textId="77777777" w:rsidR="00512677" w:rsidRPr="008D2A17" w:rsidRDefault="00512677" w:rsidP="00AB46DF">
      <w:pPr>
        <w:rPr>
          <w:b/>
          <w:color w:val="FFFFFF"/>
          <w:szCs w:val="20"/>
          <w:lang w:val="en-GB"/>
        </w:rPr>
      </w:pPr>
    </w:p>
    <w:p w14:paraId="6DB08567" w14:textId="77777777" w:rsidR="00AB46DF" w:rsidRPr="008D2A17" w:rsidRDefault="00AB46DF">
      <w:pPr>
        <w:rPr>
          <w:lang w:val="en-GB"/>
        </w:rPr>
      </w:pPr>
    </w:p>
    <w:p w14:paraId="4B21D7E3" w14:textId="512D5D0F" w:rsidR="00CB2C51" w:rsidRDefault="003C3EE4">
      <w:pPr>
        <w:pStyle w:val="TOC1"/>
        <w:rPr>
          <w:rFonts w:asciiTheme="minorHAnsi" w:eastAsiaTheme="minorEastAsia" w:hAnsiTheme="minorHAnsi" w:cstheme="minorBidi"/>
          <w:b w:val="0"/>
          <w:caps w:val="0"/>
          <w:noProof/>
          <w:sz w:val="22"/>
          <w:szCs w:val="22"/>
          <w:lang w:val="da-DK" w:eastAsia="da-DK"/>
        </w:rPr>
      </w:pPr>
      <w:r w:rsidRPr="008D2A17">
        <w:rPr>
          <w:caps w:val="0"/>
          <w:lang w:val="en-GB"/>
        </w:rPr>
        <w:fldChar w:fldCharType="begin"/>
      </w:r>
      <w:r w:rsidRPr="008D2A17">
        <w:rPr>
          <w:caps w:val="0"/>
          <w:lang w:val="en-GB"/>
        </w:rPr>
        <w:instrText xml:space="preserve"> TOC \o "1-4" \h \z \u </w:instrText>
      </w:r>
      <w:r w:rsidRPr="008D2A17">
        <w:rPr>
          <w:caps w:val="0"/>
          <w:lang w:val="en-GB"/>
        </w:rPr>
        <w:fldChar w:fldCharType="separate"/>
      </w:r>
      <w:hyperlink w:anchor="_Toc514428321" w:history="1">
        <w:r w:rsidR="00CB2C51" w:rsidRPr="00067F2E">
          <w:rPr>
            <w:rStyle w:val="Hyperlink"/>
            <w:noProof/>
          </w:rPr>
          <w:t>0</w:t>
        </w:r>
        <w:r w:rsidR="00CB2C51">
          <w:rPr>
            <w:rFonts w:asciiTheme="minorHAnsi" w:eastAsiaTheme="minorEastAsia" w:hAnsiTheme="minorHAnsi" w:cstheme="minorBidi"/>
            <w:b w:val="0"/>
            <w:caps w:val="0"/>
            <w:noProof/>
            <w:sz w:val="22"/>
            <w:szCs w:val="22"/>
            <w:lang w:val="da-DK" w:eastAsia="da-DK"/>
          </w:rPr>
          <w:tab/>
        </w:r>
        <w:r w:rsidR="00CB2C51" w:rsidRPr="00067F2E">
          <w:rPr>
            <w:rStyle w:val="Hyperlink"/>
            <w:noProof/>
          </w:rPr>
          <w:t>Executive summary</w:t>
        </w:r>
        <w:r w:rsidR="00CB2C51">
          <w:rPr>
            <w:noProof/>
            <w:webHidden/>
          </w:rPr>
          <w:tab/>
        </w:r>
        <w:r w:rsidR="00CB2C51">
          <w:rPr>
            <w:noProof/>
            <w:webHidden/>
          </w:rPr>
          <w:fldChar w:fldCharType="begin"/>
        </w:r>
        <w:r w:rsidR="00CB2C51">
          <w:rPr>
            <w:noProof/>
            <w:webHidden/>
          </w:rPr>
          <w:instrText xml:space="preserve"> PAGEREF _Toc514428321 \h </w:instrText>
        </w:r>
        <w:r w:rsidR="00CB2C51">
          <w:rPr>
            <w:noProof/>
            <w:webHidden/>
          </w:rPr>
        </w:r>
        <w:r w:rsidR="00CB2C51">
          <w:rPr>
            <w:noProof/>
            <w:webHidden/>
          </w:rPr>
          <w:fldChar w:fldCharType="separate"/>
        </w:r>
        <w:r w:rsidR="00661C15">
          <w:rPr>
            <w:noProof/>
            <w:webHidden/>
          </w:rPr>
          <w:t>2</w:t>
        </w:r>
        <w:r w:rsidR="00CB2C51">
          <w:rPr>
            <w:noProof/>
            <w:webHidden/>
          </w:rPr>
          <w:fldChar w:fldCharType="end"/>
        </w:r>
      </w:hyperlink>
    </w:p>
    <w:p w14:paraId="6C64018B" w14:textId="77777777" w:rsidR="00CB2C51" w:rsidRDefault="00297F2E">
      <w:pPr>
        <w:pStyle w:val="TOC1"/>
        <w:rPr>
          <w:rFonts w:asciiTheme="minorHAnsi" w:eastAsiaTheme="minorEastAsia" w:hAnsiTheme="minorHAnsi" w:cstheme="minorBidi"/>
          <w:b w:val="0"/>
          <w:caps w:val="0"/>
          <w:noProof/>
          <w:sz w:val="22"/>
          <w:szCs w:val="22"/>
          <w:lang w:val="da-DK" w:eastAsia="da-DK"/>
        </w:rPr>
      </w:pPr>
      <w:hyperlink w:anchor="_Toc514428322" w:history="1">
        <w:r w:rsidR="00CB2C51" w:rsidRPr="00067F2E">
          <w:rPr>
            <w:rStyle w:val="Hyperlink"/>
            <w:noProof/>
          </w:rPr>
          <w:t>1</w:t>
        </w:r>
        <w:r w:rsidR="00CB2C51">
          <w:rPr>
            <w:rFonts w:asciiTheme="minorHAnsi" w:eastAsiaTheme="minorEastAsia" w:hAnsiTheme="minorHAnsi" w:cstheme="minorBidi"/>
            <w:b w:val="0"/>
            <w:caps w:val="0"/>
            <w:noProof/>
            <w:sz w:val="22"/>
            <w:szCs w:val="22"/>
            <w:lang w:val="da-DK" w:eastAsia="da-DK"/>
          </w:rPr>
          <w:tab/>
        </w:r>
        <w:r w:rsidR="00CB2C51" w:rsidRPr="00067F2E">
          <w:rPr>
            <w:rStyle w:val="Hyperlink"/>
            <w:noProof/>
          </w:rPr>
          <w:t>Introduction</w:t>
        </w:r>
        <w:r w:rsidR="00CB2C51">
          <w:rPr>
            <w:noProof/>
            <w:webHidden/>
          </w:rPr>
          <w:tab/>
        </w:r>
        <w:r w:rsidR="00CB2C51">
          <w:rPr>
            <w:noProof/>
            <w:webHidden/>
          </w:rPr>
          <w:fldChar w:fldCharType="begin"/>
        </w:r>
        <w:r w:rsidR="00CB2C51">
          <w:rPr>
            <w:noProof/>
            <w:webHidden/>
          </w:rPr>
          <w:instrText xml:space="preserve"> PAGEREF _Toc514428322 \h </w:instrText>
        </w:r>
        <w:r w:rsidR="00CB2C51">
          <w:rPr>
            <w:noProof/>
            <w:webHidden/>
          </w:rPr>
        </w:r>
        <w:r w:rsidR="00CB2C51">
          <w:rPr>
            <w:noProof/>
            <w:webHidden/>
          </w:rPr>
          <w:fldChar w:fldCharType="separate"/>
        </w:r>
        <w:r w:rsidR="00661C15">
          <w:rPr>
            <w:noProof/>
            <w:webHidden/>
          </w:rPr>
          <w:t>9</w:t>
        </w:r>
        <w:r w:rsidR="00CB2C51">
          <w:rPr>
            <w:noProof/>
            <w:webHidden/>
          </w:rPr>
          <w:fldChar w:fldCharType="end"/>
        </w:r>
      </w:hyperlink>
    </w:p>
    <w:p w14:paraId="539C28C8" w14:textId="6627FE2B" w:rsidR="00CB2C51" w:rsidRDefault="00297F2E">
      <w:pPr>
        <w:pStyle w:val="TOC1"/>
        <w:rPr>
          <w:rFonts w:asciiTheme="minorHAnsi" w:eastAsiaTheme="minorEastAsia" w:hAnsiTheme="minorHAnsi" w:cstheme="minorBidi"/>
          <w:b w:val="0"/>
          <w:caps w:val="0"/>
          <w:noProof/>
          <w:sz w:val="22"/>
          <w:szCs w:val="22"/>
          <w:lang w:val="da-DK" w:eastAsia="da-DK"/>
        </w:rPr>
      </w:pPr>
      <w:hyperlink w:anchor="_Toc514428323" w:history="1">
        <w:r w:rsidR="00CB2C51" w:rsidRPr="00067F2E">
          <w:rPr>
            <w:rStyle w:val="Hyperlink"/>
            <w:noProof/>
          </w:rPr>
          <w:t>2</w:t>
        </w:r>
        <w:r w:rsidR="00CB2C51">
          <w:rPr>
            <w:rFonts w:asciiTheme="minorHAnsi" w:eastAsiaTheme="minorEastAsia" w:hAnsiTheme="minorHAnsi" w:cstheme="minorBidi"/>
            <w:b w:val="0"/>
            <w:caps w:val="0"/>
            <w:noProof/>
            <w:sz w:val="22"/>
            <w:szCs w:val="22"/>
            <w:lang w:val="da-DK" w:eastAsia="da-DK"/>
          </w:rPr>
          <w:tab/>
        </w:r>
        <w:r w:rsidR="00CB2C51" w:rsidRPr="00067F2E">
          <w:rPr>
            <w:rStyle w:val="Hyperlink"/>
            <w:noProof/>
          </w:rPr>
          <w:t>Frequency arrangement</w:t>
        </w:r>
        <w:r w:rsidR="00CB2C51">
          <w:rPr>
            <w:noProof/>
            <w:webHidden/>
          </w:rPr>
          <w:tab/>
        </w:r>
        <w:r w:rsidR="00CB2C51">
          <w:rPr>
            <w:noProof/>
            <w:webHidden/>
          </w:rPr>
          <w:fldChar w:fldCharType="begin"/>
        </w:r>
        <w:r w:rsidR="00CB2C51">
          <w:rPr>
            <w:noProof/>
            <w:webHidden/>
          </w:rPr>
          <w:instrText xml:space="preserve"> PAGEREF _Toc514428323 \h </w:instrText>
        </w:r>
        <w:r w:rsidR="00CB2C51">
          <w:rPr>
            <w:noProof/>
            <w:webHidden/>
          </w:rPr>
        </w:r>
        <w:r w:rsidR="00CB2C51">
          <w:rPr>
            <w:noProof/>
            <w:webHidden/>
          </w:rPr>
          <w:fldChar w:fldCharType="separate"/>
        </w:r>
        <w:r w:rsidR="00661C15">
          <w:rPr>
            <w:noProof/>
            <w:webHidden/>
          </w:rPr>
          <w:t>12</w:t>
        </w:r>
        <w:r w:rsidR="00CB2C51">
          <w:rPr>
            <w:noProof/>
            <w:webHidden/>
          </w:rPr>
          <w:fldChar w:fldCharType="end"/>
        </w:r>
      </w:hyperlink>
    </w:p>
    <w:p w14:paraId="28D56117" w14:textId="0FEC627A" w:rsidR="00CB2C51" w:rsidRDefault="00297F2E">
      <w:pPr>
        <w:pStyle w:val="TOC2"/>
        <w:rPr>
          <w:rFonts w:asciiTheme="minorHAnsi" w:eastAsiaTheme="minorEastAsia" w:hAnsiTheme="minorHAnsi" w:cstheme="minorBidi"/>
          <w:noProof/>
          <w:sz w:val="22"/>
          <w:szCs w:val="22"/>
          <w:lang w:val="da-DK" w:eastAsia="da-DK"/>
        </w:rPr>
      </w:pPr>
      <w:hyperlink w:anchor="_Toc514428324" w:history="1">
        <w:r w:rsidR="00CB2C51" w:rsidRPr="00067F2E">
          <w:rPr>
            <w:rStyle w:val="Hyperlink"/>
            <w:noProof/>
          </w:rPr>
          <w:t>2.1</w:t>
        </w:r>
        <w:r w:rsidR="00CB2C51">
          <w:rPr>
            <w:rFonts w:asciiTheme="minorHAnsi" w:eastAsiaTheme="minorEastAsia" w:hAnsiTheme="minorHAnsi" w:cstheme="minorBidi"/>
            <w:noProof/>
            <w:sz w:val="22"/>
            <w:szCs w:val="22"/>
            <w:lang w:val="da-DK" w:eastAsia="da-DK"/>
          </w:rPr>
          <w:tab/>
        </w:r>
        <w:r w:rsidR="00CB2C51" w:rsidRPr="00067F2E">
          <w:rPr>
            <w:rStyle w:val="Hyperlink"/>
            <w:noProof/>
          </w:rPr>
          <w:t>Frequency arrangement in current framework</w:t>
        </w:r>
        <w:r w:rsidR="00CB2C51">
          <w:rPr>
            <w:noProof/>
            <w:webHidden/>
          </w:rPr>
          <w:tab/>
        </w:r>
        <w:r w:rsidR="00CB2C51">
          <w:rPr>
            <w:noProof/>
            <w:webHidden/>
          </w:rPr>
          <w:fldChar w:fldCharType="begin"/>
        </w:r>
        <w:r w:rsidR="00CB2C51">
          <w:rPr>
            <w:noProof/>
            <w:webHidden/>
          </w:rPr>
          <w:instrText xml:space="preserve"> PAGEREF _Toc514428324 \h </w:instrText>
        </w:r>
        <w:r w:rsidR="00CB2C51">
          <w:rPr>
            <w:noProof/>
            <w:webHidden/>
          </w:rPr>
        </w:r>
        <w:r w:rsidR="00CB2C51">
          <w:rPr>
            <w:noProof/>
            <w:webHidden/>
          </w:rPr>
          <w:fldChar w:fldCharType="separate"/>
        </w:r>
        <w:r w:rsidR="00661C15">
          <w:rPr>
            <w:noProof/>
            <w:webHidden/>
          </w:rPr>
          <w:t>12</w:t>
        </w:r>
        <w:r w:rsidR="00CB2C51">
          <w:rPr>
            <w:noProof/>
            <w:webHidden/>
          </w:rPr>
          <w:fldChar w:fldCharType="end"/>
        </w:r>
      </w:hyperlink>
    </w:p>
    <w:p w14:paraId="1CFA806E" w14:textId="32E0966D" w:rsidR="00CB2C51" w:rsidRDefault="00297F2E">
      <w:pPr>
        <w:pStyle w:val="TOC2"/>
        <w:rPr>
          <w:rFonts w:asciiTheme="minorHAnsi" w:eastAsiaTheme="minorEastAsia" w:hAnsiTheme="minorHAnsi" w:cstheme="minorBidi"/>
          <w:noProof/>
          <w:sz w:val="22"/>
          <w:szCs w:val="22"/>
          <w:lang w:val="da-DK" w:eastAsia="da-DK"/>
        </w:rPr>
      </w:pPr>
      <w:hyperlink w:anchor="_Toc514428325" w:history="1">
        <w:r w:rsidR="00CB2C51" w:rsidRPr="00067F2E">
          <w:rPr>
            <w:rStyle w:val="Hyperlink"/>
            <w:noProof/>
          </w:rPr>
          <w:t>2.2</w:t>
        </w:r>
        <w:r w:rsidR="00CB2C51">
          <w:rPr>
            <w:rFonts w:asciiTheme="minorHAnsi" w:eastAsiaTheme="minorEastAsia" w:hAnsiTheme="minorHAnsi" w:cstheme="minorBidi"/>
            <w:noProof/>
            <w:sz w:val="22"/>
            <w:szCs w:val="22"/>
            <w:lang w:val="da-DK" w:eastAsia="da-DK"/>
          </w:rPr>
          <w:tab/>
        </w:r>
        <w:r w:rsidR="00CB2C51" w:rsidRPr="00067F2E">
          <w:rPr>
            <w:rStyle w:val="Hyperlink"/>
            <w:noProof/>
          </w:rPr>
          <w:t>Proposed frequency arrangement</w:t>
        </w:r>
        <w:r w:rsidR="00CB2C51">
          <w:rPr>
            <w:noProof/>
            <w:webHidden/>
          </w:rPr>
          <w:tab/>
        </w:r>
        <w:r w:rsidR="00CB2C51">
          <w:rPr>
            <w:noProof/>
            <w:webHidden/>
          </w:rPr>
          <w:fldChar w:fldCharType="begin"/>
        </w:r>
        <w:r w:rsidR="00CB2C51">
          <w:rPr>
            <w:noProof/>
            <w:webHidden/>
          </w:rPr>
          <w:instrText xml:space="preserve"> PAGEREF _Toc514428325 \h </w:instrText>
        </w:r>
        <w:r w:rsidR="00CB2C51">
          <w:rPr>
            <w:noProof/>
            <w:webHidden/>
          </w:rPr>
        </w:r>
        <w:r w:rsidR="00CB2C51">
          <w:rPr>
            <w:noProof/>
            <w:webHidden/>
          </w:rPr>
          <w:fldChar w:fldCharType="separate"/>
        </w:r>
        <w:r w:rsidR="00661C15">
          <w:rPr>
            <w:noProof/>
            <w:webHidden/>
          </w:rPr>
          <w:t>12</w:t>
        </w:r>
        <w:r w:rsidR="00CB2C51">
          <w:rPr>
            <w:noProof/>
            <w:webHidden/>
          </w:rPr>
          <w:fldChar w:fldCharType="end"/>
        </w:r>
      </w:hyperlink>
    </w:p>
    <w:p w14:paraId="511DC3F7" w14:textId="75272EF6" w:rsidR="00CB2C51" w:rsidRDefault="00297F2E">
      <w:pPr>
        <w:pStyle w:val="TOC1"/>
        <w:rPr>
          <w:rFonts w:asciiTheme="minorHAnsi" w:eastAsiaTheme="minorEastAsia" w:hAnsiTheme="minorHAnsi" w:cstheme="minorBidi"/>
          <w:b w:val="0"/>
          <w:caps w:val="0"/>
          <w:noProof/>
          <w:sz w:val="22"/>
          <w:szCs w:val="22"/>
          <w:lang w:val="da-DK" w:eastAsia="da-DK"/>
        </w:rPr>
      </w:pPr>
      <w:hyperlink w:anchor="_Toc514428326" w:history="1">
        <w:r w:rsidR="00CB2C51" w:rsidRPr="00067F2E">
          <w:rPr>
            <w:rStyle w:val="Hyperlink"/>
            <w:rFonts w:eastAsia="Calibri"/>
            <w:noProof/>
          </w:rPr>
          <w:t>3</w:t>
        </w:r>
        <w:r w:rsidR="00CB2C51">
          <w:rPr>
            <w:rFonts w:asciiTheme="minorHAnsi" w:eastAsiaTheme="minorEastAsia" w:hAnsiTheme="minorHAnsi" w:cstheme="minorBidi"/>
            <w:b w:val="0"/>
            <w:caps w:val="0"/>
            <w:noProof/>
            <w:sz w:val="22"/>
            <w:szCs w:val="22"/>
            <w:lang w:val="da-DK" w:eastAsia="da-DK"/>
          </w:rPr>
          <w:tab/>
        </w:r>
        <w:r w:rsidR="00CB2C51" w:rsidRPr="00067F2E">
          <w:rPr>
            <w:rStyle w:val="Hyperlink"/>
            <w:noProof/>
          </w:rPr>
          <w:t>Existing BEM Requirements</w:t>
        </w:r>
        <w:r w:rsidR="00CB2C51">
          <w:rPr>
            <w:noProof/>
            <w:webHidden/>
          </w:rPr>
          <w:tab/>
        </w:r>
        <w:r w:rsidR="00CB2C51">
          <w:rPr>
            <w:noProof/>
            <w:webHidden/>
          </w:rPr>
          <w:fldChar w:fldCharType="begin"/>
        </w:r>
        <w:r w:rsidR="00CB2C51">
          <w:rPr>
            <w:noProof/>
            <w:webHidden/>
          </w:rPr>
          <w:instrText xml:space="preserve"> PAGEREF _Toc514428326 \h </w:instrText>
        </w:r>
        <w:r w:rsidR="00CB2C51">
          <w:rPr>
            <w:noProof/>
            <w:webHidden/>
          </w:rPr>
        </w:r>
        <w:r w:rsidR="00CB2C51">
          <w:rPr>
            <w:noProof/>
            <w:webHidden/>
          </w:rPr>
          <w:fldChar w:fldCharType="separate"/>
        </w:r>
        <w:r w:rsidR="00661C15">
          <w:rPr>
            <w:noProof/>
            <w:webHidden/>
          </w:rPr>
          <w:t>14</w:t>
        </w:r>
        <w:r w:rsidR="00CB2C51">
          <w:rPr>
            <w:noProof/>
            <w:webHidden/>
          </w:rPr>
          <w:fldChar w:fldCharType="end"/>
        </w:r>
      </w:hyperlink>
    </w:p>
    <w:p w14:paraId="7DF3C9EC" w14:textId="19F5C5C2" w:rsidR="00CB2C51" w:rsidRDefault="00297F2E">
      <w:pPr>
        <w:pStyle w:val="TOC1"/>
        <w:rPr>
          <w:rFonts w:asciiTheme="minorHAnsi" w:eastAsiaTheme="minorEastAsia" w:hAnsiTheme="minorHAnsi" w:cstheme="minorBidi"/>
          <w:b w:val="0"/>
          <w:caps w:val="0"/>
          <w:noProof/>
          <w:sz w:val="22"/>
          <w:szCs w:val="22"/>
          <w:lang w:val="da-DK" w:eastAsia="da-DK"/>
        </w:rPr>
      </w:pPr>
      <w:hyperlink w:anchor="_Toc514428327" w:history="1">
        <w:r w:rsidR="00CB2C51" w:rsidRPr="00067F2E">
          <w:rPr>
            <w:rStyle w:val="Hyperlink"/>
            <w:noProof/>
          </w:rPr>
          <w:t>4</w:t>
        </w:r>
        <w:r w:rsidR="00CB2C51">
          <w:rPr>
            <w:rFonts w:asciiTheme="minorHAnsi" w:eastAsiaTheme="minorEastAsia" w:hAnsiTheme="minorHAnsi" w:cstheme="minorBidi"/>
            <w:b w:val="0"/>
            <w:caps w:val="0"/>
            <w:noProof/>
            <w:sz w:val="22"/>
            <w:szCs w:val="22"/>
            <w:lang w:val="da-DK" w:eastAsia="da-DK"/>
          </w:rPr>
          <w:tab/>
        </w:r>
        <w:r w:rsidR="00CB2C51" w:rsidRPr="00067F2E">
          <w:rPr>
            <w:rStyle w:val="Hyperlink"/>
            <w:noProof/>
          </w:rPr>
          <w:t>Analysis of the suitability of the current BEM requirements for 5G</w:t>
        </w:r>
        <w:r w:rsidR="00CB2C51">
          <w:rPr>
            <w:noProof/>
            <w:webHidden/>
          </w:rPr>
          <w:tab/>
        </w:r>
        <w:r w:rsidR="00CB2C51">
          <w:rPr>
            <w:noProof/>
            <w:webHidden/>
          </w:rPr>
          <w:fldChar w:fldCharType="begin"/>
        </w:r>
        <w:r w:rsidR="00CB2C51">
          <w:rPr>
            <w:noProof/>
            <w:webHidden/>
          </w:rPr>
          <w:instrText xml:space="preserve"> PAGEREF _Toc514428327 \h </w:instrText>
        </w:r>
        <w:r w:rsidR="00CB2C51">
          <w:rPr>
            <w:noProof/>
            <w:webHidden/>
          </w:rPr>
        </w:r>
        <w:r w:rsidR="00CB2C51">
          <w:rPr>
            <w:noProof/>
            <w:webHidden/>
          </w:rPr>
          <w:fldChar w:fldCharType="separate"/>
        </w:r>
        <w:r w:rsidR="00661C15">
          <w:rPr>
            <w:noProof/>
            <w:webHidden/>
          </w:rPr>
          <w:t>15</w:t>
        </w:r>
        <w:r w:rsidR="00CB2C51">
          <w:rPr>
            <w:noProof/>
            <w:webHidden/>
          </w:rPr>
          <w:fldChar w:fldCharType="end"/>
        </w:r>
      </w:hyperlink>
    </w:p>
    <w:p w14:paraId="0C9651DB" w14:textId="0003F247" w:rsidR="00CB2C51" w:rsidRDefault="00297F2E">
      <w:pPr>
        <w:pStyle w:val="TOC2"/>
        <w:rPr>
          <w:rFonts w:asciiTheme="minorHAnsi" w:eastAsiaTheme="minorEastAsia" w:hAnsiTheme="minorHAnsi" w:cstheme="minorBidi"/>
          <w:noProof/>
          <w:sz w:val="22"/>
          <w:szCs w:val="22"/>
          <w:lang w:val="da-DK" w:eastAsia="da-DK"/>
        </w:rPr>
      </w:pPr>
      <w:hyperlink w:anchor="_Toc514428328" w:history="1">
        <w:r w:rsidR="00CB2C51" w:rsidRPr="00067F2E">
          <w:rPr>
            <w:rStyle w:val="Hyperlink"/>
            <w:noProof/>
            <w:lang w:eastAsia="de-DE"/>
          </w:rPr>
          <w:t>4.1</w:t>
        </w:r>
        <w:r w:rsidR="00CB2C51">
          <w:rPr>
            <w:rFonts w:asciiTheme="minorHAnsi" w:eastAsiaTheme="minorEastAsia" w:hAnsiTheme="minorHAnsi" w:cstheme="minorBidi"/>
            <w:noProof/>
            <w:sz w:val="22"/>
            <w:szCs w:val="22"/>
            <w:lang w:val="da-DK" w:eastAsia="da-DK"/>
          </w:rPr>
          <w:tab/>
        </w:r>
        <w:r w:rsidR="00CB2C51" w:rsidRPr="00067F2E">
          <w:rPr>
            <w:rStyle w:val="Hyperlink"/>
            <w:noProof/>
            <w:lang w:eastAsia="de-DE"/>
          </w:rPr>
          <w:t>Method for assessing the suitability of existing BEM for 5G</w:t>
        </w:r>
        <w:r w:rsidR="00CB2C51">
          <w:rPr>
            <w:noProof/>
            <w:webHidden/>
          </w:rPr>
          <w:tab/>
        </w:r>
        <w:r w:rsidR="00CB2C51">
          <w:rPr>
            <w:noProof/>
            <w:webHidden/>
          </w:rPr>
          <w:fldChar w:fldCharType="begin"/>
        </w:r>
        <w:r w:rsidR="00CB2C51">
          <w:rPr>
            <w:noProof/>
            <w:webHidden/>
          </w:rPr>
          <w:instrText xml:space="preserve"> PAGEREF _Toc514428328 \h </w:instrText>
        </w:r>
        <w:r w:rsidR="00CB2C51">
          <w:rPr>
            <w:noProof/>
            <w:webHidden/>
          </w:rPr>
        </w:r>
        <w:r w:rsidR="00CB2C51">
          <w:rPr>
            <w:noProof/>
            <w:webHidden/>
          </w:rPr>
          <w:fldChar w:fldCharType="separate"/>
        </w:r>
        <w:r w:rsidR="00661C15">
          <w:rPr>
            <w:noProof/>
            <w:webHidden/>
          </w:rPr>
          <w:t>15</w:t>
        </w:r>
        <w:r w:rsidR="00CB2C51">
          <w:rPr>
            <w:noProof/>
            <w:webHidden/>
          </w:rPr>
          <w:fldChar w:fldCharType="end"/>
        </w:r>
      </w:hyperlink>
    </w:p>
    <w:p w14:paraId="7DCF006B" w14:textId="62C9168D" w:rsidR="00CB2C51" w:rsidRDefault="00297F2E">
      <w:pPr>
        <w:pStyle w:val="TOC2"/>
        <w:rPr>
          <w:rFonts w:asciiTheme="minorHAnsi" w:eastAsiaTheme="minorEastAsia" w:hAnsiTheme="minorHAnsi" w:cstheme="minorBidi"/>
          <w:noProof/>
          <w:sz w:val="22"/>
          <w:szCs w:val="22"/>
          <w:lang w:val="da-DK" w:eastAsia="da-DK"/>
        </w:rPr>
      </w:pPr>
      <w:hyperlink w:anchor="_Toc514428329" w:history="1">
        <w:r w:rsidR="00CB2C51" w:rsidRPr="00067F2E">
          <w:rPr>
            <w:rStyle w:val="Hyperlink"/>
            <w:rFonts w:eastAsia="Calibri"/>
            <w:noProof/>
          </w:rPr>
          <w:t>4.2</w:t>
        </w:r>
        <w:r w:rsidR="00CB2C51">
          <w:rPr>
            <w:rFonts w:asciiTheme="minorHAnsi" w:eastAsiaTheme="minorEastAsia" w:hAnsiTheme="minorHAnsi" w:cstheme="minorBidi"/>
            <w:noProof/>
            <w:sz w:val="22"/>
            <w:szCs w:val="22"/>
            <w:lang w:val="da-DK" w:eastAsia="da-DK"/>
          </w:rPr>
          <w:tab/>
        </w:r>
        <w:r w:rsidR="00CB2C51" w:rsidRPr="00067F2E">
          <w:rPr>
            <w:rStyle w:val="Hyperlink"/>
            <w:rFonts w:eastAsia="Calibri"/>
            <w:noProof/>
          </w:rPr>
          <w:t>Definitions</w:t>
        </w:r>
        <w:r w:rsidR="00CB2C51">
          <w:rPr>
            <w:noProof/>
            <w:webHidden/>
          </w:rPr>
          <w:tab/>
        </w:r>
        <w:r w:rsidR="00CB2C51">
          <w:rPr>
            <w:noProof/>
            <w:webHidden/>
          </w:rPr>
          <w:fldChar w:fldCharType="begin"/>
        </w:r>
        <w:r w:rsidR="00CB2C51">
          <w:rPr>
            <w:noProof/>
            <w:webHidden/>
          </w:rPr>
          <w:instrText xml:space="preserve"> PAGEREF _Toc514428329 \h </w:instrText>
        </w:r>
        <w:r w:rsidR="00CB2C51">
          <w:rPr>
            <w:noProof/>
            <w:webHidden/>
          </w:rPr>
        </w:r>
        <w:r w:rsidR="00CB2C51">
          <w:rPr>
            <w:noProof/>
            <w:webHidden/>
          </w:rPr>
          <w:fldChar w:fldCharType="separate"/>
        </w:r>
        <w:r w:rsidR="00661C15">
          <w:rPr>
            <w:noProof/>
            <w:webHidden/>
          </w:rPr>
          <w:t>16</w:t>
        </w:r>
        <w:r w:rsidR="00CB2C51">
          <w:rPr>
            <w:noProof/>
            <w:webHidden/>
          </w:rPr>
          <w:fldChar w:fldCharType="end"/>
        </w:r>
      </w:hyperlink>
    </w:p>
    <w:p w14:paraId="094FFC1D" w14:textId="729707C3" w:rsidR="00CB2C51" w:rsidRDefault="00297F2E">
      <w:pPr>
        <w:pStyle w:val="TOC3"/>
        <w:rPr>
          <w:rFonts w:asciiTheme="minorHAnsi" w:eastAsiaTheme="minorEastAsia" w:hAnsiTheme="minorHAnsi" w:cstheme="minorBidi"/>
          <w:noProof/>
          <w:sz w:val="22"/>
          <w:szCs w:val="22"/>
          <w:lang w:val="da-DK" w:eastAsia="da-DK"/>
        </w:rPr>
      </w:pPr>
      <w:hyperlink w:anchor="_Toc514428330" w:history="1">
        <w:r w:rsidR="00CB2C51" w:rsidRPr="00067F2E">
          <w:rPr>
            <w:rStyle w:val="Hyperlink"/>
            <w:rFonts w:eastAsia="Calibri"/>
            <w:noProof/>
            <w:lang w:val="en-GB"/>
          </w:rPr>
          <w:t>4.2.1</w:t>
        </w:r>
        <w:r w:rsidR="00CB2C51">
          <w:rPr>
            <w:rFonts w:asciiTheme="minorHAnsi" w:eastAsiaTheme="minorEastAsia" w:hAnsiTheme="minorHAnsi" w:cstheme="minorBidi"/>
            <w:noProof/>
            <w:sz w:val="22"/>
            <w:szCs w:val="22"/>
            <w:lang w:val="da-DK" w:eastAsia="da-DK"/>
          </w:rPr>
          <w:tab/>
        </w:r>
        <w:r w:rsidR="00CB2C51" w:rsidRPr="00067F2E">
          <w:rPr>
            <w:rStyle w:val="Hyperlink"/>
            <w:rFonts w:eastAsia="Calibri"/>
            <w:noProof/>
            <w:lang w:val="en-GB"/>
          </w:rPr>
          <w:t>Non</w:t>
        </w:r>
        <w:r w:rsidR="00CB2C51" w:rsidRPr="00067F2E">
          <w:rPr>
            <w:rStyle w:val="Hyperlink"/>
            <w:noProof/>
            <w:lang w:val="en-GB"/>
          </w:rPr>
          <w:t>-AAS</w:t>
        </w:r>
        <w:r w:rsidR="00CB2C51" w:rsidRPr="00067F2E">
          <w:rPr>
            <w:rStyle w:val="Hyperlink"/>
            <w:rFonts w:eastAsia="Calibri"/>
            <w:noProof/>
            <w:lang w:val="en-GB"/>
          </w:rPr>
          <w:t xml:space="preserve"> WBB ECS base stations</w:t>
        </w:r>
        <w:r w:rsidR="00CB2C51">
          <w:rPr>
            <w:noProof/>
            <w:webHidden/>
          </w:rPr>
          <w:tab/>
        </w:r>
        <w:r w:rsidR="00CB2C51">
          <w:rPr>
            <w:noProof/>
            <w:webHidden/>
          </w:rPr>
          <w:fldChar w:fldCharType="begin"/>
        </w:r>
        <w:r w:rsidR="00CB2C51">
          <w:rPr>
            <w:noProof/>
            <w:webHidden/>
          </w:rPr>
          <w:instrText xml:space="preserve"> PAGEREF _Toc514428330 \h </w:instrText>
        </w:r>
        <w:r w:rsidR="00CB2C51">
          <w:rPr>
            <w:noProof/>
            <w:webHidden/>
          </w:rPr>
        </w:r>
        <w:r w:rsidR="00CB2C51">
          <w:rPr>
            <w:noProof/>
            <w:webHidden/>
          </w:rPr>
          <w:fldChar w:fldCharType="separate"/>
        </w:r>
        <w:r w:rsidR="00661C15">
          <w:rPr>
            <w:noProof/>
            <w:webHidden/>
          </w:rPr>
          <w:t>16</w:t>
        </w:r>
        <w:r w:rsidR="00CB2C51">
          <w:rPr>
            <w:noProof/>
            <w:webHidden/>
          </w:rPr>
          <w:fldChar w:fldCharType="end"/>
        </w:r>
      </w:hyperlink>
    </w:p>
    <w:p w14:paraId="5C87A5F2" w14:textId="6EAC1666" w:rsidR="00CB2C51" w:rsidRDefault="00297F2E">
      <w:pPr>
        <w:pStyle w:val="TOC3"/>
        <w:rPr>
          <w:rFonts w:asciiTheme="minorHAnsi" w:eastAsiaTheme="minorEastAsia" w:hAnsiTheme="minorHAnsi" w:cstheme="minorBidi"/>
          <w:noProof/>
          <w:sz w:val="22"/>
          <w:szCs w:val="22"/>
          <w:lang w:val="da-DK" w:eastAsia="da-DK"/>
        </w:rPr>
      </w:pPr>
      <w:hyperlink w:anchor="_Toc514428331" w:history="1">
        <w:r w:rsidR="00CB2C51" w:rsidRPr="00067F2E">
          <w:rPr>
            <w:rStyle w:val="Hyperlink"/>
            <w:rFonts w:eastAsia="Calibri"/>
            <w:noProof/>
            <w:lang w:val="en-GB"/>
          </w:rPr>
          <w:t>4.2.2</w:t>
        </w:r>
        <w:r w:rsidR="00CB2C51">
          <w:rPr>
            <w:rFonts w:asciiTheme="minorHAnsi" w:eastAsiaTheme="minorEastAsia" w:hAnsiTheme="minorHAnsi" w:cstheme="minorBidi"/>
            <w:noProof/>
            <w:sz w:val="22"/>
            <w:szCs w:val="22"/>
            <w:lang w:val="da-DK" w:eastAsia="da-DK"/>
          </w:rPr>
          <w:tab/>
        </w:r>
        <w:r w:rsidR="00CB2C51" w:rsidRPr="00067F2E">
          <w:rPr>
            <w:rStyle w:val="Hyperlink"/>
            <w:noProof/>
            <w:lang w:val="en-GB"/>
          </w:rPr>
          <w:t>AAS</w:t>
        </w:r>
        <w:r w:rsidR="00CB2C51" w:rsidRPr="00067F2E">
          <w:rPr>
            <w:rStyle w:val="Hyperlink"/>
            <w:rFonts w:eastAsia="Calibri"/>
            <w:noProof/>
            <w:lang w:val="en-GB"/>
          </w:rPr>
          <w:t xml:space="preserve"> WBB ECS base stations</w:t>
        </w:r>
        <w:r w:rsidR="00CB2C51">
          <w:rPr>
            <w:noProof/>
            <w:webHidden/>
          </w:rPr>
          <w:tab/>
        </w:r>
        <w:r w:rsidR="00CB2C51">
          <w:rPr>
            <w:noProof/>
            <w:webHidden/>
          </w:rPr>
          <w:fldChar w:fldCharType="begin"/>
        </w:r>
        <w:r w:rsidR="00CB2C51">
          <w:rPr>
            <w:noProof/>
            <w:webHidden/>
          </w:rPr>
          <w:instrText xml:space="preserve"> PAGEREF _Toc514428331 \h </w:instrText>
        </w:r>
        <w:r w:rsidR="00CB2C51">
          <w:rPr>
            <w:noProof/>
            <w:webHidden/>
          </w:rPr>
        </w:r>
        <w:r w:rsidR="00CB2C51">
          <w:rPr>
            <w:noProof/>
            <w:webHidden/>
          </w:rPr>
          <w:fldChar w:fldCharType="separate"/>
        </w:r>
        <w:r w:rsidR="00661C15">
          <w:rPr>
            <w:noProof/>
            <w:webHidden/>
          </w:rPr>
          <w:t>16</w:t>
        </w:r>
        <w:r w:rsidR="00CB2C51">
          <w:rPr>
            <w:noProof/>
            <w:webHidden/>
          </w:rPr>
          <w:fldChar w:fldCharType="end"/>
        </w:r>
      </w:hyperlink>
    </w:p>
    <w:p w14:paraId="5AF624B5" w14:textId="0201A6FD" w:rsidR="00CB2C51" w:rsidRDefault="00297F2E">
      <w:pPr>
        <w:pStyle w:val="TOC3"/>
        <w:rPr>
          <w:rFonts w:asciiTheme="minorHAnsi" w:eastAsiaTheme="minorEastAsia" w:hAnsiTheme="minorHAnsi" w:cstheme="minorBidi"/>
          <w:noProof/>
          <w:sz w:val="22"/>
          <w:szCs w:val="22"/>
          <w:lang w:val="da-DK" w:eastAsia="da-DK"/>
        </w:rPr>
      </w:pPr>
      <w:hyperlink w:anchor="_Toc514428332" w:history="1">
        <w:r w:rsidR="00CB2C51" w:rsidRPr="00067F2E">
          <w:rPr>
            <w:rStyle w:val="Hyperlink"/>
            <w:noProof/>
            <w:lang w:val="en-GB"/>
          </w:rPr>
          <w:t>4.2.3</w:t>
        </w:r>
        <w:r w:rsidR="00CB2C51">
          <w:rPr>
            <w:rFonts w:asciiTheme="minorHAnsi" w:eastAsiaTheme="minorEastAsia" w:hAnsiTheme="minorHAnsi" w:cstheme="minorBidi"/>
            <w:noProof/>
            <w:sz w:val="22"/>
            <w:szCs w:val="22"/>
            <w:lang w:val="da-DK" w:eastAsia="da-DK"/>
          </w:rPr>
          <w:tab/>
        </w:r>
        <w:r w:rsidR="00CB2C51" w:rsidRPr="00067F2E">
          <w:rPr>
            <w:rStyle w:val="Hyperlink"/>
            <w:noProof/>
            <w:lang w:val="en-GB"/>
          </w:rPr>
          <w:t>Total Radiated Power (TRP)</w:t>
        </w:r>
        <w:r w:rsidR="00CB2C51">
          <w:rPr>
            <w:noProof/>
            <w:webHidden/>
          </w:rPr>
          <w:tab/>
        </w:r>
        <w:r w:rsidR="00CB2C51">
          <w:rPr>
            <w:noProof/>
            <w:webHidden/>
          </w:rPr>
          <w:fldChar w:fldCharType="begin"/>
        </w:r>
        <w:r w:rsidR="00CB2C51">
          <w:rPr>
            <w:noProof/>
            <w:webHidden/>
          </w:rPr>
          <w:instrText xml:space="preserve"> PAGEREF _Toc514428332 \h </w:instrText>
        </w:r>
        <w:r w:rsidR="00CB2C51">
          <w:rPr>
            <w:noProof/>
            <w:webHidden/>
          </w:rPr>
        </w:r>
        <w:r w:rsidR="00CB2C51">
          <w:rPr>
            <w:noProof/>
            <w:webHidden/>
          </w:rPr>
          <w:fldChar w:fldCharType="separate"/>
        </w:r>
        <w:r w:rsidR="00661C15">
          <w:rPr>
            <w:noProof/>
            <w:webHidden/>
          </w:rPr>
          <w:t>17</w:t>
        </w:r>
        <w:r w:rsidR="00CB2C51">
          <w:rPr>
            <w:noProof/>
            <w:webHidden/>
          </w:rPr>
          <w:fldChar w:fldCharType="end"/>
        </w:r>
      </w:hyperlink>
    </w:p>
    <w:p w14:paraId="2FEB0DE5" w14:textId="2618D5F5" w:rsidR="00CB2C51" w:rsidRDefault="00297F2E">
      <w:pPr>
        <w:pStyle w:val="TOC3"/>
        <w:rPr>
          <w:rFonts w:asciiTheme="minorHAnsi" w:eastAsiaTheme="minorEastAsia" w:hAnsiTheme="minorHAnsi" w:cstheme="minorBidi"/>
          <w:noProof/>
          <w:sz w:val="22"/>
          <w:szCs w:val="22"/>
          <w:lang w:val="da-DK" w:eastAsia="da-DK"/>
        </w:rPr>
      </w:pPr>
      <w:hyperlink w:anchor="_Toc514428333" w:history="1">
        <w:r w:rsidR="00CB2C51" w:rsidRPr="00067F2E">
          <w:rPr>
            <w:rStyle w:val="Hyperlink"/>
            <w:noProof/>
            <w:lang w:val="en-GB"/>
          </w:rPr>
          <w:t>4.2.4</w:t>
        </w:r>
        <w:r w:rsidR="00CB2C51">
          <w:rPr>
            <w:rFonts w:asciiTheme="minorHAnsi" w:eastAsiaTheme="minorEastAsia" w:hAnsiTheme="minorHAnsi" w:cstheme="minorBidi"/>
            <w:noProof/>
            <w:sz w:val="22"/>
            <w:szCs w:val="22"/>
            <w:lang w:val="da-DK" w:eastAsia="da-DK"/>
          </w:rPr>
          <w:tab/>
        </w:r>
        <w:r w:rsidR="00CB2C51" w:rsidRPr="00067F2E">
          <w:rPr>
            <w:rStyle w:val="Hyperlink"/>
            <w:noProof/>
            <w:lang w:val="en-GB"/>
          </w:rPr>
          <w:t>Synchronisation in TDD WBB ECS</w:t>
        </w:r>
        <w:r w:rsidR="00CB2C51">
          <w:rPr>
            <w:noProof/>
            <w:webHidden/>
          </w:rPr>
          <w:tab/>
        </w:r>
        <w:r w:rsidR="00CB2C51">
          <w:rPr>
            <w:noProof/>
            <w:webHidden/>
          </w:rPr>
          <w:fldChar w:fldCharType="begin"/>
        </w:r>
        <w:r w:rsidR="00CB2C51">
          <w:rPr>
            <w:noProof/>
            <w:webHidden/>
          </w:rPr>
          <w:instrText xml:space="preserve"> PAGEREF _Toc514428333 \h </w:instrText>
        </w:r>
        <w:r w:rsidR="00CB2C51">
          <w:rPr>
            <w:noProof/>
            <w:webHidden/>
          </w:rPr>
        </w:r>
        <w:r w:rsidR="00CB2C51">
          <w:rPr>
            <w:noProof/>
            <w:webHidden/>
          </w:rPr>
          <w:fldChar w:fldCharType="separate"/>
        </w:r>
        <w:r w:rsidR="00661C15">
          <w:rPr>
            <w:noProof/>
            <w:webHidden/>
          </w:rPr>
          <w:t>17</w:t>
        </w:r>
        <w:r w:rsidR="00CB2C51">
          <w:rPr>
            <w:noProof/>
            <w:webHidden/>
          </w:rPr>
          <w:fldChar w:fldCharType="end"/>
        </w:r>
      </w:hyperlink>
    </w:p>
    <w:p w14:paraId="6780D15F" w14:textId="7FC20EFC" w:rsidR="00CB2C51" w:rsidRDefault="00297F2E">
      <w:pPr>
        <w:pStyle w:val="TOC2"/>
        <w:rPr>
          <w:rFonts w:asciiTheme="minorHAnsi" w:eastAsiaTheme="minorEastAsia" w:hAnsiTheme="minorHAnsi" w:cstheme="minorBidi"/>
          <w:noProof/>
          <w:sz w:val="22"/>
          <w:szCs w:val="22"/>
          <w:lang w:val="da-DK" w:eastAsia="da-DK"/>
        </w:rPr>
      </w:pPr>
      <w:hyperlink w:anchor="_Toc514428334" w:history="1">
        <w:r w:rsidR="00CB2C51" w:rsidRPr="00067F2E">
          <w:rPr>
            <w:rStyle w:val="Hyperlink"/>
            <w:noProof/>
          </w:rPr>
          <w:t>4.3</w:t>
        </w:r>
        <w:r w:rsidR="00CB2C51">
          <w:rPr>
            <w:rFonts w:asciiTheme="minorHAnsi" w:eastAsiaTheme="minorEastAsia" w:hAnsiTheme="minorHAnsi" w:cstheme="minorBidi"/>
            <w:noProof/>
            <w:sz w:val="22"/>
            <w:szCs w:val="22"/>
            <w:lang w:val="da-DK" w:eastAsia="da-DK"/>
          </w:rPr>
          <w:tab/>
        </w:r>
        <w:r w:rsidR="00CB2C51" w:rsidRPr="00067F2E">
          <w:rPr>
            <w:rStyle w:val="Hyperlink"/>
            <w:noProof/>
          </w:rPr>
          <w:t>Suitability for non-AAS WBB ECS</w:t>
        </w:r>
        <w:r w:rsidR="00CB2C51">
          <w:rPr>
            <w:noProof/>
            <w:webHidden/>
          </w:rPr>
          <w:tab/>
        </w:r>
        <w:r w:rsidR="00CB2C51">
          <w:rPr>
            <w:noProof/>
            <w:webHidden/>
          </w:rPr>
          <w:fldChar w:fldCharType="begin"/>
        </w:r>
        <w:r w:rsidR="00CB2C51">
          <w:rPr>
            <w:noProof/>
            <w:webHidden/>
          </w:rPr>
          <w:instrText xml:space="preserve"> PAGEREF _Toc514428334 \h </w:instrText>
        </w:r>
        <w:r w:rsidR="00CB2C51">
          <w:rPr>
            <w:noProof/>
            <w:webHidden/>
          </w:rPr>
        </w:r>
        <w:r w:rsidR="00CB2C51">
          <w:rPr>
            <w:noProof/>
            <w:webHidden/>
          </w:rPr>
          <w:fldChar w:fldCharType="separate"/>
        </w:r>
        <w:r w:rsidR="00661C15">
          <w:rPr>
            <w:noProof/>
            <w:webHidden/>
          </w:rPr>
          <w:t>18</w:t>
        </w:r>
        <w:r w:rsidR="00CB2C51">
          <w:rPr>
            <w:noProof/>
            <w:webHidden/>
          </w:rPr>
          <w:fldChar w:fldCharType="end"/>
        </w:r>
      </w:hyperlink>
    </w:p>
    <w:p w14:paraId="53ED18C8" w14:textId="0A2B78EA" w:rsidR="00CB2C51" w:rsidRDefault="00297F2E">
      <w:pPr>
        <w:pStyle w:val="TOC2"/>
        <w:rPr>
          <w:rFonts w:asciiTheme="minorHAnsi" w:eastAsiaTheme="minorEastAsia" w:hAnsiTheme="minorHAnsi" w:cstheme="minorBidi"/>
          <w:noProof/>
          <w:sz w:val="22"/>
          <w:szCs w:val="22"/>
          <w:lang w:val="da-DK" w:eastAsia="da-DK"/>
        </w:rPr>
      </w:pPr>
      <w:hyperlink w:anchor="_Toc514428335" w:history="1">
        <w:r w:rsidR="00CB2C51" w:rsidRPr="00067F2E">
          <w:rPr>
            <w:rStyle w:val="Hyperlink"/>
            <w:noProof/>
          </w:rPr>
          <w:t>4.4</w:t>
        </w:r>
        <w:r w:rsidR="00CB2C51">
          <w:rPr>
            <w:rFonts w:asciiTheme="minorHAnsi" w:eastAsiaTheme="minorEastAsia" w:hAnsiTheme="minorHAnsi" w:cstheme="minorBidi"/>
            <w:noProof/>
            <w:sz w:val="22"/>
            <w:szCs w:val="22"/>
            <w:lang w:val="da-DK" w:eastAsia="da-DK"/>
          </w:rPr>
          <w:tab/>
        </w:r>
        <w:r w:rsidR="00CB2C51" w:rsidRPr="00067F2E">
          <w:rPr>
            <w:rStyle w:val="Hyperlink"/>
            <w:noProof/>
          </w:rPr>
          <w:t>Suitability for AAS WBB ECS</w:t>
        </w:r>
        <w:r w:rsidR="00CB2C51">
          <w:rPr>
            <w:noProof/>
            <w:webHidden/>
          </w:rPr>
          <w:tab/>
        </w:r>
        <w:r w:rsidR="00CB2C51">
          <w:rPr>
            <w:noProof/>
            <w:webHidden/>
          </w:rPr>
          <w:fldChar w:fldCharType="begin"/>
        </w:r>
        <w:r w:rsidR="00CB2C51">
          <w:rPr>
            <w:noProof/>
            <w:webHidden/>
          </w:rPr>
          <w:instrText xml:space="preserve"> PAGEREF _Toc514428335 \h </w:instrText>
        </w:r>
        <w:r w:rsidR="00CB2C51">
          <w:rPr>
            <w:noProof/>
            <w:webHidden/>
          </w:rPr>
        </w:r>
        <w:r w:rsidR="00CB2C51">
          <w:rPr>
            <w:noProof/>
            <w:webHidden/>
          </w:rPr>
          <w:fldChar w:fldCharType="separate"/>
        </w:r>
        <w:r w:rsidR="00661C15">
          <w:rPr>
            <w:noProof/>
            <w:webHidden/>
          </w:rPr>
          <w:t>18</w:t>
        </w:r>
        <w:r w:rsidR="00CB2C51">
          <w:rPr>
            <w:noProof/>
            <w:webHidden/>
          </w:rPr>
          <w:fldChar w:fldCharType="end"/>
        </w:r>
      </w:hyperlink>
    </w:p>
    <w:p w14:paraId="49DC8061" w14:textId="3110D2C7" w:rsidR="00CB2C51" w:rsidRDefault="00297F2E">
      <w:pPr>
        <w:pStyle w:val="TOC3"/>
        <w:rPr>
          <w:rFonts w:asciiTheme="minorHAnsi" w:eastAsiaTheme="minorEastAsia" w:hAnsiTheme="minorHAnsi" w:cstheme="minorBidi"/>
          <w:noProof/>
          <w:sz w:val="22"/>
          <w:szCs w:val="22"/>
          <w:lang w:val="da-DK" w:eastAsia="da-DK"/>
        </w:rPr>
      </w:pPr>
      <w:hyperlink w:anchor="_Toc514428336" w:history="1">
        <w:r w:rsidR="00CB2C51" w:rsidRPr="00067F2E">
          <w:rPr>
            <w:rStyle w:val="Hyperlink"/>
            <w:noProof/>
            <w:lang w:val="en-GB"/>
          </w:rPr>
          <w:t>4.4.1</w:t>
        </w:r>
        <w:r w:rsidR="00CB2C51">
          <w:rPr>
            <w:rFonts w:asciiTheme="minorHAnsi" w:eastAsiaTheme="minorEastAsia" w:hAnsiTheme="minorHAnsi" w:cstheme="minorBidi"/>
            <w:noProof/>
            <w:sz w:val="22"/>
            <w:szCs w:val="22"/>
            <w:lang w:val="da-DK" w:eastAsia="da-DK"/>
          </w:rPr>
          <w:tab/>
        </w:r>
        <w:r w:rsidR="00CB2C51" w:rsidRPr="00067F2E">
          <w:rPr>
            <w:rStyle w:val="Hyperlink"/>
            <w:noProof/>
            <w:lang w:val="en-GB"/>
          </w:rPr>
          <w:t>Implications from the AAS architecture</w:t>
        </w:r>
        <w:r w:rsidR="00CB2C51">
          <w:rPr>
            <w:noProof/>
            <w:webHidden/>
          </w:rPr>
          <w:tab/>
        </w:r>
        <w:r w:rsidR="00CB2C51">
          <w:rPr>
            <w:noProof/>
            <w:webHidden/>
          </w:rPr>
          <w:fldChar w:fldCharType="begin"/>
        </w:r>
        <w:r w:rsidR="00CB2C51">
          <w:rPr>
            <w:noProof/>
            <w:webHidden/>
          </w:rPr>
          <w:instrText xml:space="preserve"> PAGEREF _Toc514428336 \h </w:instrText>
        </w:r>
        <w:r w:rsidR="00CB2C51">
          <w:rPr>
            <w:noProof/>
            <w:webHidden/>
          </w:rPr>
        </w:r>
        <w:r w:rsidR="00CB2C51">
          <w:rPr>
            <w:noProof/>
            <w:webHidden/>
          </w:rPr>
          <w:fldChar w:fldCharType="separate"/>
        </w:r>
        <w:r w:rsidR="00661C15">
          <w:rPr>
            <w:noProof/>
            <w:webHidden/>
          </w:rPr>
          <w:t>18</w:t>
        </w:r>
        <w:r w:rsidR="00CB2C51">
          <w:rPr>
            <w:noProof/>
            <w:webHidden/>
          </w:rPr>
          <w:fldChar w:fldCharType="end"/>
        </w:r>
      </w:hyperlink>
    </w:p>
    <w:p w14:paraId="2B35ED45" w14:textId="6B374C1A" w:rsidR="00CB2C51" w:rsidRDefault="00297F2E">
      <w:pPr>
        <w:pStyle w:val="TOC3"/>
        <w:rPr>
          <w:rFonts w:asciiTheme="minorHAnsi" w:eastAsiaTheme="minorEastAsia" w:hAnsiTheme="minorHAnsi" w:cstheme="minorBidi"/>
          <w:noProof/>
          <w:sz w:val="22"/>
          <w:szCs w:val="22"/>
          <w:lang w:val="da-DK" w:eastAsia="da-DK"/>
        </w:rPr>
      </w:pPr>
      <w:hyperlink w:anchor="_Toc514428337" w:history="1">
        <w:r w:rsidR="00CB2C51" w:rsidRPr="00067F2E">
          <w:rPr>
            <w:rStyle w:val="Hyperlink"/>
            <w:noProof/>
            <w:lang w:val="en-GB"/>
          </w:rPr>
          <w:t>4.4.2</w:t>
        </w:r>
        <w:r w:rsidR="00CB2C51">
          <w:rPr>
            <w:rFonts w:asciiTheme="minorHAnsi" w:eastAsiaTheme="minorEastAsia" w:hAnsiTheme="minorHAnsi" w:cstheme="minorBidi"/>
            <w:noProof/>
            <w:sz w:val="22"/>
            <w:szCs w:val="22"/>
            <w:lang w:val="da-DK" w:eastAsia="da-DK"/>
          </w:rPr>
          <w:tab/>
        </w:r>
        <w:r w:rsidR="00CB2C51" w:rsidRPr="00067F2E">
          <w:rPr>
            <w:rStyle w:val="Hyperlink"/>
            <w:noProof/>
            <w:lang w:val="en-GB"/>
          </w:rPr>
          <w:t>TRP metric vs. e.i.r.p. metric</w:t>
        </w:r>
        <w:r w:rsidR="00CB2C51">
          <w:rPr>
            <w:noProof/>
            <w:webHidden/>
          </w:rPr>
          <w:tab/>
        </w:r>
        <w:r w:rsidR="00CB2C51">
          <w:rPr>
            <w:noProof/>
            <w:webHidden/>
          </w:rPr>
          <w:fldChar w:fldCharType="begin"/>
        </w:r>
        <w:r w:rsidR="00CB2C51">
          <w:rPr>
            <w:noProof/>
            <w:webHidden/>
          </w:rPr>
          <w:instrText xml:space="preserve"> PAGEREF _Toc514428337 \h </w:instrText>
        </w:r>
        <w:r w:rsidR="00CB2C51">
          <w:rPr>
            <w:noProof/>
            <w:webHidden/>
          </w:rPr>
        </w:r>
        <w:r w:rsidR="00CB2C51">
          <w:rPr>
            <w:noProof/>
            <w:webHidden/>
          </w:rPr>
          <w:fldChar w:fldCharType="separate"/>
        </w:r>
        <w:r w:rsidR="00661C15">
          <w:rPr>
            <w:noProof/>
            <w:webHidden/>
          </w:rPr>
          <w:t>19</w:t>
        </w:r>
        <w:r w:rsidR="00CB2C51">
          <w:rPr>
            <w:noProof/>
            <w:webHidden/>
          </w:rPr>
          <w:fldChar w:fldCharType="end"/>
        </w:r>
      </w:hyperlink>
    </w:p>
    <w:p w14:paraId="4EDC3659" w14:textId="279411A4" w:rsidR="00CB2C51" w:rsidRDefault="00297F2E">
      <w:pPr>
        <w:pStyle w:val="TOC3"/>
        <w:rPr>
          <w:rFonts w:asciiTheme="minorHAnsi" w:eastAsiaTheme="minorEastAsia" w:hAnsiTheme="minorHAnsi" w:cstheme="minorBidi"/>
          <w:noProof/>
          <w:sz w:val="22"/>
          <w:szCs w:val="22"/>
          <w:lang w:val="da-DK" w:eastAsia="da-DK"/>
        </w:rPr>
      </w:pPr>
      <w:hyperlink w:anchor="_Toc514428338" w:history="1">
        <w:r w:rsidR="00CB2C51" w:rsidRPr="00067F2E">
          <w:rPr>
            <w:rStyle w:val="Hyperlink"/>
            <w:noProof/>
            <w:lang w:val="en-GB"/>
          </w:rPr>
          <w:t>4.4.3</w:t>
        </w:r>
        <w:r w:rsidR="00CB2C51">
          <w:rPr>
            <w:rFonts w:asciiTheme="minorHAnsi" w:eastAsiaTheme="minorEastAsia" w:hAnsiTheme="minorHAnsi" w:cstheme="minorBidi"/>
            <w:noProof/>
            <w:sz w:val="22"/>
            <w:szCs w:val="22"/>
            <w:lang w:val="da-DK" w:eastAsia="da-DK"/>
          </w:rPr>
          <w:tab/>
        </w:r>
        <w:r w:rsidR="00CB2C51" w:rsidRPr="00067F2E">
          <w:rPr>
            <w:rStyle w:val="Hyperlink"/>
            <w:noProof/>
            <w:lang w:val="en-GB"/>
          </w:rPr>
          <w:t>Out-of-block power limits: Interference between synchronised WBB ECS</w:t>
        </w:r>
        <w:r w:rsidR="00CB2C51">
          <w:rPr>
            <w:noProof/>
            <w:webHidden/>
          </w:rPr>
          <w:tab/>
        </w:r>
        <w:r w:rsidR="00CB2C51">
          <w:rPr>
            <w:noProof/>
            <w:webHidden/>
          </w:rPr>
          <w:fldChar w:fldCharType="begin"/>
        </w:r>
        <w:r w:rsidR="00CB2C51">
          <w:rPr>
            <w:noProof/>
            <w:webHidden/>
          </w:rPr>
          <w:instrText xml:space="preserve"> PAGEREF _Toc514428338 \h </w:instrText>
        </w:r>
        <w:r w:rsidR="00CB2C51">
          <w:rPr>
            <w:noProof/>
            <w:webHidden/>
          </w:rPr>
        </w:r>
        <w:r w:rsidR="00CB2C51">
          <w:rPr>
            <w:noProof/>
            <w:webHidden/>
          </w:rPr>
          <w:fldChar w:fldCharType="separate"/>
        </w:r>
        <w:r w:rsidR="00661C15">
          <w:rPr>
            <w:noProof/>
            <w:webHidden/>
          </w:rPr>
          <w:t>19</w:t>
        </w:r>
        <w:r w:rsidR="00CB2C51">
          <w:rPr>
            <w:noProof/>
            <w:webHidden/>
          </w:rPr>
          <w:fldChar w:fldCharType="end"/>
        </w:r>
      </w:hyperlink>
    </w:p>
    <w:p w14:paraId="711DDCB4" w14:textId="14C699AE" w:rsidR="00CB2C51" w:rsidRDefault="00297F2E">
      <w:pPr>
        <w:pStyle w:val="TOC3"/>
        <w:rPr>
          <w:rFonts w:asciiTheme="minorHAnsi" w:eastAsiaTheme="minorEastAsia" w:hAnsiTheme="minorHAnsi" w:cstheme="minorBidi"/>
          <w:noProof/>
          <w:sz w:val="22"/>
          <w:szCs w:val="22"/>
          <w:lang w:val="da-DK" w:eastAsia="da-DK"/>
        </w:rPr>
      </w:pPr>
      <w:hyperlink w:anchor="_Toc514428339" w:history="1">
        <w:r w:rsidR="00CB2C51" w:rsidRPr="00067F2E">
          <w:rPr>
            <w:rStyle w:val="Hyperlink"/>
            <w:noProof/>
            <w:lang w:val="en-GB"/>
          </w:rPr>
          <w:t>4.4.4</w:t>
        </w:r>
        <w:r w:rsidR="00CB2C51">
          <w:rPr>
            <w:rFonts w:asciiTheme="minorHAnsi" w:eastAsiaTheme="minorEastAsia" w:hAnsiTheme="minorHAnsi" w:cstheme="minorBidi"/>
            <w:noProof/>
            <w:sz w:val="22"/>
            <w:szCs w:val="22"/>
            <w:lang w:val="da-DK" w:eastAsia="da-DK"/>
          </w:rPr>
          <w:tab/>
        </w:r>
        <w:r w:rsidR="00CB2C51" w:rsidRPr="00067F2E">
          <w:rPr>
            <w:rStyle w:val="Hyperlink"/>
            <w:noProof/>
            <w:lang w:val="en-GB"/>
          </w:rPr>
          <w:t>Out-of-block power limits: Interference between unsynchronised WBB ECS</w:t>
        </w:r>
        <w:r w:rsidR="00CB2C51">
          <w:rPr>
            <w:noProof/>
            <w:webHidden/>
          </w:rPr>
          <w:tab/>
        </w:r>
        <w:r w:rsidR="00CB2C51">
          <w:rPr>
            <w:noProof/>
            <w:webHidden/>
          </w:rPr>
          <w:fldChar w:fldCharType="begin"/>
        </w:r>
        <w:r w:rsidR="00CB2C51">
          <w:rPr>
            <w:noProof/>
            <w:webHidden/>
          </w:rPr>
          <w:instrText xml:space="preserve"> PAGEREF _Toc514428339 \h </w:instrText>
        </w:r>
        <w:r w:rsidR="00CB2C51">
          <w:rPr>
            <w:noProof/>
            <w:webHidden/>
          </w:rPr>
        </w:r>
        <w:r w:rsidR="00CB2C51">
          <w:rPr>
            <w:noProof/>
            <w:webHidden/>
          </w:rPr>
          <w:fldChar w:fldCharType="separate"/>
        </w:r>
        <w:r w:rsidR="00661C15">
          <w:rPr>
            <w:noProof/>
            <w:webHidden/>
          </w:rPr>
          <w:t>19</w:t>
        </w:r>
        <w:r w:rsidR="00CB2C51">
          <w:rPr>
            <w:noProof/>
            <w:webHidden/>
          </w:rPr>
          <w:fldChar w:fldCharType="end"/>
        </w:r>
      </w:hyperlink>
    </w:p>
    <w:p w14:paraId="21A8E692" w14:textId="524760CB" w:rsidR="00CB2C51" w:rsidRDefault="00297F2E">
      <w:pPr>
        <w:pStyle w:val="TOC3"/>
        <w:rPr>
          <w:rFonts w:asciiTheme="minorHAnsi" w:eastAsiaTheme="minorEastAsia" w:hAnsiTheme="minorHAnsi" w:cstheme="minorBidi"/>
          <w:noProof/>
          <w:sz w:val="22"/>
          <w:szCs w:val="22"/>
          <w:lang w:val="da-DK" w:eastAsia="da-DK"/>
        </w:rPr>
      </w:pPr>
      <w:hyperlink w:anchor="_Toc514428340" w:history="1">
        <w:r w:rsidR="00CB2C51" w:rsidRPr="00067F2E">
          <w:rPr>
            <w:rStyle w:val="Hyperlink"/>
            <w:noProof/>
            <w:lang w:val="en-GB"/>
          </w:rPr>
          <w:t>4.4.5</w:t>
        </w:r>
        <w:r w:rsidR="00CB2C51">
          <w:rPr>
            <w:rFonts w:asciiTheme="minorHAnsi" w:eastAsiaTheme="minorEastAsia" w:hAnsiTheme="minorHAnsi" w:cstheme="minorBidi"/>
            <w:noProof/>
            <w:sz w:val="22"/>
            <w:szCs w:val="22"/>
            <w:lang w:val="da-DK" w:eastAsia="da-DK"/>
          </w:rPr>
          <w:tab/>
        </w:r>
        <w:r w:rsidR="00CB2C51" w:rsidRPr="00067F2E">
          <w:rPr>
            <w:rStyle w:val="Hyperlink"/>
            <w:noProof/>
            <w:lang w:val="en-GB"/>
          </w:rPr>
          <w:t>Out-of-block power limits: Interference between LTE and 5G NR WBB ECS</w:t>
        </w:r>
        <w:r w:rsidR="00CB2C51">
          <w:rPr>
            <w:noProof/>
            <w:webHidden/>
          </w:rPr>
          <w:tab/>
        </w:r>
        <w:r w:rsidR="00CB2C51">
          <w:rPr>
            <w:noProof/>
            <w:webHidden/>
          </w:rPr>
          <w:fldChar w:fldCharType="begin"/>
        </w:r>
        <w:r w:rsidR="00CB2C51">
          <w:rPr>
            <w:noProof/>
            <w:webHidden/>
          </w:rPr>
          <w:instrText xml:space="preserve"> PAGEREF _Toc514428340 \h </w:instrText>
        </w:r>
        <w:r w:rsidR="00CB2C51">
          <w:rPr>
            <w:noProof/>
            <w:webHidden/>
          </w:rPr>
        </w:r>
        <w:r w:rsidR="00CB2C51">
          <w:rPr>
            <w:noProof/>
            <w:webHidden/>
          </w:rPr>
          <w:fldChar w:fldCharType="separate"/>
        </w:r>
        <w:r w:rsidR="00661C15">
          <w:rPr>
            <w:noProof/>
            <w:webHidden/>
          </w:rPr>
          <w:t>20</w:t>
        </w:r>
        <w:r w:rsidR="00CB2C51">
          <w:rPr>
            <w:noProof/>
            <w:webHidden/>
          </w:rPr>
          <w:fldChar w:fldCharType="end"/>
        </w:r>
      </w:hyperlink>
    </w:p>
    <w:p w14:paraId="67A22835" w14:textId="553F97EB" w:rsidR="00CB2C51" w:rsidRDefault="00297F2E">
      <w:pPr>
        <w:pStyle w:val="TOC3"/>
        <w:rPr>
          <w:rFonts w:asciiTheme="minorHAnsi" w:eastAsiaTheme="minorEastAsia" w:hAnsiTheme="minorHAnsi" w:cstheme="minorBidi"/>
          <w:noProof/>
          <w:sz w:val="22"/>
          <w:szCs w:val="22"/>
          <w:lang w:val="da-DK" w:eastAsia="da-DK"/>
        </w:rPr>
      </w:pPr>
      <w:hyperlink w:anchor="_Toc514428341" w:history="1">
        <w:r w:rsidR="00CB2C51" w:rsidRPr="00067F2E">
          <w:rPr>
            <w:rStyle w:val="Hyperlink"/>
            <w:noProof/>
            <w:lang w:val="en-GB"/>
          </w:rPr>
          <w:t>4.4.6</w:t>
        </w:r>
        <w:r w:rsidR="00CB2C51">
          <w:rPr>
            <w:rFonts w:asciiTheme="minorHAnsi" w:eastAsiaTheme="minorEastAsia" w:hAnsiTheme="minorHAnsi" w:cstheme="minorBidi"/>
            <w:noProof/>
            <w:sz w:val="22"/>
            <w:szCs w:val="22"/>
            <w:lang w:val="da-DK" w:eastAsia="da-DK"/>
          </w:rPr>
          <w:tab/>
        </w:r>
        <w:r w:rsidR="00CB2C51" w:rsidRPr="00067F2E">
          <w:rPr>
            <w:rStyle w:val="Hyperlink"/>
            <w:noProof/>
            <w:lang w:val="en-GB"/>
          </w:rPr>
          <w:t>Out-of-band power limits: Interference towards radars below 3400 MHz</w:t>
        </w:r>
        <w:r w:rsidR="00CB2C51">
          <w:rPr>
            <w:noProof/>
            <w:webHidden/>
          </w:rPr>
          <w:tab/>
        </w:r>
        <w:r w:rsidR="00CB2C51">
          <w:rPr>
            <w:noProof/>
            <w:webHidden/>
          </w:rPr>
          <w:fldChar w:fldCharType="begin"/>
        </w:r>
        <w:r w:rsidR="00CB2C51">
          <w:rPr>
            <w:noProof/>
            <w:webHidden/>
          </w:rPr>
          <w:instrText xml:space="preserve"> PAGEREF _Toc514428341 \h </w:instrText>
        </w:r>
        <w:r w:rsidR="00CB2C51">
          <w:rPr>
            <w:noProof/>
            <w:webHidden/>
          </w:rPr>
        </w:r>
        <w:r w:rsidR="00CB2C51">
          <w:rPr>
            <w:noProof/>
            <w:webHidden/>
          </w:rPr>
          <w:fldChar w:fldCharType="separate"/>
        </w:r>
        <w:r w:rsidR="00661C15">
          <w:rPr>
            <w:noProof/>
            <w:webHidden/>
          </w:rPr>
          <w:t>20</w:t>
        </w:r>
        <w:r w:rsidR="00CB2C51">
          <w:rPr>
            <w:noProof/>
            <w:webHidden/>
          </w:rPr>
          <w:fldChar w:fldCharType="end"/>
        </w:r>
      </w:hyperlink>
    </w:p>
    <w:p w14:paraId="52ED69CC" w14:textId="28C461EE" w:rsidR="00CB2C51" w:rsidRDefault="00297F2E">
      <w:pPr>
        <w:pStyle w:val="TOC3"/>
        <w:rPr>
          <w:rFonts w:asciiTheme="minorHAnsi" w:eastAsiaTheme="minorEastAsia" w:hAnsiTheme="minorHAnsi" w:cstheme="minorBidi"/>
          <w:noProof/>
          <w:sz w:val="22"/>
          <w:szCs w:val="22"/>
          <w:lang w:val="da-DK" w:eastAsia="da-DK"/>
        </w:rPr>
      </w:pPr>
      <w:hyperlink w:anchor="_Toc514428342" w:history="1">
        <w:r w:rsidR="00CB2C51" w:rsidRPr="00067F2E">
          <w:rPr>
            <w:rStyle w:val="Hyperlink"/>
            <w:noProof/>
            <w:lang w:val="en-GB"/>
          </w:rPr>
          <w:t>4.4.7</w:t>
        </w:r>
        <w:r w:rsidR="00CB2C51">
          <w:rPr>
            <w:rFonts w:asciiTheme="minorHAnsi" w:eastAsiaTheme="minorEastAsia" w:hAnsiTheme="minorHAnsi" w:cstheme="minorBidi"/>
            <w:noProof/>
            <w:sz w:val="22"/>
            <w:szCs w:val="22"/>
            <w:lang w:val="da-DK" w:eastAsia="da-DK"/>
          </w:rPr>
          <w:tab/>
        </w:r>
        <w:r w:rsidR="00CB2C51" w:rsidRPr="00067F2E">
          <w:rPr>
            <w:rStyle w:val="Hyperlink"/>
            <w:noProof/>
            <w:lang w:val="en-GB"/>
          </w:rPr>
          <w:t>Out-of-band power limits: coexistence with FSS/FS above 3800 MHz</w:t>
        </w:r>
        <w:r w:rsidR="00CB2C51">
          <w:rPr>
            <w:noProof/>
            <w:webHidden/>
          </w:rPr>
          <w:tab/>
        </w:r>
        <w:r w:rsidR="00CB2C51">
          <w:rPr>
            <w:noProof/>
            <w:webHidden/>
          </w:rPr>
          <w:fldChar w:fldCharType="begin"/>
        </w:r>
        <w:r w:rsidR="00CB2C51">
          <w:rPr>
            <w:noProof/>
            <w:webHidden/>
          </w:rPr>
          <w:instrText xml:space="preserve"> PAGEREF _Toc514428342 \h </w:instrText>
        </w:r>
        <w:r w:rsidR="00CB2C51">
          <w:rPr>
            <w:noProof/>
            <w:webHidden/>
          </w:rPr>
        </w:r>
        <w:r w:rsidR="00CB2C51">
          <w:rPr>
            <w:noProof/>
            <w:webHidden/>
          </w:rPr>
          <w:fldChar w:fldCharType="separate"/>
        </w:r>
        <w:r w:rsidR="00661C15">
          <w:rPr>
            <w:noProof/>
            <w:webHidden/>
          </w:rPr>
          <w:t>21</w:t>
        </w:r>
        <w:r w:rsidR="00CB2C51">
          <w:rPr>
            <w:noProof/>
            <w:webHidden/>
          </w:rPr>
          <w:fldChar w:fldCharType="end"/>
        </w:r>
      </w:hyperlink>
    </w:p>
    <w:p w14:paraId="79008A34" w14:textId="077D2DEE" w:rsidR="00CB2C51" w:rsidRDefault="00297F2E">
      <w:pPr>
        <w:pStyle w:val="TOC3"/>
        <w:rPr>
          <w:rFonts w:asciiTheme="minorHAnsi" w:eastAsiaTheme="minorEastAsia" w:hAnsiTheme="minorHAnsi" w:cstheme="minorBidi"/>
          <w:noProof/>
          <w:sz w:val="22"/>
          <w:szCs w:val="22"/>
          <w:lang w:val="da-DK" w:eastAsia="da-DK"/>
        </w:rPr>
      </w:pPr>
      <w:hyperlink w:anchor="_Toc514428343" w:history="1">
        <w:r w:rsidR="00CB2C51" w:rsidRPr="00067F2E">
          <w:rPr>
            <w:rStyle w:val="Hyperlink"/>
            <w:noProof/>
            <w:lang w:val="en-GB"/>
          </w:rPr>
          <w:t>4.4.8</w:t>
        </w:r>
        <w:r w:rsidR="00CB2C51">
          <w:rPr>
            <w:rFonts w:asciiTheme="minorHAnsi" w:eastAsiaTheme="minorEastAsia" w:hAnsiTheme="minorHAnsi" w:cstheme="minorBidi"/>
            <w:noProof/>
            <w:sz w:val="22"/>
            <w:szCs w:val="22"/>
            <w:lang w:val="da-DK" w:eastAsia="da-DK"/>
          </w:rPr>
          <w:tab/>
        </w:r>
        <w:r w:rsidR="00CB2C51" w:rsidRPr="00067F2E">
          <w:rPr>
            <w:rStyle w:val="Hyperlink"/>
            <w:noProof/>
            <w:lang w:val="en-GB"/>
          </w:rPr>
          <w:t>Out-of-band power limits: coexistence with radio astronomy</w:t>
        </w:r>
        <w:r w:rsidR="00CB2C51">
          <w:rPr>
            <w:noProof/>
            <w:webHidden/>
          </w:rPr>
          <w:tab/>
        </w:r>
        <w:r w:rsidR="00CB2C51">
          <w:rPr>
            <w:noProof/>
            <w:webHidden/>
          </w:rPr>
          <w:fldChar w:fldCharType="begin"/>
        </w:r>
        <w:r w:rsidR="00CB2C51">
          <w:rPr>
            <w:noProof/>
            <w:webHidden/>
          </w:rPr>
          <w:instrText xml:space="preserve"> PAGEREF _Toc514428343 \h </w:instrText>
        </w:r>
        <w:r w:rsidR="00CB2C51">
          <w:rPr>
            <w:noProof/>
            <w:webHidden/>
          </w:rPr>
        </w:r>
        <w:r w:rsidR="00CB2C51">
          <w:rPr>
            <w:noProof/>
            <w:webHidden/>
          </w:rPr>
          <w:fldChar w:fldCharType="separate"/>
        </w:r>
        <w:r w:rsidR="00661C15">
          <w:rPr>
            <w:noProof/>
            <w:webHidden/>
          </w:rPr>
          <w:t>21</w:t>
        </w:r>
        <w:r w:rsidR="00CB2C51">
          <w:rPr>
            <w:noProof/>
            <w:webHidden/>
          </w:rPr>
          <w:fldChar w:fldCharType="end"/>
        </w:r>
      </w:hyperlink>
    </w:p>
    <w:p w14:paraId="24C2D797" w14:textId="097C1691" w:rsidR="00CB2C51" w:rsidRDefault="00297F2E">
      <w:pPr>
        <w:pStyle w:val="TOC3"/>
        <w:rPr>
          <w:rFonts w:asciiTheme="minorHAnsi" w:eastAsiaTheme="minorEastAsia" w:hAnsiTheme="minorHAnsi" w:cstheme="minorBidi"/>
          <w:noProof/>
          <w:sz w:val="22"/>
          <w:szCs w:val="22"/>
          <w:lang w:val="da-DK" w:eastAsia="da-DK"/>
        </w:rPr>
      </w:pPr>
      <w:hyperlink w:anchor="_Toc514428344" w:history="1">
        <w:r w:rsidR="00CB2C51" w:rsidRPr="00067F2E">
          <w:rPr>
            <w:rStyle w:val="Hyperlink"/>
            <w:noProof/>
            <w:lang w:val="en-GB"/>
          </w:rPr>
          <w:t>4.4.9</w:t>
        </w:r>
        <w:r w:rsidR="00CB2C51">
          <w:rPr>
            <w:rFonts w:asciiTheme="minorHAnsi" w:eastAsiaTheme="minorEastAsia" w:hAnsiTheme="minorHAnsi" w:cstheme="minorBidi"/>
            <w:noProof/>
            <w:sz w:val="22"/>
            <w:szCs w:val="22"/>
            <w:lang w:val="da-DK" w:eastAsia="da-DK"/>
          </w:rPr>
          <w:tab/>
        </w:r>
        <w:r w:rsidR="00CB2C51" w:rsidRPr="00067F2E">
          <w:rPr>
            <w:rStyle w:val="Hyperlink"/>
            <w:noProof/>
            <w:lang w:val="en-GB"/>
          </w:rPr>
          <w:t>In-block power limits</w:t>
        </w:r>
        <w:r w:rsidR="00CB2C51">
          <w:rPr>
            <w:noProof/>
            <w:webHidden/>
          </w:rPr>
          <w:tab/>
        </w:r>
        <w:r w:rsidR="00CB2C51">
          <w:rPr>
            <w:noProof/>
            <w:webHidden/>
          </w:rPr>
          <w:fldChar w:fldCharType="begin"/>
        </w:r>
        <w:r w:rsidR="00CB2C51">
          <w:rPr>
            <w:noProof/>
            <w:webHidden/>
          </w:rPr>
          <w:instrText xml:space="preserve"> PAGEREF _Toc514428344 \h </w:instrText>
        </w:r>
        <w:r w:rsidR="00CB2C51">
          <w:rPr>
            <w:noProof/>
            <w:webHidden/>
          </w:rPr>
        </w:r>
        <w:r w:rsidR="00CB2C51">
          <w:rPr>
            <w:noProof/>
            <w:webHidden/>
          </w:rPr>
          <w:fldChar w:fldCharType="separate"/>
        </w:r>
        <w:r w:rsidR="00661C15">
          <w:rPr>
            <w:noProof/>
            <w:webHidden/>
          </w:rPr>
          <w:t>21</w:t>
        </w:r>
        <w:r w:rsidR="00CB2C51">
          <w:rPr>
            <w:noProof/>
            <w:webHidden/>
          </w:rPr>
          <w:fldChar w:fldCharType="end"/>
        </w:r>
      </w:hyperlink>
    </w:p>
    <w:p w14:paraId="61D58881" w14:textId="0E2EC7D7" w:rsidR="00CB2C51" w:rsidRDefault="00297F2E">
      <w:pPr>
        <w:pStyle w:val="TOC1"/>
        <w:rPr>
          <w:rFonts w:asciiTheme="minorHAnsi" w:eastAsiaTheme="minorEastAsia" w:hAnsiTheme="minorHAnsi" w:cstheme="minorBidi"/>
          <w:b w:val="0"/>
          <w:caps w:val="0"/>
          <w:noProof/>
          <w:sz w:val="22"/>
          <w:szCs w:val="22"/>
          <w:lang w:val="da-DK" w:eastAsia="da-DK"/>
        </w:rPr>
      </w:pPr>
      <w:hyperlink w:anchor="_Toc514428345" w:history="1">
        <w:r w:rsidR="00CB2C51" w:rsidRPr="00067F2E">
          <w:rPr>
            <w:rStyle w:val="Hyperlink"/>
            <w:noProof/>
          </w:rPr>
          <w:t>5</w:t>
        </w:r>
        <w:r w:rsidR="00CB2C51">
          <w:rPr>
            <w:rFonts w:asciiTheme="minorHAnsi" w:eastAsiaTheme="minorEastAsia" w:hAnsiTheme="minorHAnsi" w:cstheme="minorBidi"/>
            <w:b w:val="0"/>
            <w:caps w:val="0"/>
            <w:noProof/>
            <w:sz w:val="22"/>
            <w:szCs w:val="22"/>
            <w:lang w:val="da-DK" w:eastAsia="da-DK"/>
          </w:rPr>
          <w:tab/>
        </w:r>
        <w:r w:rsidR="00CB2C51" w:rsidRPr="00067F2E">
          <w:rPr>
            <w:rStyle w:val="Hyperlink"/>
            <w:noProof/>
          </w:rPr>
          <w:t>Proposed BEM requirements for AAS WBB ECS Base Stations</w:t>
        </w:r>
        <w:r w:rsidR="00CB2C51">
          <w:rPr>
            <w:noProof/>
            <w:webHidden/>
          </w:rPr>
          <w:tab/>
        </w:r>
        <w:r w:rsidR="00CB2C51">
          <w:rPr>
            <w:noProof/>
            <w:webHidden/>
          </w:rPr>
          <w:fldChar w:fldCharType="begin"/>
        </w:r>
        <w:r w:rsidR="00CB2C51">
          <w:rPr>
            <w:noProof/>
            <w:webHidden/>
          </w:rPr>
          <w:instrText xml:space="preserve"> PAGEREF _Toc514428345 \h </w:instrText>
        </w:r>
        <w:r w:rsidR="00CB2C51">
          <w:rPr>
            <w:noProof/>
            <w:webHidden/>
          </w:rPr>
        </w:r>
        <w:r w:rsidR="00CB2C51">
          <w:rPr>
            <w:noProof/>
            <w:webHidden/>
          </w:rPr>
          <w:fldChar w:fldCharType="separate"/>
        </w:r>
        <w:r w:rsidR="00661C15">
          <w:rPr>
            <w:noProof/>
            <w:webHidden/>
          </w:rPr>
          <w:t>22</w:t>
        </w:r>
        <w:r w:rsidR="00CB2C51">
          <w:rPr>
            <w:noProof/>
            <w:webHidden/>
          </w:rPr>
          <w:fldChar w:fldCharType="end"/>
        </w:r>
      </w:hyperlink>
    </w:p>
    <w:p w14:paraId="57E2B619" w14:textId="4A5D7F67" w:rsidR="00CB2C51" w:rsidRDefault="00297F2E">
      <w:pPr>
        <w:pStyle w:val="TOC2"/>
        <w:rPr>
          <w:rFonts w:asciiTheme="minorHAnsi" w:eastAsiaTheme="minorEastAsia" w:hAnsiTheme="minorHAnsi" w:cstheme="minorBidi"/>
          <w:noProof/>
          <w:sz w:val="22"/>
          <w:szCs w:val="22"/>
          <w:lang w:val="da-DK" w:eastAsia="da-DK"/>
        </w:rPr>
      </w:pPr>
      <w:hyperlink w:anchor="_Toc514428346" w:history="1">
        <w:r w:rsidR="00CB2C51" w:rsidRPr="00067F2E">
          <w:rPr>
            <w:rStyle w:val="Hyperlink"/>
            <w:noProof/>
          </w:rPr>
          <w:t>5.1</w:t>
        </w:r>
        <w:r w:rsidR="00CB2C51">
          <w:rPr>
            <w:rFonts w:asciiTheme="minorHAnsi" w:eastAsiaTheme="minorEastAsia" w:hAnsiTheme="minorHAnsi" w:cstheme="minorBidi"/>
            <w:noProof/>
            <w:sz w:val="22"/>
            <w:szCs w:val="22"/>
            <w:lang w:val="da-DK" w:eastAsia="da-DK"/>
          </w:rPr>
          <w:tab/>
        </w:r>
        <w:r w:rsidR="00CB2C51" w:rsidRPr="00067F2E">
          <w:rPr>
            <w:rStyle w:val="Hyperlink"/>
            <w:noProof/>
          </w:rPr>
          <w:t>Out-of-block power limits</w:t>
        </w:r>
        <w:r w:rsidR="00CB2C51">
          <w:rPr>
            <w:noProof/>
            <w:webHidden/>
          </w:rPr>
          <w:tab/>
        </w:r>
        <w:r w:rsidR="00CB2C51">
          <w:rPr>
            <w:noProof/>
            <w:webHidden/>
          </w:rPr>
          <w:fldChar w:fldCharType="begin"/>
        </w:r>
        <w:r w:rsidR="00CB2C51">
          <w:rPr>
            <w:noProof/>
            <w:webHidden/>
          </w:rPr>
          <w:instrText xml:space="preserve"> PAGEREF _Toc514428346 \h </w:instrText>
        </w:r>
        <w:r w:rsidR="00CB2C51">
          <w:rPr>
            <w:noProof/>
            <w:webHidden/>
          </w:rPr>
        </w:r>
        <w:r w:rsidR="00CB2C51">
          <w:rPr>
            <w:noProof/>
            <w:webHidden/>
          </w:rPr>
          <w:fldChar w:fldCharType="separate"/>
        </w:r>
        <w:r w:rsidR="00661C15">
          <w:rPr>
            <w:noProof/>
            <w:webHidden/>
          </w:rPr>
          <w:t>22</w:t>
        </w:r>
        <w:r w:rsidR="00CB2C51">
          <w:rPr>
            <w:noProof/>
            <w:webHidden/>
          </w:rPr>
          <w:fldChar w:fldCharType="end"/>
        </w:r>
      </w:hyperlink>
    </w:p>
    <w:p w14:paraId="2F70B2E0" w14:textId="544D5B67" w:rsidR="00CB2C51" w:rsidRDefault="00297F2E">
      <w:pPr>
        <w:pStyle w:val="TOC3"/>
        <w:rPr>
          <w:rFonts w:asciiTheme="minorHAnsi" w:eastAsiaTheme="minorEastAsia" w:hAnsiTheme="minorHAnsi" w:cstheme="minorBidi"/>
          <w:noProof/>
          <w:sz w:val="22"/>
          <w:szCs w:val="22"/>
          <w:lang w:val="da-DK" w:eastAsia="da-DK"/>
        </w:rPr>
      </w:pPr>
      <w:hyperlink w:anchor="_Toc514428347" w:history="1">
        <w:r w:rsidR="00CB2C51" w:rsidRPr="00067F2E">
          <w:rPr>
            <w:rStyle w:val="Hyperlink"/>
            <w:noProof/>
            <w:lang w:val="en-GB"/>
          </w:rPr>
          <w:t>5.1.1</w:t>
        </w:r>
        <w:r w:rsidR="00CB2C51">
          <w:rPr>
            <w:rFonts w:asciiTheme="minorHAnsi" w:eastAsiaTheme="minorEastAsia" w:hAnsiTheme="minorHAnsi" w:cstheme="minorBidi"/>
            <w:noProof/>
            <w:sz w:val="22"/>
            <w:szCs w:val="22"/>
            <w:lang w:val="da-DK" w:eastAsia="da-DK"/>
          </w:rPr>
          <w:tab/>
        </w:r>
        <w:r w:rsidR="00CB2C51" w:rsidRPr="00067F2E">
          <w:rPr>
            <w:rStyle w:val="Hyperlink"/>
            <w:noProof/>
            <w:lang w:val="en-GB"/>
          </w:rPr>
          <w:t>Out-of-block power limits: Interference between synchronised WBB ECS</w:t>
        </w:r>
        <w:r w:rsidR="00CB2C51">
          <w:rPr>
            <w:noProof/>
            <w:webHidden/>
          </w:rPr>
          <w:tab/>
        </w:r>
        <w:r w:rsidR="00CB2C51">
          <w:rPr>
            <w:noProof/>
            <w:webHidden/>
          </w:rPr>
          <w:fldChar w:fldCharType="begin"/>
        </w:r>
        <w:r w:rsidR="00CB2C51">
          <w:rPr>
            <w:noProof/>
            <w:webHidden/>
          </w:rPr>
          <w:instrText xml:space="preserve"> PAGEREF _Toc514428347 \h </w:instrText>
        </w:r>
        <w:r w:rsidR="00CB2C51">
          <w:rPr>
            <w:noProof/>
            <w:webHidden/>
          </w:rPr>
        </w:r>
        <w:r w:rsidR="00CB2C51">
          <w:rPr>
            <w:noProof/>
            <w:webHidden/>
          </w:rPr>
          <w:fldChar w:fldCharType="separate"/>
        </w:r>
        <w:r w:rsidR="00661C15">
          <w:rPr>
            <w:noProof/>
            <w:webHidden/>
          </w:rPr>
          <w:t>22</w:t>
        </w:r>
        <w:r w:rsidR="00CB2C51">
          <w:rPr>
            <w:noProof/>
            <w:webHidden/>
          </w:rPr>
          <w:fldChar w:fldCharType="end"/>
        </w:r>
      </w:hyperlink>
    </w:p>
    <w:p w14:paraId="118B1465" w14:textId="5C0FCBC3" w:rsidR="00CB2C51" w:rsidRDefault="00297F2E">
      <w:pPr>
        <w:pStyle w:val="TOC3"/>
        <w:rPr>
          <w:rFonts w:asciiTheme="minorHAnsi" w:eastAsiaTheme="minorEastAsia" w:hAnsiTheme="minorHAnsi" w:cstheme="minorBidi"/>
          <w:noProof/>
          <w:sz w:val="22"/>
          <w:szCs w:val="22"/>
          <w:lang w:val="da-DK" w:eastAsia="da-DK"/>
        </w:rPr>
      </w:pPr>
      <w:hyperlink w:anchor="_Toc514428348" w:history="1">
        <w:r w:rsidR="00CB2C51" w:rsidRPr="00067F2E">
          <w:rPr>
            <w:rStyle w:val="Hyperlink"/>
            <w:noProof/>
            <w:lang w:val="en-GB"/>
          </w:rPr>
          <w:t>5.1.2</w:t>
        </w:r>
        <w:r w:rsidR="00CB2C51">
          <w:rPr>
            <w:rFonts w:asciiTheme="minorHAnsi" w:eastAsiaTheme="minorEastAsia" w:hAnsiTheme="minorHAnsi" w:cstheme="minorBidi"/>
            <w:noProof/>
            <w:sz w:val="22"/>
            <w:szCs w:val="22"/>
            <w:lang w:val="da-DK" w:eastAsia="da-DK"/>
          </w:rPr>
          <w:tab/>
        </w:r>
        <w:r w:rsidR="00CB2C51" w:rsidRPr="00067F2E">
          <w:rPr>
            <w:rStyle w:val="Hyperlink"/>
            <w:noProof/>
            <w:lang w:val="en-GB"/>
          </w:rPr>
          <w:t>Out-of-block power limits: Interference between unsynchronised and semi-synchronised WBB ECS</w:t>
        </w:r>
        <w:r w:rsidR="00CB2C51">
          <w:rPr>
            <w:noProof/>
            <w:webHidden/>
          </w:rPr>
          <w:tab/>
        </w:r>
        <w:r w:rsidR="00CB2C51">
          <w:rPr>
            <w:noProof/>
            <w:webHidden/>
          </w:rPr>
          <w:fldChar w:fldCharType="begin"/>
        </w:r>
        <w:r w:rsidR="00CB2C51">
          <w:rPr>
            <w:noProof/>
            <w:webHidden/>
          </w:rPr>
          <w:instrText xml:space="preserve"> PAGEREF _Toc514428348 \h </w:instrText>
        </w:r>
        <w:r w:rsidR="00CB2C51">
          <w:rPr>
            <w:noProof/>
            <w:webHidden/>
          </w:rPr>
        </w:r>
        <w:r w:rsidR="00CB2C51">
          <w:rPr>
            <w:noProof/>
            <w:webHidden/>
          </w:rPr>
          <w:fldChar w:fldCharType="separate"/>
        </w:r>
        <w:r w:rsidR="00661C15">
          <w:rPr>
            <w:noProof/>
            <w:webHidden/>
          </w:rPr>
          <w:t>22</w:t>
        </w:r>
        <w:r w:rsidR="00CB2C51">
          <w:rPr>
            <w:noProof/>
            <w:webHidden/>
          </w:rPr>
          <w:fldChar w:fldCharType="end"/>
        </w:r>
      </w:hyperlink>
    </w:p>
    <w:p w14:paraId="1F9A1214" w14:textId="233A9A04" w:rsidR="00CB2C51" w:rsidRDefault="00297F2E">
      <w:pPr>
        <w:pStyle w:val="TOC2"/>
        <w:rPr>
          <w:rFonts w:asciiTheme="minorHAnsi" w:eastAsiaTheme="minorEastAsia" w:hAnsiTheme="minorHAnsi" w:cstheme="minorBidi"/>
          <w:noProof/>
          <w:sz w:val="22"/>
          <w:szCs w:val="22"/>
          <w:lang w:val="da-DK" w:eastAsia="da-DK"/>
        </w:rPr>
      </w:pPr>
      <w:hyperlink w:anchor="_Toc514428349" w:history="1">
        <w:r w:rsidR="00CB2C51" w:rsidRPr="00067F2E">
          <w:rPr>
            <w:rStyle w:val="Hyperlink"/>
            <w:rFonts w:eastAsia="Calibri"/>
            <w:noProof/>
          </w:rPr>
          <w:t>5.2</w:t>
        </w:r>
        <w:r w:rsidR="00CB2C51">
          <w:rPr>
            <w:rFonts w:asciiTheme="minorHAnsi" w:eastAsiaTheme="minorEastAsia" w:hAnsiTheme="minorHAnsi" w:cstheme="minorBidi"/>
            <w:noProof/>
            <w:sz w:val="22"/>
            <w:szCs w:val="22"/>
            <w:lang w:val="da-DK" w:eastAsia="da-DK"/>
          </w:rPr>
          <w:tab/>
        </w:r>
        <w:r w:rsidR="00CB2C51" w:rsidRPr="00067F2E">
          <w:rPr>
            <w:rStyle w:val="Hyperlink"/>
            <w:noProof/>
          </w:rPr>
          <w:t xml:space="preserve">Out-of-band power limits: </w:t>
        </w:r>
        <w:r w:rsidR="00CB2C51" w:rsidRPr="00067F2E">
          <w:rPr>
            <w:rStyle w:val="Hyperlink"/>
            <w:rFonts w:eastAsia="Calibri"/>
            <w:noProof/>
          </w:rPr>
          <w:t>Interference towards radars below 3400 MHz</w:t>
        </w:r>
        <w:r w:rsidR="00CB2C51">
          <w:rPr>
            <w:noProof/>
            <w:webHidden/>
          </w:rPr>
          <w:tab/>
        </w:r>
        <w:r w:rsidR="00CB2C51">
          <w:rPr>
            <w:noProof/>
            <w:webHidden/>
          </w:rPr>
          <w:fldChar w:fldCharType="begin"/>
        </w:r>
        <w:r w:rsidR="00CB2C51">
          <w:rPr>
            <w:noProof/>
            <w:webHidden/>
          </w:rPr>
          <w:instrText xml:space="preserve"> PAGEREF _Toc514428349 \h </w:instrText>
        </w:r>
        <w:r w:rsidR="00CB2C51">
          <w:rPr>
            <w:noProof/>
            <w:webHidden/>
          </w:rPr>
        </w:r>
        <w:r w:rsidR="00CB2C51">
          <w:rPr>
            <w:noProof/>
            <w:webHidden/>
          </w:rPr>
          <w:fldChar w:fldCharType="separate"/>
        </w:r>
        <w:r w:rsidR="00661C15">
          <w:rPr>
            <w:noProof/>
            <w:webHidden/>
          </w:rPr>
          <w:t>23</w:t>
        </w:r>
        <w:r w:rsidR="00CB2C51">
          <w:rPr>
            <w:noProof/>
            <w:webHidden/>
          </w:rPr>
          <w:fldChar w:fldCharType="end"/>
        </w:r>
      </w:hyperlink>
    </w:p>
    <w:p w14:paraId="74B44342" w14:textId="3E5A9B98" w:rsidR="00CB2C51" w:rsidRDefault="00297F2E">
      <w:pPr>
        <w:pStyle w:val="TOC2"/>
        <w:rPr>
          <w:rFonts w:asciiTheme="minorHAnsi" w:eastAsiaTheme="minorEastAsia" w:hAnsiTheme="minorHAnsi" w:cstheme="minorBidi"/>
          <w:noProof/>
          <w:sz w:val="22"/>
          <w:szCs w:val="22"/>
          <w:lang w:val="da-DK" w:eastAsia="da-DK"/>
        </w:rPr>
      </w:pPr>
      <w:hyperlink w:anchor="_Toc514428350" w:history="1">
        <w:r w:rsidR="00CB2C51" w:rsidRPr="00067F2E">
          <w:rPr>
            <w:rStyle w:val="Hyperlink"/>
            <w:noProof/>
          </w:rPr>
          <w:t>5.3</w:t>
        </w:r>
        <w:r w:rsidR="00CB2C51">
          <w:rPr>
            <w:rFonts w:asciiTheme="minorHAnsi" w:eastAsiaTheme="minorEastAsia" w:hAnsiTheme="minorHAnsi" w:cstheme="minorBidi"/>
            <w:noProof/>
            <w:sz w:val="22"/>
            <w:szCs w:val="22"/>
            <w:lang w:val="da-DK" w:eastAsia="da-DK"/>
          </w:rPr>
          <w:tab/>
        </w:r>
        <w:r w:rsidR="00CB2C51" w:rsidRPr="00067F2E">
          <w:rPr>
            <w:rStyle w:val="Hyperlink"/>
            <w:noProof/>
          </w:rPr>
          <w:t>Out-of-band power limits: Coexistence with FSS/FS</w:t>
        </w:r>
        <w:r w:rsidR="00CB2C51">
          <w:rPr>
            <w:noProof/>
            <w:webHidden/>
          </w:rPr>
          <w:tab/>
        </w:r>
        <w:r w:rsidR="00CB2C51">
          <w:rPr>
            <w:noProof/>
            <w:webHidden/>
          </w:rPr>
          <w:fldChar w:fldCharType="begin"/>
        </w:r>
        <w:r w:rsidR="00CB2C51">
          <w:rPr>
            <w:noProof/>
            <w:webHidden/>
          </w:rPr>
          <w:instrText xml:space="preserve"> PAGEREF _Toc514428350 \h </w:instrText>
        </w:r>
        <w:r w:rsidR="00CB2C51">
          <w:rPr>
            <w:noProof/>
            <w:webHidden/>
          </w:rPr>
        </w:r>
        <w:r w:rsidR="00CB2C51">
          <w:rPr>
            <w:noProof/>
            <w:webHidden/>
          </w:rPr>
          <w:fldChar w:fldCharType="separate"/>
        </w:r>
        <w:r w:rsidR="00661C15">
          <w:rPr>
            <w:noProof/>
            <w:webHidden/>
          </w:rPr>
          <w:t>24</w:t>
        </w:r>
        <w:r w:rsidR="00CB2C51">
          <w:rPr>
            <w:noProof/>
            <w:webHidden/>
          </w:rPr>
          <w:fldChar w:fldCharType="end"/>
        </w:r>
      </w:hyperlink>
    </w:p>
    <w:p w14:paraId="42852B72" w14:textId="3F56C2AC" w:rsidR="00CB2C51" w:rsidRDefault="00297F2E">
      <w:pPr>
        <w:pStyle w:val="TOC2"/>
        <w:rPr>
          <w:rFonts w:asciiTheme="minorHAnsi" w:eastAsiaTheme="minorEastAsia" w:hAnsiTheme="minorHAnsi" w:cstheme="minorBidi"/>
          <w:noProof/>
          <w:sz w:val="22"/>
          <w:szCs w:val="22"/>
          <w:lang w:val="da-DK" w:eastAsia="da-DK"/>
        </w:rPr>
      </w:pPr>
      <w:hyperlink w:anchor="_Toc514428351" w:history="1">
        <w:r w:rsidR="00CB2C51" w:rsidRPr="00067F2E">
          <w:rPr>
            <w:rStyle w:val="Hyperlink"/>
            <w:noProof/>
          </w:rPr>
          <w:t>5.4</w:t>
        </w:r>
        <w:r w:rsidR="00CB2C51">
          <w:rPr>
            <w:rFonts w:asciiTheme="minorHAnsi" w:eastAsiaTheme="minorEastAsia" w:hAnsiTheme="minorHAnsi" w:cstheme="minorBidi"/>
            <w:noProof/>
            <w:sz w:val="22"/>
            <w:szCs w:val="22"/>
            <w:lang w:val="da-DK" w:eastAsia="da-DK"/>
          </w:rPr>
          <w:tab/>
        </w:r>
        <w:r w:rsidR="00CB2C51" w:rsidRPr="00067F2E">
          <w:rPr>
            <w:rStyle w:val="Hyperlink"/>
            <w:noProof/>
          </w:rPr>
          <w:t>In-block power limit</w:t>
        </w:r>
        <w:r w:rsidR="00CB2C51">
          <w:rPr>
            <w:noProof/>
            <w:webHidden/>
          </w:rPr>
          <w:tab/>
        </w:r>
        <w:r w:rsidR="00CB2C51">
          <w:rPr>
            <w:noProof/>
            <w:webHidden/>
          </w:rPr>
          <w:fldChar w:fldCharType="begin"/>
        </w:r>
        <w:r w:rsidR="00CB2C51">
          <w:rPr>
            <w:noProof/>
            <w:webHidden/>
          </w:rPr>
          <w:instrText xml:space="preserve"> PAGEREF _Toc514428351 \h </w:instrText>
        </w:r>
        <w:r w:rsidR="00CB2C51">
          <w:rPr>
            <w:noProof/>
            <w:webHidden/>
          </w:rPr>
        </w:r>
        <w:r w:rsidR="00CB2C51">
          <w:rPr>
            <w:noProof/>
            <w:webHidden/>
          </w:rPr>
          <w:fldChar w:fldCharType="separate"/>
        </w:r>
        <w:r w:rsidR="00661C15">
          <w:rPr>
            <w:noProof/>
            <w:webHidden/>
          </w:rPr>
          <w:t>25</w:t>
        </w:r>
        <w:r w:rsidR="00CB2C51">
          <w:rPr>
            <w:noProof/>
            <w:webHidden/>
          </w:rPr>
          <w:fldChar w:fldCharType="end"/>
        </w:r>
      </w:hyperlink>
    </w:p>
    <w:p w14:paraId="09E0809F" w14:textId="3BD1E176" w:rsidR="00CB2C51" w:rsidRDefault="00297F2E">
      <w:pPr>
        <w:pStyle w:val="TOC2"/>
        <w:rPr>
          <w:rFonts w:asciiTheme="minorHAnsi" w:eastAsiaTheme="minorEastAsia" w:hAnsiTheme="minorHAnsi" w:cstheme="minorBidi"/>
          <w:noProof/>
          <w:sz w:val="22"/>
          <w:szCs w:val="22"/>
          <w:lang w:val="da-DK" w:eastAsia="da-DK"/>
        </w:rPr>
      </w:pPr>
      <w:hyperlink w:anchor="_Toc514428352" w:history="1">
        <w:r w:rsidR="00CB2C51" w:rsidRPr="00067F2E">
          <w:rPr>
            <w:rStyle w:val="Hyperlink"/>
            <w:noProof/>
          </w:rPr>
          <w:t>5.5</w:t>
        </w:r>
        <w:r w:rsidR="00CB2C51">
          <w:rPr>
            <w:rFonts w:asciiTheme="minorHAnsi" w:eastAsiaTheme="minorEastAsia" w:hAnsiTheme="minorHAnsi" w:cstheme="minorBidi"/>
            <w:noProof/>
            <w:sz w:val="22"/>
            <w:szCs w:val="22"/>
            <w:lang w:val="da-DK" w:eastAsia="da-DK"/>
          </w:rPr>
          <w:tab/>
        </w:r>
        <w:r w:rsidR="00CB2C51" w:rsidRPr="00067F2E">
          <w:rPr>
            <w:rStyle w:val="Hyperlink"/>
            <w:noProof/>
          </w:rPr>
          <w:t>UE In-block requirement</w:t>
        </w:r>
        <w:r w:rsidR="00CB2C51">
          <w:rPr>
            <w:noProof/>
            <w:webHidden/>
          </w:rPr>
          <w:tab/>
        </w:r>
        <w:r w:rsidR="00CB2C51">
          <w:rPr>
            <w:noProof/>
            <w:webHidden/>
          </w:rPr>
          <w:fldChar w:fldCharType="begin"/>
        </w:r>
        <w:r w:rsidR="00CB2C51">
          <w:rPr>
            <w:noProof/>
            <w:webHidden/>
          </w:rPr>
          <w:instrText xml:space="preserve"> PAGEREF _Toc514428352 \h </w:instrText>
        </w:r>
        <w:r w:rsidR="00CB2C51">
          <w:rPr>
            <w:noProof/>
            <w:webHidden/>
          </w:rPr>
        </w:r>
        <w:r w:rsidR="00CB2C51">
          <w:rPr>
            <w:noProof/>
            <w:webHidden/>
          </w:rPr>
          <w:fldChar w:fldCharType="separate"/>
        </w:r>
        <w:r w:rsidR="00661C15">
          <w:rPr>
            <w:noProof/>
            <w:webHidden/>
          </w:rPr>
          <w:t>25</w:t>
        </w:r>
        <w:r w:rsidR="00CB2C51">
          <w:rPr>
            <w:noProof/>
            <w:webHidden/>
          </w:rPr>
          <w:fldChar w:fldCharType="end"/>
        </w:r>
      </w:hyperlink>
    </w:p>
    <w:p w14:paraId="04B2FCD4" w14:textId="45CF1404" w:rsidR="00CB2C51" w:rsidRDefault="00297F2E">
      <w:pPr>
        <w:pStyle w:val="TOC1"/>
        <w:rPr>
          <w:rFonts w:asciiTheme="minorHAnsi" w:eastAsiaTheme="minorEastAsia" w:hAnsiTheme="minorHAnsi" w:cstheme="minorBidi"/>
          <w:b w:val="0"/>
          <w:caps w:val="0"/>
          <w:noProof/>
          <w:sz w:val="22"/>
          <w:szCs w:val="22"/>
          <w:lang w:val="da-DK" w:eastAsia="da-DK"/>
        </w:rPr>
      </w:pPr>
      <w:hyperlink w:anchor="_Toc514428353" w:history="1">
        <w:r w:rsidR="00CB2C51" w:rsidRPr="00067F2E">
          <w:rPr>
            <w:rStyle w:val="Hyperlink"/>
            <w:noProof/>
          </w:rPr>
          <w:t>6</w:t>
        </w:r>
        <w:r w:rsidR="00CB2C51">
          <w:rPr>
            <w:rFonts w:asciiTheme="minorHAnsi" w:eastAsiaTheme="minorEastAsia" w:hAnsiTheme="minorHAnsi" w:cstheme="minorBidi"/>
            <w:b w:val="0"/>
            <w:caps w:val="0"/>
            <w:noProof/>
            <w:sz w:val="22"/>
            <w:szCs w:val="22"/>
            <w:lang w:val="da-DK" w:eastAsia="da-DK"/>
          </w:rPr>
          <w:tab/>
        </w:r>
        <w:r w:rsidR="00CB2C51" w:rsidRPr="00067F2E">
          <w:rPr>
            <w:rStyle w:val="Hyperlink"/>
            <w:noProof/>
          </w:rPr>
          <w:t>Cross-border coordination</w:t>
        </w:r>
        <w:r w:rsidR="00CB2C51">
          <w:rPr>
            <w:noProof/>
            <w:webHidden/>
          </w:rPr>
          <w:tab/>
        </w:r>
        <w:r w:rsidR="00CB2C51">
          <w:rPr>
            <w:noProof/>
            <w:webHidden/>
          </w:rPr>
          <w:fldChar w:fldCharType="begin"/>
        </w:r>
        <w:r w:rsidR="00CB2C51">
          <w:rPr>
            <w:noProof/>
            <w:webHidden/>
          </w:rPr>
          <w:instrText xml:space="preserve"> PAGEREF _Toc514428353 \h </w:instrText>
        </w:r>
        <w:r w:rsidR="00CB2C51">
          <w:rPr>
            <w:noProof/>
            <w:webHidden/>
          </w:rPr>
        </w:r>
        <w:r w:rsidR="00CB2C51">
          <w:rPr>
            <w:noProof/>
            <w:webHidden/>
          </w:rPr>
          <w:fldChar w:fldCharType="separate"/>
        </w:r>
        <w:r w:rsidR="00661C15">
          <w:rPr>
            <w:noProof/>
            <w:webHidden/>
          </w:rPr>
          <w:t>26</w:t>
        </w:r>
        <w:r w:rsidR="00CB2C51">
          <w:rPr>
            <w:noProof/>
            <w:webHidden/>
          </w:rPr>
          <w:fldChar w:fldCharType="end"/>
        </w:r>
      </w:hyperlink>
    </w:p>
    <w:p w14:paraId="6199F2CE" w14:textId="09176490" w:rsidR="00CB2C51" w:rsidRDefault="00297F2E">
      <w:pPr>
        <w:pStyle w:val="TOC1"/>
        <w:rPr>
          <w:rFonts w:asciiTheme="minorHAnsi" w:eastAsiaTheme="minorEastAsia" w:hAnsiTheme="minorHAnsi" w:cstheme="minorBidi"/>
          <w:b w:val="0"/>
          <w:caps w:val="0"/>
          <w:noProof/>
          <w:sz w:val="22"/>
          <w:szCs w:val="22"/>
          <w:lang w:val="da-DK" w:eastAsia="da-DK"/>
        </w:rPr>
      </w:pPr>
      <w:hyperlink w:anchor="_Toc514428354" w:history="1">
        <w:r w:rsidR="00CB2C51" w:rsidRPr="00067F2E">
          <w:rPr>
            <w:rStyle w:val="Hyperlink"/>
            <w:noProof/>
          </w:rPr>
          <w:t>7</w:t>
        </w:r>
        <w:r w:rsidR="00CB2C51">
          <w:rPr>
            <w:rFonts w:asciiTheme="minorHAnsi" w:eastAsiaTheme="minorEastAsia" w:hAnsiTheme="minorHAnsi" w:cstheme="minorBidi"/>
            <w:b w:val="0"/>
            <w:caps w:val="0"/>
            <w:noProof/>
            <w:sz w:val="22"/>
            <w:szCs w:val="22"/>
            <w:lang w:val="da-DK" w:eastAsia="da-DK"/>
          </w:rPr>
          <w:tab/>
        </w:r>
        <w:r w:rsidR="00CB2C51" w:rsidRPr="00067F2E">
          <w:rPr>
            <w:rStyle w:val="Hyperlink"/>
            <w:noProof/>
          </w:rPr>
          <w:t>Conclusions</w:t>
        </w:r>
        <w:r w:rsidR="00CB2C51">
          <w:rPr>
            <w:noProof/>
            <w:webHidden/>
          </w:rPr>
          <w:tab/>
        </w:r>
        <w:r w:rsidR="00CB2C51">
          <w:rPr>
            <w:noProof/>
            <w:webHidden/>
          </w:rPr>
          <w:fldChar w:fldCharType="begin"/>
        </w:r>
        <w:r w:rsidR="00CB2C51">
          <w:rPr>
            <w:noProof/>
            <w:webHidden/>
          </w:rPr>
          <w:instrText xml:space="preserve"> PAGEREF _Toc514428354 \h </w:instrText>
        </w:r>
        <w:r w:rsidR="00CB2C51">
          <w:rPr>
            <w:noProof/>
            <w:webHidden/>
          </w:rPr>
        </w:r>
        <w:r w:rsidR="00CB2C51">
          <w:rPr>
            <w:noProof/>
            <w:webHidden/>
          </w:rPr>
          <w:fldChar w:fldCharType="separate"/>
        </w:r>
        <w:r w:rsidR="00661C15">
          <w:rPr>
            <w:noProof/>
            <w:webHidden/>
          </w:rPr>
          <w:t>27</w:t>
        </w:r>
        <w:r w:rsidR="00CB2C51">
          <w:rPr>
            <w:noProof/>
            <w:webHidden/>
          </w:rPr>
          <w:fldChar w:fldCharType="end"/>
        </w:r>
      </w:hyperlink>
    </w:p>
    <w:p w14:paraId="6A04C5F7" w14:textId="1206DE4C" w:rsidR="00CB2C51" w:rsidRDefault="00297F2E">
      <w:pPr>
        <w:pStyle w:val="TOC1"/>
        <w:rPr>
          <w:rFonts w:asciiTheme="minorHAnsi" w:eastAsiaTheme="minorEastAsia" w:hAnsiTheme="minorHAnsi" w:cstheme="minorBidi"/>
          <w:b w:val="0"/>
          <w:caps w:val="0"/>
          <w:noProof/>
          <w:sz w:val="22"/>
          <w:szCs w:val="22"/>
          <w:lang w:val="da-DK" w:eastAsia="da-DK"/>
        </w:rPr>
      </w:pPr>
      <w:hyperlink w:anchor="_Toc514428355" w:history="1">
        <w:r w:rsidR="00CB2C51" w:rsidRPr="00067F2E">
          <w:rPr>
            <w:rStyle w:val="Hyperlink"/>
            <w:noProof/>
          </w:rPr>
          <w:t>ANNEX 1: cept mandate</w:t>
        </w:r>
        <w:r w:rsidR="00CB2C51">
          <w:rPr>
            <w:noProof/>
            <w:webHidden/>
          </w:rPr>
          <w:tab/>
        </w:r>
        <w:r w:rsidR="00CB2C51">
          <w:rPr>
            <w:noProof/>
            <w:webHidden/>
          </w:rPr>
          <w:fldChar w:fldCharType="begin"/>
        </w:r>
        <w:r w:rsidR="00CB2C51">
          <w:rPr>
            <w:noProof/>
            <w:webHidden/>
          </w:rPr>
          <w:instrText xml:space="preserve"> PAGEREF _Toc514428355 \h </w:instrText>
        </w:r>
        <w:r w:rsidR="00CB2C51">
          <w:rPr>
            <w:noProof/>
            <w:webHidden/>
          </w:rPr>
        </w:r>
        <w:r w:rsidR="00CB2C51">
          <w:rPr>
            <w:noProof/>
            <w:webHidden/>
          </w:rPr>
          <w:fldChar w:fldCharType="separate"/>
        </w:r>
        <w:r w:rsidR="00661C15">
          <w:rPr>
            <w:noProof/>
            <w:webHidden/>
          </w:rPr>
          <w:t>29</w:t>
        </w:r>
        <w:r w:rsidR="00CB2C51">
          <w:rPr>
            <w:noProof/>
            <w:webHidden/>
          </w:rPr>
          <w:fldChar w:fldCharType="end"/>
        </w:r>
      </w:hyperlink>
    </w:p>
    <w:p w14:paraId="542B7B9B" w14:textId="64A3E2B6" w:rsidR="00CB2C51" w:rsidRDefault="00297F2E">
      <w:pPr>
        <w:pStyle w:val="TOC1"/>
        <w:rPr>
          <w:rFonts w:asciiTheme="minorHAnsi" w:eastAsiaTheme="minorEastAsia" w:hAnsiTheme="minorHAnsi" w:cstheme="minorBidi"/>
          <w:b w:val="0"/>
          <w:caps w:val="0"/>
          <w:noProof/>
          <w:sz w:val="22"/>
          <w:szCs w:val="22"/>
          <w:lang w:val="da-DK" w:eastAsia="da-DK"/>
        </w:rPr>
      </w:pPr>
      <w:hyperlink w:anchor="_Toc514428356" w:history="1">
        <w:r w:rsidR="00CB2C51" w:rsidRPr="00067F2E">
          <w:rPr>
            <w:rStyle w:val="Hyperlink"/>
            <w:rFonts w:ascii="Times New Roman" w:hAnsi="Times New Roman"/>
            <w:smallCaps/>
            <w:noProof/>
            <w:lang w:val="en-GB"/>
          </w:rPr>
          <w:t>1.</w:t>
        </w:r>
        <w:r w:rsidR="00CB2C51">
          <w:rPr>
            <w:rFonts w:asciiTheme="minorHAnsi" w:eastAsiaTheme="minorEastAsia" w:hAnsiTheme="minorHAnsi" w:cstheme="minorBidi"/>
            <w:b w:val="0"/>
            <w:caps w:val="0"/>
            <w:noProof/>
            <w:sz w:val="22"/>
            <w:szCs w:val="22"/>
            <w:lang w:val="da-DK" w:eastAsia="da-DK"/>
          </w:rPr>
          <w:tab/>
        </w:r>
        <w:r w:rsidR="00CB2C51" w:rsidRPr="00067F2E">
          <w:rPr>
            <w:rStyle w:val="Hyperlink"/>
            <w:rFonts w:ascii="Times New Roman" w:hAnsi="Times New Roman"/>
            <w:smallCaps/>
            <w:noProof/>
            <w:lang w:val="en-GB"/>
          </w:rPr>
          <w:t>Policy context and inputs</w:t>
        </w:r>
        <w:r w:rsidR="00CB2C51">
          <w:rPr>
            <w:noProof/>
            <w:webHidden/>
          </w:rPr>
          <w:tab/>
        </w:r>
        <w:r w:rsidR="00CB2C51">
          <w:rPr>
            <w:noProof/>
            <w:webHidden/>
          </w:rPr>
          <w:fldChar w:fldCharType="begin"/>
        </w:r>
        <w:r w:rsidR="00CB2C51">
          <w:rPr>
            <w:noProof/>
            <w:webHidden/>
          </w:rPr>
          <w:instrText xml:space="preserve"> PAGEREF _Toc514428356 \h </w:instrText>
        </w:r>
        <w:r w:rsidR="00CB2C51">
          <w:rPr>
            <w:noProof/>
            <w:webHidden/>
          </w:rPr>
        </w:r>
        <w:r w:rsidR="00CB2C51">
          <w:rPr>
            <w:noProof/>
            <w:webHidden/>
          </w:rPr>
          <w:fldChar w:fldCharType="separate"/>
        </w:r>
        <w:r w:rsidR="00661C15">
          <w:rPr>
            <w:noProof/>
            <w:webHidden/>
          </w:rPr>
          <w:t>30</w:t>
        </w:r>
        <w:r w:rsidR="00CB2C51">
          <w:rPr>
            <w:noProof/>
            <w:webHidden/>
          </w:rPr>
          <w:fldChar w:fldCharType="end"/>
        </w:r>
      </w:hyperlink>
    </w:p>
    <w:p w14:paraId="2331D236" w14:textId="0E9D3567" w:rsidR="00CB2C51" w:rsidRDefault="00297F2E">
      <w:pPr>
        <w:pStyle w:val="TOC1"/>
        <w:rPr>
          <w:rFonts w:asciiTheme="minorHAnsi" w:eastAsiaTheme="minorEastAsia" w:hAnsiTheme="minorHAnsi" w:cstheme="minorBidi"/>
          <w:b w:val="0"/>
          <w:caps w:val="0"/>
          <w:noProof/>
          <w:sz w:val="22"/>
          <w:szCs w:val="22"/>
          <w:lang w:val="da-DK" w:eastAsia="da-DK"/>
        </w:rPr>
      </w:pPr>
      <w:hyperlink w:anchor="_Toc514428357" w:history="1">
        <w:r w:rsidR="00CB2C51" w:rsidRPr="00067F2E">
          <w:rPr>
            <w:rStyle w:val="Hyperlink"/>
            <w:rFonts w:ascii="Times New Roman" w:hAnsi="Times New Roman"/>
            <w:smallCaps/>
            <w:noProof/>
            <w:lang w:val="en-GB"/>
          </w:rPr>
          <w:t>2.</w:t>
        </w:r>
        <w:r w:rsidR="00CB2C51">
          <w:rPr>
            <w:rFonts w:asciiTheme="minorHAnsi" w:eastAsiaTheme="minorEastAsia" w:hAnsiTheme="minorHAnsi" w:cstheme="minorBidi"/>
            <w:b w:val="0"/>
            <w:caps w:val="0"/>
            <w:noProof/>
            <w:sz w:val="22"/>
            <w:szCs w:val="22"/>
            <w:lang w:val="da-DK" w:eastAsia="da-DK"/>
          </w:rPr>
          <w:tab/>
        </w:r>
        <w:r w:rsidR="00CB2C51" w:rsidRPr="00067F2E">
          <w:rPr>
            <w:rStyle w:val="Hyperlink"/>
            <w:rFonts w:ascii="Times New Roman" w:hAnsi="Times New Roman"/>
            <w:smallCaps/>
            <w:noProof/>
            <w:lang w:val="en-GB"/>
          </w:rPr>
          <w:t>Justification</w:t>
        </w:r>
        <w:r w:rsidR="00CB2C51">
          <w:rPr>
            <w:noProof/>
            <w:webHidden/>
          </w:rPr>
          <w:tab/>
        </w:r>
        <w:r w:rsidR="00CB2C51">
          <w:rPr>
            <w:noProof/>
            <w:webHidden/>
          </w:rPr>
          <w:fldChar w:fldCharType="begin"/>
        </w:r>
        <w:r w:rsidR="00CB2C51">
          <w:rPr>
            <w:noProof/>
            <w:webHidden/>
          </w:rPr>
          <w:instrText xml:space="preserve"> PAGEREF _Toc514428357 \h </w:instrText>
        </w:r>
        <w:r w:rsidR="00CB2C51">
          <w:rPr>
            <w:noProof/>
            <w:webHidden/>
          </w:rPr>
        </w:r>
        <w:r w:rsidR="00CB2C51">
          <w:rPr>
            <w:noProof/>
            <w:webHidden/>
          </w:rPr>
          <w:fldChar w:fldCharType="separate"/>
        </w:r>
        <w:r w:rsidR="00661C15">
          <w:rPr>
            <w:noProof/>
            <w:webHidden/>
          </w:rPr>
          <w:t>33</w:t>
        </w:r>
        <w:r w:rsidR="00CB2C51">
          <w:rPr>
            <w:noProof/>
            <w:webHidden/>
          </w:rPr>
          <w:fldChar w:fldCharType="end"/>
        </w:r>
      </w:hyperlink>
    </w:p>
    <w:p w14:paraId="495A207B" w14:textId="36A9D25D" w:rsidR="00CB2C51" w:rsidRDefault="00297F2E">
      <w:pPr>
        <w:pStyle w:val="TOC1"/>
        <w:rPr>
          <w:rFonts w:asciiTheme="minorHAnsi" w:eastAsiaTheme="minorEastAsia" w:hAnsiTheme="minorHAnsi" w:cstheme="minorBidi"/>
          <w:b w:val="0"/>
          <w:caps w:val="0"/>
          <w:noProof/>
          <w:sz w:val="22"/>
          <w:szCs w:val="22"/>
          <w:lang w:val="da-DK" w:eastAsia="da-DK"/>
        </w:rPr>
      </w:pPr>
      <w:hyperlink w:anchor="_Toc514428358" w:history="1">
        <w:r w:rsidR="00CB2C51" w:rsidRPr="00067F2E">
          <w:rPr>
            <w:rStyle w:val="Hyperlink"/>
            <w:rFonts w:ascii="Times New Roman" w:hAnsi="Times New Roman"/>
            <w:smallCaps/>
            <w:noProof/>
            <w:lang w:val="en-GB"/>
          </w:rPr>
          <w:t>3.</w:t>
        </w:r>
        <w:r w:rsidR="00CB2C51">
          <w:rPr>
            <w:rFonts w:asciiTheme="minorHAnsi" w:eastAsiaTheme="minorEastAsia" w:hAnsiTheme="minorHAnsi" w:cstheme="minorBidi"/>
            <w:b w:val="0"/>
            <w:caps w:val="0"/>
            <w:noProof/>
            <w:sz w:val="22"/>
            <w:szCs w:val="22"/>
            <w:lang w:val="da-DK" w:eastAsia="da-DK"/>
          </w:rPr>
          <w:tab/>
        </w:r>
        <w:r w:rsidR="00CB2C51" w:rsidRPr="00067F2E">
          <w:rPr>
            <w:rStyle w:val="Hyperlink"/>
            <w:rFonts w:ascii="Times New Roman" w:hAnsi="Times New Roman"/>
            <w:smallCaps/>
            <w:noProof/>
            <w:lang w:val="en-GB"/>
          </w:rPr>
          <w:t>Task order and schedule</w:t>
        </w:r>
        <w:r w:rsidR="00CB2C51">
          <w:rPr>
            <w:noProof/>
            <w:webHidden/>
          </w:rPr>
          <w:tab/>
        </w:r>
        <w:r w:rsidR="00CB2C51">
          <w:rPr>
            <w:noProof/>
            <w:webHidden/>
          </w:rPr>
          <w:fldChar w:fldCharType="begin"/>
        </w:r>
        <w:r w:rsidR="00CB2C51">
          <w:rPr>
            <w:noProof/>
            <w:webHidden/>
          </w:rPr>
          <w:instrText xml:space="preserve"> PAGEREF _Toc514428358 \h </w:instrText>
        </w:r>
        <w:r w:rsidR="00CB2C51">
          <w:rPr>
            <w:noProof/>
            <w:webHidden/>
          </w:rPr>
        </w:r>
        <w:r w:rsidR="00CB2C51">
          <w:rPr>
            <w:noProof/>
            <w:webHidden/>
          </w:rPr>
          <w:fldChar w:fldCharType="separate"/>
        </w:r>
        <w:r w:rsidR="00661C15">
          <w:rPr>
            <w:noProof/>
            <w:webHidden/>
          </w:rPr>
          <w:t>34</w:t>
        </w:r>
        <w:r w:rsidR="00CB2C51">
          <w:rPr>
            <w:noProof/>
            <w:webHidden/>
          </w:rPr>
          <w:fldChar w:fldCharType="end"/>
        </w:r>
      </w:hyperlink>
    </w:p>
    <w:p w14:paraId="219CF7BC" w14:textId="65B142D5" w:rsidR="00CB2C51" w:rsidRDefault="00297F2E">
      <w:pPr>
        <w:pStyle w:val="TOC1"/>
        <w:rPr>
          <w:rFonts w:asciiTheme="minorHAnsi" w:eastAsiaTheme="minorEastAsia" w:hAnsiTheme="minorHAnsi" w:cstheme="minorBidi"/>
          <w:b w:val="0"/>
          <w:caps w:val="0"/>
          <w:noProof/>
          <w:sz w:val="22"/>
          <w:szCs w:val="22"/>
          <w:lang w:val="da-DK" w:eastAsia="da-DK"/>
        </w:rPr>
      </w:pPr>
      <w:hyperlink w:anchor="_Toc514428359" w:history="1">
        <w:r w:rsidR="00CB2C51" w:rsidRPr="00067F2E">
          <w:rPr>
            <w:rStyle w:val="Hyperlink"/>
            <w:noProof/>
          </w:rPr>
          <w:t>ANNEX 2: fREQUENCY arrangement</w:t>
        </w:r>
        <w:r w:rsidR="00CB2C51">
          <w:rPr>
            <w:noProof/>
            <w:webHidden/>
          </w:rPr>
          <w:tab/>
        </w:r>
        <w:r w:rsidR="00CB2C51">
          <w:rPr>
            <w:noProof/>
            <w:webHidden/>
          </w:rPr>
          <w:fldChar w:fldCharType="begin"/>
        </w:r>
        <w:r w:rsidR="00CB2C51">
          <w:rPr>
            <w:noProof/>
            <w:webHidden/>
          </w:rPr>
          <w:instrText xml:space="preserve"> PAGEREF _Toc514428359 \h </w:instrText>
        </w:r>
        <w:r w:rsidR="00CB2C51">
          <w:rPr>
            <w:noProof/>
            <w:webHidden/>
          </w:rPr>
        </w:r>
        <w:r w:rsidR="00CB2C51">
          <w:rPr>
            <w:noProof/>
            <w:webHidden/>
          </w:rPr>
          <w:fldChar w:fldCharType="separate"/>
        </w:r>
        <w:r w:rsidR="00661C15">
          <w:rPr>
            <w:noProof/>
            <w:webHidden/>
          </w:rPr>
          <w:t>37</w:t>
        </w:r>
        <w:r w:rsidR="00CB2C51">
          <w:rPr>
            <w:noProof/>
            <w:webHidden/>
          </w:rPr>
          <w:fldChar w:fldCharType="end"/>
        </w:r>
      </w:hyperlink>
    </w:p>
    <w:p w14:paraId="1DD8B41A" w14:textId="1543C496" w:rsidR="00CB2C51" w:rsidRDefault="00297F2E">
      <w:pPr>
        <w:pStyle w:val="TOC1"/>
        <w:rPr>
          <w:rFonts w:asciiTheme="minorHAnsi" w:eastAsiaTheme="minorEastAsia" w:hAnsiTheme="minorHAnsi" w:cstheme="minorBidi"/>
          <w:b w:val="0"/>
          <w:caps w:val="0"/>
          <w:noProof/>
          <w:sz w:val="22"/>
          <w:szCs w:val="22"/>
          <w:lang w:val="da-DK" w:eastAsia="da-DK"/>
        </w:rPr>
      </w:pPr>
      <w:hyperlink w:anchor="_Toc514428360" w:history="1">
        <w:r w:rsidR="00CB2C51" w:rsidRPr="00067F2E">
          <w:rPr>
            <w:rStyle w:val="Hyperlink"/>
            <w:noProof/>
          </w:rPr>
          <w:t>ANNEX 3: PROPOSED UPDATES OF THE EC REGULATORY TECHNICAL CONDITIONS TO EC DECISION  2008/411/EU  AND 2014/276/EU</w:t>
        </w:r>
        <w:r w:rsidR="00CB2C51">
          <w:rPr>
            <w:noProof/>
            <w:webHidden/>
          </w:rPr>
          <w:tab/>
        </w:r>
        <w:r w:rsidR="00CB2C51">
          <w:rPr>
            <w:noProof/>
            <w:webHidden/>
          </w:rPr>
          <w:fldChar w:fldCharType="begin"/>
        </w:r>
        <w:r w:rsidR="00CB2C51">
          <w:rPr>
            <w:noProof/>
            <w:webHidden/>
          </w:rPr>
          <w:instrText xml:space="preserve"> PAGEREF _Toc514428360 \h </w:instrText>
        </w:r>
        <w:r w:rsidR="00CB2C51">
          <w:rPr>
            <w:noProof/>
            <w:webHidden/>
          </w:rPr>
        </w:r>
        <w:r w:rsidR="00CB2C51">
          <w:rPr>
            <w:noProof/>
            <w:webHidden/>
          </w:rPr>
          <w:fldChar w:fldCharType="separate"/>
        </w:r>
        <w:r w:rsidR="00661C15">
          <w:rPr>
            <w:noProof/>
            <w:webHidden/>
          </w:rPr>
          <w:t>38</w:t>
        </w:r>
        <w:r w:rsidR="00CB2C51">
          <w:rPr>
            <w:noProof/>
            <w:webHidden/>
          </w:rPr>
          <w:fldChar w:fldCharType="end"/>
        </w:r>
      </w:hyperlink>
    </w:p>
    <w:p w14:paraId="1D8203E4" w14:textId="25A737BC" w:rsidR="00CB2C51" w:rsidRDefault="00297F2E">
      <w:pPr>
        <w:pStyle w:val="TOC1"/>
        <w:rPr>
          <w:rFonts w:asciiTheme="minorHAnsi" w:eastAsiaTheme="minorEastAsia" w:hAnsiTheme="minorHAnsi" w:cstheme="minorBidi"/>
          <w:b w:val="0"/>
          <w:caps w:val="0"/>
          <w:noProof/>
          <w:sz w:val="22"/>
          <w:szCs w:val="22"/>
          <w:lang w:val="da-DK" w:eastAsia="da-DK"/>
        </w:rPr>
      </w:pPr>
      <w:hyperlink w:anchor="_Toc514428361" w:history="1">
        <w:r w:rsidR="00CB2C51" w:rsidRPr="00067F2E">
          <w:rPr>
            <w:rStyle w:val="Hyperlink"/>
            <w:noProof/>
          </w:rPr>
          <w:t>ANNEX 4: List of reference</w:t>
        </w:r>
        <w:r w:rsidR="00CB2C51">
          <w:rPr>
            <w:noProof/>
            <w:webHidden/>
          </w:rPr>
          <w:tab/>
        </w:r>
        <w:r w:rsidR="00CB2C51">
          <w:rPr>
            <w:noProof/>
            <w:webHidden/>
          </w:rPr>
          <w:fldChar w:fldCharType="begin"/>
        </w:r>
        <w:r w:rsidR="00CB2C51">
          <w:rPr>
            <w:noProof/>
            <w:webHidden/>
          </w:rPr>
          <w:instrText xml:space="preserve"> PAGEREF _Toc514428361 \h </w:instrText>
        </w:r>
        <w:r w:rsidR="00CB2C51">
          <w:rPr>
            <w:noProof/>
            <w:webHidden/>
          </w:rPr>
        </w:r>
        <w:r w:rsidR="00CB2C51">
          <w:rPr>
            <w:noProof/>
            <w:webHidden/>
          </w:rPr>
          <w:fldChar w:fldCharType="separate"/>
        </w:r>
        <w:r w:rsidR="00661C15">
          <w:rPr>
            <w:noProof/>
            <w:webHidden/>
          </w:rPr>
          <w:t>44</w:t>
        </w:r>
        <w:r w:rsidR="00CB2C51">
          <w:rPr>
            <w:noProof/>
            <w:webHidden/>
          </w:rPr>
          <w:fldChar w:fldCharType="end"/>
        </w:r>
      </w:hyperlink>
    </w:p>
    <w:p w14:paraId="781CB533" w14:textId="77777777" w:rsidR="00AB46DF" w:rsidRPr="008D2A17" w:rsidRDefault="003C3EE4" w:rsidP="00AB46DF">
      <w:pPr>
        <w:rPr>
          <w:lang w:val="en-GB"/>
        </w:rPr>
      </w:pPr>
      <w:r w:rsidRPr="008D2A17">
        <w:rPr>
          <w:caps/>
          <w:lang w:val="en-GB"/>
        </w:rPr>
        <w:fldChar w:fldCharType="end"/>
      </w:r>
    </w:p>
    <w:p w14:paraId="006051A7" w14:textId="14D1CB09" w:rsidR="00AB46DF" w:rsidRPr="008D2A17" w:rsidRDefault="003C3EE4" w:rsidP="00AB46DF">
      <w:pPr>
        <w:rPr>
          <w:lang w:val="en-GB"/>
        </w:rPr>
      </w:pPr>
      <w:r w:rsidRPr="008D2A17">
        <w:rPr>
          <w:lang w:val="en-GB"/>
        </w:rPr>
        <w:br w:type="page"/>
      </w:r>
    </w:p>
    <w:p w14:paraId="0A292B58" w14:textId="77777777" w:rsidR="00AB46DF" w:rsidRPr="008D2A17" w:rsidRDefault="00A43201" w:rsidP="00AB46DF">
      <w:pPr>
        <w:rPr>
          <w:b/>
          <w:color w:val="FFFFFF"/>
          <w:szCs w:val="20"/>
          <w:lang w:val="en-GB"/>
        </w:rPr>
      </w:pPr>
      <w:r w:rsidRPr="008D2A17">
        <w:rPr>
          <w:b/>
          <w:noProof/>
          <w:color w:val="FFFFFF"/>
          <w:szCs w:val="20"/>
          <w:lang w:val="da-DK" w:eastAsia="da-DK"/>
        </w:rPr>
        <w:lastRenderedPageBreak/>
        <mc:AlternateContent>
          <mc:Choice Requires="wps">
            <w:drawing>
              <wp:anchor distT="0" distB="0" distL="114300" distR="114300" simplePos="0" relativeHeight="251631104" behindDoc="1" locked="0" layoutInCell="1" allowOverlap="1" wp14:anchorId="647DBC53" wp14:editId="33F968E2">
                <wp:simplePos x="0" y="0"/>
                <wp:positionH relativeFrom="page">
                  <wp:posOffset>-2319</wp:posOffset>
                </wp:positionH>
                <wp:positionV relativeFrom="page">
                  <wp:posOffset>900430</wp:posOffset>
                </wp:positionV>
                <wp:extent cx="7560310" cy="720090"/>
                <wp:effectExtent l="0" t="0" r="2540" b="381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2F3818" id="Rectangle 22" o:spid="_x0000_s1026" style="position:absolute;margin-left:-.2pt;margin-top:70.9pt;width:595.3pt;height:56.7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" fillcolor="#b0a696" stroked="f">
                <w10:wrap anchorx="page" anchory="page"/>
              </v:rect>
            </w:pict>
          </mc:Fallback>
        </mc:AlternateContent>
      </w:r>
    </w:p>
    <w:p w14:paraId="687080DF" w14:textId="77777777" w:rsidR="00D20E3B" w:rsidRPr="008D2A17" w:rsidRDefault="00D20E3B" w:rsidP="00AB46DF">
      <w:pPr>
        <w:rPr>
          <w:b/>
          <w:color w:val="FFFFFF"/>
          <w:szCs w:val="20"/>
          <w:lang w:val="en-GB"/>
        </w:rPr>
      </w:pPr>
    </w:p>
    <w:p w14:paraId="3F0CD22E" w14:textId="77777777" w:rsidR="00AB46DF" w:rsidRPr="008D2A17" w:rsidRDefault="003C3EE4" w:rsidP="00AB46DF">
      <w:pPr>
        <w:rPr>
          <w:b/>
          <w:color w:val="FFFFFF"/>
          <w:szCs w:val="20"/>
          <w:lang w:val="en-GB"/>
        </w:rPr>
      </w:pPr>
      <w:r w:rsidRPr="008D2A17">
        <w:rPr>
          <w:b/>
          <w:color w:val="FFFFFF"/>
          <w:szCs w:val="20"/>
          <w:lang w:val="en-GB"/>
        </w:rPr>
        <w:t>LIST OF ABBREVIATIONS</w:t>
      </w:r>
    </w:p>
    <w:p w14:paraId="69E7FDD5" w14:textId="77777777" w:rsidR="00AB46DF" w:rsidRPr="008D2A17" w:rsidRDefault="00AB46DF" w:rsidP="00AB46DF">
      <w:pPr>
        <w:rPr>
          <w:b/>
          <w:color w:val="FFFFFF"/>
          <w:szCs w:val="20"/>
          <w:lang w:val="en-GB"/>
        </w:rPr>
      </w:pPr>
    </w:p>
    <w:p w14:paraId="0401CD64" w14:textId="77777777" w:rsidR="00AB46DF" w:rsidRPr="008D2A17" w:rsidRDefault="00AB46DF" w:rsidP="00AB46DF">
      <w:pPr>
        <w:rPr>
          <w:b/>
          <w:color w:val="FFFFFF"/>
          <w:szCs w:val="20"/>
          <w:lang w:val="en-GB"/>
        </w:rPr>
      </w:pPr>
    </w:p>
    <w:p w14:paraId="54313637" w14:textId="77777777" w:rsidR="00AB46DF" w:rsidRPr="008D2A17" w:rsidRDefault="00AB46DF" w:rsidP="00AB46DF">
      <w:pPr>
        <w:rPr>
          <w:lang w:val="en-GB"/>
        </w:rPr>
      </w:pPr>
    </w:p>
    <w:p w14:paraId="7EF9C15B" w14:textId="77777777" w:rsidR="00AB46DF" w:rsidRDefault="00AB46DF" w:rsidP="00AB46DF">
      <w:pPr>
        <w:rPr>
          <w:lang w:val="en-GB"/>
        </w:rPr>
      </w:pPr>
    </w:p>
    <w:tbl>
      <w:tblPr>
        <w:tblW w:w="0" w:type="auto"/>
        <w:tblCellMar>
          <w:top w:w="11" w:type="dxa"/>
          <w:bottom w:w="11" w:type="dxa"/>
        </w:tblCellMar>
        <w:tblLook w:val="01E0" w:firstRow="1" w:lastRow="1" w:firstColumn="1" w:lastColumn="1" w:noHBand="0" w:noVBand="0"/>
      </w:tblPr>
      <w:tblGrid>
        <w:gridCol w:w="2088"/>
        <w:gridCol w:w="7767"/>
      </w:tblGrid>
      <w:tr w:rsidR="00AB46DF" w:rsidRPr="008D2A17" w14:paraId="171817EE" w14:textId="77777777">
        <w:trPr>
          <w:trHeight w:val="76"/>
        </w:trPr>
        <w:tc>
          <w:tcPr>
            <w:tcW w:w="2088" w:type="dxa"/>
          </w:tcPr>
          <w:p w14:paraId="4E7BB70B" w14:textId="77777777" w:rsidR="00AB46DF" w:rsidRPr="008D2A17" w:rsidRDefault="003C3EE4" w:rsidP="00AB46DF">
            <w:pPr>
              <w:spacing w:line="288" w:lineRule="auto"/>
              <w:rPr>
                <w:b/>
                <w:color w:val="D2232A"/>
                <w:lang w:val="en-GB"/>
              </w:rPr>
            </w:pPr>
            <w:r w:rsidRPr="008D2A17">
              <w:rPr>
                <w:b/>
                <w:color w:val="D2232A"/>
                <w:lang w:val="en-GB"/>
              </w:rPr>
              <w:t>Abbreviation</w:t>
            </w:r>
          </w:p>
        </w:tc>
        <w:tc>
          <w:tcPr>
            <w:tcW w:w="7767" w:type="dxa"/>
          </w:tcPr>
          <w:p w14:paraId="7B2A0BEA" w14:textId="77777777" w:rsidR="00AB46DF" w:rsidRPr="008D2A17" w:rsidRDefault="00694DBD" w:rsidP="00694DBD">
            <w:pPr>
              <w:spacing w:line="288" w:lineRule="auto"/>
              <w:rPr>
                <w:b/>
                <w:color w:val="D2232A"/>
                <w:lang w:val="en-GB"/>
              </w:rPr>
            </w:pPr>
            <w:r w:rsidRPr="008D2A17">
              <w:rPr>
                <w:b/>
                <w:color w:val="D2232A"/>
                <w:lang w:val="en-GB"/>
              </w:rPr>
              <w:t>Explanation</w:t>
            </w:r>
          </w:p>
        </w:tc>
      </w:tr>
      <w:tr w:rsidR="009E58C5" w:rsidRPr="008D2A17" w14:paraId="2B12D553" w14:textId="77777777" w:rsidTr="00AD7F41">
        <w:tc>
          <w:tcPr>
            <w:tcW w:w="2088" w:type="dxa"/>
            <w:vAlign w:val="center"/>
          </w:tcPr>
          <w:p w14:paraId="125ACC1F" w14:textId="77777777" w:rsidR="009E58C5" w:rsidRPr="008D2A17" w:rsidRDefault="009E58C5">
            <w:pPr>
              <w:pStyle w:val="ECCTabletext"/>
              <w:spacing w:before="60"/>
              <w:rPr>
                <w:rStyle w:val="ECCHLbold"/>
              </w:rPr>
            </w:pPr>
            <w:r w:rsidRPr="008D2A17">
              <w:rPr>
                <w:rStyle w:val="ECCHLbold"/>
              </w:rPr>
              <w:t>3GPP</w:t>
            </w:r>
          </w:p>
        </w:tc>
        <w:tc>
          <w:tcPr>
            <w:tcW w:w="7767" w:type="dxa"/>
            <w:vAlign w:val="center"/>
          </w:tcPr>
          <w:p w14:paraId="40557FC1" w14:textId="77777777" w:rsidR="009E58C5" w:rsidRPr="008D2A17" w:rsidRDefault="009E58C5">
            <w:pPr>
              <w:pStyle w:val="ECCTabletext"/>
              <w:spacing w:before="60"/>
            </w:pPr>
            <w:r w:rsidRPr="008D2A17">
              <w:t>3</w:t>
            </w:r>
            <w:r w:rsidRPr="008D2A17">
              <w:rPr>
                <w:vertAlign w:val="superscript"/>
              </w:rPr>
              <w:t>rd</w:t>
            </w:r>
            <w:r w:rsidRPr="008D2A17">
              <w:t xml:space="preserve"> Generation Partnership Project</w:t>
            </w:r>
          </w:p>
        </w:tc>
      </w:tr>
      <w:tr w:rsidR="00B46BF8" w:rsidRPr="008D2A17" w14:paraId="048C533F" w14:textId="77777777" w:rsidTr="00AD7F41">
        <w:tc>
          <w:tcPr>
            <w:tcW w:w="2088" w:type="dxa"/>
            <w:vAlign w:val="center"/>
          </w:tcPr>
          <w:p w14:paraId="0C8E8C33" w14:textId="77777777" w:rsidR="00B46BF8" w:rsidRPr="008D2A17" w:rsidRDefault="00B46BF8" w:rsidP="0067417A">
            <w:pPr>
              <w:pStyle w:val="ECCTabletext"/>
              <w:spacing w:before="60"/>
              <w:rPr>
                <w:rStyle w:val="ECCHLbold"/>
                <w:szCs w:val="24"/>
              </w:rPr>
            </w:pPr>
            <w:r w:rsidRPr="008D2A17">
              <w:rPr>
                <w:rStyle w:val="ECCHLbold"/>
              </w:rPr>
              <w:t>AAS</w:t>
            </w:r>
          </w:p>
        </w:tc>
        <w:tc>
          <w:tcPr>
            <w:tcW w:w="7767" w:type="dxa"/>
            <w:vAlign w:val="center"/>
          </w:tcPr>
          <w:p w14:paraId="53A53919" w14:textId="77777777" w:rsidR="00B46BF8" w:rsidRPr="008D2A17" w:rsidRDefault="00B46BF8" w:rsidP="0067417A">
            <w:pPr>
              <w:pStyle w:val="ECCTabletext"/>
              <w:spacing w:before="60"/>
              <w:rPr>
                <w:rStyle w:val="ECCHLbold"/>
                <w:b w:val="0"/>
                <w:szCs w:val="24"/>
              </w:rPr>
            </w:pPr>
            <w:r w:rsidRPr="008D2A17">
              <w:t>Active Antenna System</w:t>
            </w:r>
          </w:p>
        </w:tc>
      </w:tr>
      <w:tr w:rsidR="00B46BF8" w:rsidRPr="008D2A17" w14:paraId="3D795F9B" w14:textId="77777777" w:rsidTr="00AD7F41">
        <w:tc>
          <w:tcPr>
            <w:tcW w:w="2088" w:type="dxa"/>
            <w:vAlign w:val="center"/>
          </w:tcPr>
          <w:p w14:paraId="16623F3A" w14:textId="77777777" w:rsidR="00B46BF8" w:rsidRPr="008D2A17" w:rsidRDefault="00B46BF8" w:rsidP="0067417A">
            <w:pPr>
              <w:pStyle w:val="ECCTabletext"/>
              <w:spacing w:before="60"/>
            </w:pPr>
            <w:r w:rsidRPr="008D2A17">
              <w:rPr>
                <w:rStyle w:val="ECCHLbold"/>
              </w:rPr>
              <w:t>BEM</w:t>
            </w:r>
          </w:p>
        </w:tc>
        <w:tc>
          <w:tcPr>
            <w:tcW w:w="7767" w:type="dxa"/>
            <w:vAlign w:val="center"/>
          </w:tcPr>
          <w:p w14:paraId="52205568" w14:textId="77777777" w:rsidR="00B46BF8" w:rsidRPr="008D2A17" w:rsidRDefault="00B46BF8" w:rsidP="0067417A">
            <w:pPr>
              <w:pStyle w:val="ECCTabletext"/>
              <w:spacing w:before="60"/>
            </w:pPr>
            <w:r w:rsidRPr="008D2A17">
              <w:t>Block Edge Mask</w:t>
            </w:r>
          </w:p>
        </w:tc>
      </w:tr>
      <w:tr w:rsidR="00B46BF8" w:rsidRPr="008D2A17" w14:paraId="4B33AF55" w14:textId="77777777" w:rsidTr="00AD7F41">
        <w:tc>
          <w:tcPr>
            <w:tcW w:w="2088" w:type="dxa"/>
            <w:vAlign w:val="center"/>
          </w:tcPr>
          <w:p w14:paraId="74559B91" w14:textId="77777777" w:rsidR="00B46BF8" w:rsidRPr="008D2A17" w:rsidRDefault="00B46BF8" w:rsidP="0067417A">
            <w:pPr>
              <w:pStyle w:val="ECCTabletext"/>
              <w:spacing w:before="60"/>
              <w:rPr>
                <w:rStyle w:val="ECCHLmagenta"/>
                <w:szCs w:val="24"/>
              </w:rPr>
            </w:pPr>
            <w:r w:rsidRPr="008D2A17">
              <w:rPr>
                <w:rStyle w:val="ECCHLbold"/>
              </w:rPr>
              <w:t>BS</w:t>
            </w:r>
          </w:p>
        </w:tc>
        <w:tc>
          <w:tcPr>
            <w:tcW w:w="7767" w:type="dxa"/>
            <w:vAlign w:val="center"/>
          </w:tcPr>
          <w:p w14:paraId="133DF6D9" w14:textId="77777777" w:rsidR="00B46BF8" w:rsidRPr="008D2A17" w:rsidRDefault="00B46BF8" w:rsidP="0067417A">
            <w:pPr>
              <w:pStyle w:val="ECCTabletext"/>
              <w:spacing w:before="60"/>
            </w:pPr>
            <w:r w:rsidRPr="008D2A17">
              <w:t>Base Station</w:t>
            </w:r>
          </w:p>
        </w:tc>
      </w:tr>
      <w:tr w:rsidR="00B46BF8" w:rsidRPr="008D2A17" w14:paraId="004A86DF" w14:textId="77777777" w:rsidTr="00AD7F41">
        <w:tc>
          <w:tcPr>
            <w:tcW w:w="2088" w:type="dxa"/>
          </w:tcPr>
          <w:p w14:paraId="18DA3B2E" w14:textId="77777777" w:rsidR="00B46BF8" w:rsidRPr="008D2A17" w:rsidRDefault="00B46BF8" w:rsidP="0067417A">
            <w:pPr>
              <w:pStyle w:val="ECCTabletext"/>
              <w:spacing w:before="60"/>
              <w:rPr>
                <w:rStyle w:val="ECCHLmagenta"/>
                <w:szCs w:val="24"/>
              </w:rPr>
            </w:pPr>
            <w:r w:rsidRPr="008D2A17">
              <w:rPr>
                <w:rStyle w:val="ECCHLbold"/>
              </w:rPr>
              <w:t>CEPT</w:t>
            </w:r>
          </w:p>
        </w:tc>
        <w:tc>
          <w:tcPr>
            <w:tcW w:w="7767" w:type="dxa"/>
          </w:tcPr>
          <w:p w14:paraId="071D0B63" w14:textId="77777777" w:rsidR="00B46BF8" w:rsidRPr="008D2A17" w:rsidRDefault="00B46BF8" w:rsidP="0067417A">
            <w:pPr>
              <w:pStyle w:val="ECCTabletext"/>
              <w:spacing w:before="60"/>
            </w:pPr>
            <w:r w:rsidRPr="008D2A17">
              <w:t>European Conference of Postal and Telecommunications Administrations</w:t>
            </w:r>
          </w:p>
        </w:tc>
      </w:tr>
      <w:tr w:rsidR="00B46BF8" w:rsidRPr="008D2A17" w14:paraId="11338EF9" w14:textId="77777777" w:rsidTr="00AD7F41">
        <w:tc>
          <w:tcPr>
            <w:tcW w:w="2088" w:type="dxa"/>
          </w:tcPr>
          <w:p w14:paraId="2FA96660" w14:textId="77777777" w:rsidR="00B46BF8" w:rsidRPr="008D2A17" w:rsidRDefault="00B46BF8" w:rsidP="0067417A">
            <w:pPr>
              <w:pStyle w:val="ECCTabletext"/>
              <w:spacing w:before="60"/>
              <w:rPr>
                <w:rStyle w:val="ECCHLmagenta"/>
                <w:szCs w:val="24"/>
              </w:rPr>
            </w:pPr>
            <w:r w:rsidRPr="008D2A17">
              <w:rPr>
                <w:rStyle w:val="ECCHLbold"/>
              </w:rPr>
              <w:t>DL</w:t>
            </w:r>
          </w:p>
        </w:tc>
        <w:tc>
          <w:tcPr>
            <w:tcW w:w="7767" w:type="dxa"/>
          </w:tcPr>
          <w:p w14:paraId="10C92F98" w14:textId="77777777" w:rsidR="00B46BF8" w:rsidRPr="008D2A17" w:rsidRDefault="00B46BF8" w:rsidP="0067417A">
            <w:pPr>
              <w:pStyle w:val="ECCTabletext"/>
              <w:spacing w:before="60"/>
            </w:pPr>
            <w:r w:rsidRPr="008D2A17">
              <w:t>Downlink</w:t>
            </w:r>
          </w:p>
        </w:tc>
      </w:tr>
      <w:tr w:rsidR="00B46BF8" w:rsidRPr="008D2A17" w14:paraId="4CA96387" w14:textId="77777777" w:rsidTr="00AD7F41">
        <w:tc>
          <w:tcPr>
            <w:tcW w:w="2088" w:type="dxa"/>
          </w:tcPr>
          <w:p w14:paraId="02009524" w14:textId="77777777" w:rsidR="00B46BF8" w:rsidRPr="008D2A17" w:rsidRDefault="00B46BF8" w:rsidP="0067417A">
            <w:pPr>
              <w:pStyle w:val="ECCTabletext"/>
              <w:spacing w:before="60"/>
              <w:rPr>
                <w:rStyle w:val="ECCHLmagenta"/>
                <w:szCs w:val="24"/>
              </w:rPr>
            </w:pPr>
            <w:r w:rsidRPr="008D2A17">
              <w:rPr>
                <w:rStyle w:val="ECCHLbold"/>
              </w:rPr>
              <w:t>EC</w:t>
            </w:r>
          </w:p>
        </w:tc>
        <w:tc>
          <w:tcPr>
            <w:tcW w:w="7767" w:type="dxa"/>
          </w:tcPr>
          <w:p w14:paraId="6B663FC5" w14:textId="77777777" w:rsidR="00B46BF8" w:rsidRPr="008D2A17" w:rsidRDefault="00B46BF8" w:rsidP="0067417A">
            <w:pPr>
              <w:pStyle w:val="ECCTabletext"/>
              <w:spacing w:before="60"/>
            </w:pPr>
            <w:r w:rsidRPr="008D2A17">
              <w:t>European Commission</w:t>
            </w:r>
          </w:p>
        </w:tc>
      </w:tr>
      <w:tr w:rsidR="00B46BF8" w:rsidRPr="008D2A17" w14:paraId="1D483DB1" w14:textId="77777777" w:rsidTr="00AD7F41">
        <w:tc>
          <w:tcPr>
            <w:tcW w:w="2088" w:type="dxa"/>
          </w:tcPr>
          <w:p w14:paraId="195BFF4C" w14:textId="77777777" w:rsidR="00B46BF8" w:rsidRPr="008D2A17" w:rsidRDefault="00B46BF8" w:rsidP="0067417A">
            <w:pPr>
              <w:pStyle w:val="ECCTabletext"/>
              <w:spacing w:before="60"/>
              <w:rPr>
                <w:rStyle w:val="ECCHLmagenta"/>
                <w:szCs w:val="24"/>
              </w:rPr>
            </w:pPr>
            <w:r w:rsidRPr="008D2A17">
              <w:rPr>
                <w:rStyle w:val="ECCHLbold"/>
              </w:rPr>
              <w:t>ECA</w:t>
            </w:r>
          </w:p>
        </w:tc>
        <w:tc>
          <w:tcPr>
            <w:tcW w:w="7767" w:type="dxa"/>
          </w:tcPr>
          <w:p w14:paraId="795DC47F" w14:textId="77777777" w:rsidR="00B46BF8" w:rsidRPr="008D2A17" w:rsidRDefault="00B46BF8" w:rsidP="0067417A">
            <w:pPr>
              <w:pStyle w:val="ECCTabletext"/>
              <w:spacing w:before="60"/>
            </w:pPr>
            <w:r w:rsidRPr="008D2A17">
              <w:t>European Common Allocation</w:t>
            </w:r>
          </w:p>
        </w:tc>
      </w:tr>
      <w:tr w:rsidR="00B46BF8" w:rsidRPr="008D2A17" w14:paraId="51136ED7" w14:textId="77777777" w:rsidTr="00AD7F41">
        <w:tc>
          <w:tcPr>
            <w:tcW w:w="2088" w:type="dxa"/>
            <w:vAlign w:val="center"/>
          </w:tcPr>
          <w:p w14:paraId="77736505" w14:textId="77777777" w:rsidR="00B46BF8" w:rsidRPr="008D2A17" w:rsidRDefault="00B46BF8" w:rsidP="0067417A">
            <w:pPr>
              <w:pStyle w:val="ECCTabletext"/>
              <w:spacing w:before="60"/>
              <w:rPr>
                <w:rStyle w:val="ECCHLmagenta"/>
                <w:szCs w:val="24"/>
              </w:rPr>
            </w:pPr>
            <w:r w:rsidRPr="008D2A17">
              <w:rPr>
                <w:rStyle w:val="ECCHLbold"/>
              </w:rPr>
              <w:t>ECC</w:t>
            </w:r>
          </w:p>
        </w:tc>
        <w:tc>
          <w:tcPr>
            <w:tcW w:w="7767" w:type="dxa"/>
            <w:vAlign w:val="center"/>
          </w:tcPr>
          <w:p w14:paraId="20F77A16" w14:textId="77777777" w:rsidR="00B46BF8" w:rsidRPr="008D2A17" w:rsidRDefault="00B46BF8" w:rsidP="0067417A">
            <w:pPr>
              <w:pStyle w:val="ECCTabletext"/>
              <w:spacing w:before="60"/>
            </w:pPr>
            <w:r w:rsidRPr="008D2A17">
              <w:t>Electronic Communications Committee</w:t>
            </w:r>
          </w:p>
        </w:tc>
      </w:tr>
      <w:tr w:rsidR="00B46BF8" w:rsidRPr="008D2A17" w14:paraId="55F66281" w14:textId="77777777" w:rsidTr="00AD7F41">
        <w:tc>
          <w:tcPr>
            <w:tcW w:w="2088" w:type="dxa"/>
          </w:tcPr>
          <w:p w14:paraId="71900791" w14:textId="77777777" w:rsidR="00B46BF8" w:rsidRPr="008D2A17" w:rsidRDefault="00B46BF8" w:rsidP="0067417A">
            <w:pPr>
              <w:pStyle w:val="ECCTabletext"/>
              <w:spacing w:before="60"/>
              <w:rPr>
                <w:rStyle w:val="ECCHLmagenta"/>
                <w:szCs w:val="24"/>
              </w:rPr>
            </w:pPr>
            <w:r w:rsidRPr="008D2A17">
              <w:rPr>
                <w:rStyle w:val="ECCHLbold"/>
              </w:rPr>
              <w:t>ECS</w:t>
            </w:r>
          </w:p>
        </w:tc>
        <w:tc>
          <w:tcPr>
            <w:tcW w:w="7767" w:type="dxa"/>
          </w:tcPr>
          <w:p w14:paraId="3D7F413C" w14:textId="77777777" w:rsidR="00B46BF8" w:rsidRPr="008D2A17" w:rsidRDefault="00B46BF8" w:rsidP="0067417A">
            <w:pPr>
              <w:pStyle w:val="ECCTabletext"/>
              <w:spacing w:before="60"/>
            </w:pPr>
            <w:r w:rsidRPr="008D2A17">
              <w:t>Electronic Communication Services</w:t>
            </w:r>
          </w:p>
        </w:tc>
      </w:tr>
      <w:tr w:rsidR="00B46BF8" w:rsidRPr="008D2A17" w14:paraId="72BA36C8" w14:textId="77777777" w:rsidTr="00AD7F41">
        <w:tc>
          <w:tcPr>
            <w:tcW w:w="2088" w:type="dxa"/>
            <w:vAlign w:val="center"/>
          </w:tcPr>
          <w:p w14:paraId="614B8579" w14:textId="38B86E93" w:rsidR="00B46BF8" w:rsidRPr="008D2A17" w:rsidRDefault="00B46BF8" w:rsidP="0067417A">
            <w:pPr>
              <w:pStyle w:val="ECCTabletext"/>
              <w:spacing w:before="60"/>
              <w:rPr>
                <w:rStyle w:val="ECCHLmagenta"/>
                <w:szCs w:val="24"/>
              </w:rPr>
            </w:pPr>
            <w:r w:rsidRPr="008D2A17">
              <w:rPr>
                <w:rStyle w:val="ECCHLbold"/>
              </w:rPr>
              <w:t>e.i.r.p.</w:t>
            </w:r>
          </w:p>
        </w:tc>
        <w:tc>
          <w:tcPr>
            <w:tcW w:w="7767" w:type="dxa"/>
            <w:vAlign w:val="center"/>
          </w:tcPr>
          <w:p w14:paraId="294C648D" w14:textId="77777777" w:rsidR="00B46BF8" w:rsidRPr="008D2A17" w:rsidRDefault="00B46BF8" w:rsidP="0067417A">
            <w:pPr>
              <w:pStyle w:val="ECCTabletext"/>
              <w:spacing w:before="60"/>
            </w:pPr>
            <w:r w:rsidRPr="008D2A17">
              <w:t>Equivalent Isotropically Radiated Power</w:t>
            </w:r>
          </w:p>
        </w:tc>
      </w:tr>
      <w:tr w:rsidR="001C45AE" w:rsidRPr="008D2A17" w14:paraId="5F358508" w14:textId="77777777" w:rsidTr="00AD7F41">
        <w:tc>
          <w:tcPr>
            <w:tcW w:w="2088" w:type="dxa"/>
            <w:vAlign w:val="center"/>
          </w:tcPr>
          <w:p w14:paraId="6CD49462" w14:textId="77777777" w:rsidR="001C45AE" w:rsidRPr="008D2A17" w:rsidRDefault="001C45AE">
            <w:pPr>
              <w:pStyle w:val="ECCTabletext"/>
              <w:spacing w:before="60"/>
              <w:rPr>
                <w:b/>
                <w:noProof/>
                <w:lang w:eastAsia="da-DK"/>
              </w:rPr>
            </w:pPr>
            <w:r w:rsidRPr="008D2A17">
              <w:rPr>
                <w:b/>
                <w:noProof/>
                <w:lang w:eastAsia="da-DK"/>
              </w:rPr>
              <w:t>E-UTRA</w:t>
            </w:r>
          </w:p>
        </w:tc>
        <w:tc>
          <w:tcPr>
            <w:tcW w:w="7767" w:type="dxa"/>
            <w:vAlign w:val="center"/>
          </w:tcPr>
          <w:p w14:paraId="324D6C03" w14:textId="77777777" w:rsidR="001C45AE" w:rsidRPr="008D2A17" w:rsidRDefault="001C45AE">
            <w:pPr>
              <w:pStyle w:val="ECCTabletext"/>
              <w:spacing w:before="60"/>
            </w:pPr>
            <w:r w:rsidRPr="008D2A17">
              <w:t>Evolved Universal Terrestrial Radio Access</w:t>
            </w:r>
          </w:p>
        </w:tc>
      </w:tr>
      <w:tr w:rsidR="00B46BF8" w:rsidRPr="008D2A17" w14:paraId="5DDC8DB4" w14:textId="77777777" w:rsidTr="00AD7F41">
        <w:tc>
          <w:tcPr>
            <w:tcW w:w="2088" w:type="dxa"/>
            <w:vAlign w:val="center"/>
          </w:tcPr>
          <w:p w14:paraId="233D6ADC" w14:textId="77777777" w:rsidR="00B46BF8" w:rsidRPr="008D2A17" w:rsidRDefault="00B46BF8" w:rsidP="0067417A">
            <w:pPr>
              <w:pStyle w:val="ECCTabletext"/>
              <w:spacing w:before="60"/>
              <w:rPr>
                <w:rStyle w:val="ECCHLmagenta"/>
                <w:szCs w:val="24"/>
              </w:rPr>
            </w:pPr>
            <w:r w:rsidRPr="008D2A17">
              <w:rPr>
                <w:rStyle w:val="ECCHLbold"/>
              </w:rPr>
              <w:t>FDD</w:t>
            </w:r>
          </w:p>
        </w:tc>
        <w:tc>
          <w:tcPr>
            <w:tcW w:w="7767" w:type="dxa"/>
            <w:vAlign w:val="center"/>
          </w:tcPr>
          <w:p w14:paraId="0639436E" w14:textId="77777777" w:rsidR="00B46BF8" w:rsidRPr="008D2A17" w:rsidRDefault="00B46BF8" w:rsidP="0067417A">
            <w:pPr>
              <w:pStyle w:val="ECCTabletext"/>
              <w:spacing w:before="60"/>
            </w:pPr>
            <w:r w:rsidRPr="008D2A17">
              <w:t>Frequency Division Duplex</w:t>
            </w:r>
          </w:p>
        </w:tc>
      </w:tr>
      <w:tr w:rsidR="00B46BF8" w:rsidRPr="008D2A17" w14:paraId="42BDBF9B" w14:textId="77777777" w:rsidTr="00AD7F41">
        <w:tc>
          <w:tcPr>
            <w:tcW w:w="2088" w:type="dxa"/>
            <w:vAlign w:val="center"/>
          </w:tcPr>
          <w:p w14:paraId="71351BD0" w14:textId="77777777" w:rsidR="00B46BF8" w:rsidRPr="008D2A17" w:rsidRDefault="00B46BF8" w:rsidP="0067417A">
            <w:pPr>
              <w:pStyle w:val="ECCTabletext"/>
              <w:spacing w:before="60"/>
              <w:rPr>
                <w:rStyle w:val="ECCHLbold"/>
                <w:szCs w:val="24"/>
              </w:rPr>
            </w:pPr>
            <w:r w:rsidRPr="008D2A17">
              <w:rPr>
                <w:rStyle w:val="ECCHLbold"/>
              </w:rPr>
              <w:t>FS</w:t>
            </w:r>
          </w:p>
        </w:tc>
        <w:tc>
          <w:tcPr>
            <w:tcW w:w="7767" w:type="dxa"/>
            <w:vAlign w:val="center"/>
          </w:tcPr>
          <w:p w14:paraId="1D78EA35" w14:textId="77777777" w:rsidR="00B46BF8" w:rsidRPr="008D2A17" w:rsidRDefault="00B46BF8" w:rsidP="0067417A">
            <w:pPr>
              <w:pStyle w:val="ECCTabletext"/>
              <w:spacing w:before="60"/>
            </w:pPr>
            <w:r w:rsidRPr="008D2A17">
              <w:t>Fixed Service</w:t>
            </w:r>
          </w:p>
        </w:tc>
      </w:tr>
      <w:tr w:rsidR="00B46BF8" w:rsidRPr="008D2A17" w14:paraId="453C9892" w14:textId="77777777" w:rsidTr="00AD7F41">
        <w:tc>
          <w:tcPr>
            <w:tcW w:w="2088" w:type="dxa"/>
            <w:vAlign w:val="center"/>
          </w:tcPr>
          <w:p w14:paraId="046C7AAC" w14:textId="77777777" w:rsidR="00B46BF8" w:rsidRPr="008D2A17" w:rsidRDefault="00B46BF8" w:rsidP="0067417A">
            <w:pPr>
              <w:pStyle w:val="ECCTabletext"/>
              <w:spacing w:before="60"/>
              <w:rPr>
                <w:rStyle w:val="ECCHLbold"/>
                <w:szCs w:val="24"/>
              </w:rPr>
            </w:pPr>
            <w:r w:rsidRPr="008D2A17">
              <w:rPr>
                <w:rStyle w:val="ECCHLbold"/>
              </w:rPr>
              <w:t>FSS</w:t>
            </w:r>
          </w:p>
        </w:tc>
        <w:tc>
          <w:tcPr>
            <w:tcW w:w="7767" w:type="dxa"/>
            <w:vAlign w:val="center"/>
          </w:tcPr>
          <w:p w14:paraId="50AAD866" w14:textId="77777777" w:rsidR="00B46BF8" w:rsidRPr="008D2A17" w:rsidRDefault="00B46BF8" w:rsidP="0067417A">
            <w:pPr>
              <w:pStyle w:val="ECCTabletext"/>
              <w:spacing w:before="60"/>
            </w:pPr>
            <w:r w:rsidRPr="008D2A17">
              <w:t>Fixed Satellite Service</w:t>
            </w:r>
          </w:p>
        </w:tc>
      </w:tr>
      <w:tr w:rsidR="00B46BF8" w:rsidRPr="008D2A17" w14:paraId="09E073CA" w14:textId="77777777" w:rsidTr="00AD7F41">
        <w:tc>
          <w:tcPr>
            <w:tcW w:w="2088" w:type="dxa"/>
            <w:vAlign w:val="center"/>
          </w:tcPr>
          <w:p w14:paraId="40B5F8DF" w14:textId="77777777" w:rsidR="00B46BF8" w:rsidRPr="008D2A17" w:rsidRDefault="00B46BF8" w:rsidP="0067417A">
            <w:pPr>
              <w:pStyle w:val="ECCTabletext"/>
              <w:spacing w:before="60"/>
              <w:rPr>
                <w:rStyle w:val="ECCHLmagenta"/>
                <w:szCs w:val="24"/>
              </w:rPr>
            </w:pPr>
            <w:r w:rsidRPr="008D2A17">
              <w:rPr>
                <w:rStyle w:val="ECCHLbold"/>
              </w:rPr>
              <w:t>IMT</w:t>
            </w:r>
          </w:p>
        </w:tc>
        <w:tc>
          <w:tcPr>
            <w:tcW w:w="7767" w:type="dxa"/>
            <w:vAlign w:val="center"/>
          </w:tcPr>
          <w:p w14:paraId="20196911" w14:textId="77777777" w:rsidR="00B46BF8" w:rsidRPr="008D2A17" w:rsidRDefault="00B46BF8" w:rsidP="0067417A">
            <w:pPr>
              <w:pStyle w:val="ECCTabletext"/>
              <w:spacing w:before="60"/>
            </w:pPr>
            <w:r w:rsidRPr="008D2A17">
              <w:t>International Mobile Telecommunications</w:t>
            </w:r>
          </w:p>
        </w:tc>
      </w:tr>
      <w:tr w:rsidR="009E58C5" w:rsidRPr="008D2A17" w14:paraId="3A0DF3D3" w14:textId="77777777" w:rsidTr="00AD7F41">
        <w:tc>
          <w:tcPr>
            <w:tcW w:w="2088" w:type="dxa"/>
            <w:vAlign w:val="center"/>
          </w:tcPr>
          <w:p w14:paraId="02C6D238" w14:textId="77777777" w:rsidR="009E58C5" w:rsidRPr="008D2A17" w:rsidRDefault="009E58C5">
            <w:pPr>
              <w:pStyle w:val="ECCTabletext"/>
              <w:spacing w:before="60"/>
              <w:rPr>
                <w:rStyle w:val="ECCHLbold"/>
              </w:rPr>
            </w:pPr>
            <w:r w:rsidRPr="008D2A17">
              <w:rPr>
                <w:rStyle w:val="ECCHLbold"/>
              </w:rPr>
              <w:t>ITU-R</w:t>
            </w:r>
          </w:p>
        </w:tc>
        <w:tc>
          <w:tcPr>
            <w:tcW w:w="7767" w:type="dxa"/>
            <w:vAlign w:val="center"/>
          </w:tcPr>
          <w:p w14:paraId="207B6CE9" w14:textId="77777777" w:rsidR="009E58C5" w:rsidRPr="008D2A17" w:rsidRDefault="009E58C5">
            <w:pPr>
              <w:pStyle w:val="ECCTabletext"/>
              <w:spacing w:before="60"/>
            </w:pPr>
            <w:r w:rsidRPr="008D2A17">
              <w:t>International Telecommunication Union - Radiocommunications</w:t>
            </w:r>
          </w:p>
        </w:tc>
      </w:tr>
      <w:tr w:rsidR="00B46BF8" w:rsidRPr="008D2A17" w14:paraId="30182830" w14:textId="77777777" w:rsidTr="00AD7F41">
        <w:tc>
          <w:tcPr>
            <w:tcW w:w="2088" w:type="dxa"/>
            <w:vAlign w:val="center"/>
          </w:tcPr>
          <w:p w14:paraId="444FB394" w14:textId="77777777" w:rsidR="00B46BF8" w:rsidRPr="008D2A17" w:rsidRDefault="00B46BF8" w:rsidP="0067417A">
            <w:pPr>
              <w:pStyle w:val="ECCTabletext"/>
              <w:spacing w:before="60"/>
              <w:rPr>
                <w:rStyle w:val="ECCHLmagenta"/>
                <w:szCs w:val="24"/>
              </w:rPr>
            </w:pPr>
            <w:r w:rsidRPr="008D2A17">
              <w:rPr>
                <w:rStyle w:val="ECCHLbold"/>
              </w:rPr>
              <w:t>LRTC</w:t>
            </w:r>
          </w:p>
        </w:tc>
        <w:tc>
          <w:tcPr>
            <w:tcW w:w="7767" w:type="dxa"/>
            <w:vAlign w:val="center"/>
          </w:tcPr>
          <w:p w14:paraId="40A90B02" w14:textId="77777777" w:rsidR="00B46BF8" w:rsidRPr="008D2A17" w:rsidRDefault="00B46BF8" w:rsidP="0067417A">
            <w:pPr>
              <w:pStyle w:val="ECCTabletext"/>
              <w:spacing w:before="60"/>
            </w:pPr>
            <w:r w:rsidRPr="008D2A17">
              <w:t>Least Restrictive Technical Conditions</w:t>
            </w:r>
          </w:p>
        </w:tc>
      </w:tr>
      <w:tr w:rsidR="00B46BF8" w:rsidRPr="008D2A17" w14:paraId="59F13687" w14:textId="77777777" w:rsidTr="00AD7F41">
        <w:tc>
          <w:tcPr>
            <w:tcW w:w="2088" w:type="dxa"/>
            <w:vAlign w:val="center"/>
          </w:tcPr>
          <w:p w14:paraId="29CA98D3" w14:textId="77777777" w:rsidR="00B46BF8" w:rsidRPr="008D2A17" w:rsidRDefault="00B46BF8" w:rsidP="0067417A">
            <w:pPr>
              <w:pStyle w:val="ECCTabletext"/>
              <w:spacing w:before="60"/>
              <w:rPr>
                <w:rStyle w:val="ECCHLmagenta"/>
                <w:szCs w:val="24"/>
              </w:rPr>
            </w:pPr>
            <w:r w:rsidRPr="008D2A17">
              <w:rPr>
                <w:rStyle w:val="ECCHLbold"/>
              </w:rPr>
              <w:t>LTE</w:t>
            </w:r>
          </w:p>
        </w:tc>
        <w:tc>
          <w:tcPr>
            <w:tcW w:w="7767" w:type="dxa"/>
            <w:vAlign w:val="center"/>
          </w:tcPr>
          <w:p w14:paraId="5C5592E5" w14:textId="77777777" w:rsidR="00B46BF8" w:rsidRPr="008D2A17" w:rsidRDefault="00B46BF8" w:rsidP="0067417A">
            <w:pPr>
              <w:pStyle w:val="ECCTabletext"/>
              <w:spacing w:before="60"/>
            </w:pPr>
            <w:r w:rsidRPr="008D2A17">
              <w:t>Long Term Evolution</w:t>
            </w:r>
          </w:p>
        </w:tc>
      </w:tr>
      <w:tr w:rsidR="00B46BF8" w:rsidRPr="008D2A17" w14:paraId="60DFC8CF" w14:textId="77777777" w:rsidTr="00AD7F41">
        <w:tc>
          <w:tcPr>
            <w:tcW w:w="2088" w:type="dxa"/>
            <w:vAlign w:val="center"/>
          </w:tcPr>
          <w:p w14:paraId="15C5C2FF" w14:textId="77777777" w:rsidR="00B46BF8" w:rsidRPr="008D2A17" w:rsidRDefault="00B46BF8" w:rsidP="0067417A">
            <w:pPr>
              <w:pStyle w:val="ECCTabletext"/>
              <w:spacing w:before="60"/>
              <w:rPr>
                <w:rStyle w:val="ECCHLbold"/>
                <w:szCs w:val="24"/>
              </w:rPr>
            </w:pPr>
            <w:r w:rsidRPr="008D2A17">
              <w:rPr>
                <w:rStyle w:val="ECCHLbold"/>
              </w:rPr>
              <w:t>MSR</w:t>
            </w:r>
          </w:p>
        </w:tc>
        <w:tc>
          <w:tcPr>
            <w:tcW w:w="7767" w:type="dxa"/>
            <w:vAlign w:val="center"/>
          </w:tcPr>
          <w:p w14:paraId="5ED65DF7" w14:textId="77777777" w:rsidR="00B46BF8" w:rsidRPr="008D2A17" w:rsidRDefault="00B46BF8" w:rsidP="0067417A">
            <w:pPr>
              <w:pStyle w:val="ECCTabletext"/>
              <w:spacing w:before="60"/>
            </w:pPr>
            <w:r w:rsidRPr="008D2A17">
              <w:t>Multi Standard Radio</w:t>
            </w:r>
          </w:p>
        </w:tc>
      </w:tr>
      <w:tr w:rsidR="001B6367" w:rsidRPr="008D2A17" w14:paraId="7A3EB91D" w14:textId="77777777" w:rsidTr="00AD7F41">
        <w:tc>
          <w:tcPr>
            <w:tcW w:w="2088" w:type="dxa"/>
            <w:vAlign w:val="center"/>
          </w:tcPr>
          <w:p w14:paraId="0427A59D" w14:textId="77777777" w:rsidR="001B6367" w:rsidRPr="008D2A17" w:rsidDel="001B6367" w:rsidRDefault="001B6367" w:rsidP="0067417A">
            <w:pPr>
              <w:pStyle w:val="ECCTabletext"/>
              <w:spacing w:before="60"/>
              <w:rPr>
                <w:rStyle w:val="ECCHLbold"/>
              </w:rPr>
            </w:pPr>
            <w:r w:rsidRPr="008D2A17">
              <w:rPr>
                <w:rStyle w:val="ECCHLbold"/>
              </w:rPr>
              <w:t>MCL</w:t>
            </w:r>
          </w:p>
        </w:tc>
        <w:tc>
          <w:tcPr>
            <w:tcW w:w="7767" w:type="dxa"/>
            <w:vAlign w:val="center"/>
          </w:tcPr>
          <w:p w14:paraId="0009278B" w14:textId="77777777" w:rsidR="001B6367" w:rsidRPr="008D2A17" w:rsidRDefault="001B6367" w:rsidP="0067417A">
            <w:pPr>
              <w:pStyle w:val="ECCTabletext"/>
              <w:spacing w:before="60"/>
            </w:pPr>
            <w:r w:rsidRPr="008D2A17">
              <w:t>Minimum Coupling Loss</w:t>
            </w:r>
          </w:p>
        </w:tc>
      </w:tr>
      <w:tr w:rsidR="00B46BF8" w:rsidRPr="008D2A17" w14:paraId="74F6DB4B" w14:textId="77777777" w:rsidTr="00AD7F41">
        <w:tc>
          <w:tcPr>
            <w:tcW w:w="2088" w:type="dxa"/>
            <w:vAlign w:val="center"/>
          </w:tcPr>
          <w:p w14:paraId="53508186" w14:textId="77777777" w:rsidR="00B46BF8" w:rsidRPr="008D2A17" w:rsidRDefault="00B46BF8" w:rsidP="0067417A">
            <w:pPr>
              <w:pStyle w:val="ECCTabletext"/>
              <w:spacing w:before="60"/>
              <w:rPr>
                <w:rStyle w:val="ECCHLmagenta"/>
                <w:szCs w:val="24"/>
              </w:rPr>
            </w:pPr>
            <w:r w:rsidRPr="008D2A17">
              <w:rPr>
                <w:rStyle w:val="ECCHLbold"/>
              </w:rPr>
              <w:t>MFCN</w:t>
            </w:r>
          </w:p>
        </w:tc>
        <w:tc>
          <w:tcPr>
            <w:tcW w:w="7767" w:type="dxa"/>
            <w:vAlign w:val="center"/>
          </w:tcPr>
          <w:p w14:paraId="5285E033" w14:textId="77777777" w:rsidR="00B46BF8" w:rsidRPr="008D2A17" w:rsidRDefault="00B46BF8" w:rsidP="0067417A">
            <w:pPr>
              <w:pStyle w:val="ECCTabletext"/>
              <w:spacing w:before="60"/>
            </w:pPr>
            <w:r w:rsidRPr="008D2A17">
              <w:t>Mobile/Fixed Communications Network</w:t>
            </w:r>
          </w:p>
        </w:tc>
      </w:tr>
      <w:tr w:rsidR="00351960" w:rsidRPr="008D2A17" w14:paraId="24FD0AFF" w14:textId="77777777" w:rsidTr="00AD7F41">
        <w:tc>
          <w:tcPr>
            <w:tcW w:w="2088" w:type="dxa"/>
            <w:vAlign w:val="center"/>
          </w:tcPr>
          <w:p w14:paraId="3D47B320" w14:textId="77777777" w:rsidR="00351960" w:rsidRPr="008D2A17" w:rsidRDefault="00351960">
            <w:pPr>
              <w:pStyle w:val="ECCTabletext"/>
              <w:spacing w:before="60"/>
              <w:rPr>
                <w:rStyle w:val="ECCHLbold"/>
              </w:rPr>
            </w:pPr>
            <w:r w:rsidRPr="008D2A17">
              <w:rPr>
                <w:rStyle w:val="ECCHLbold"/>
              </w:rPr>
              <w:t>NR</w:t>
            </w:r>
          </w:p>
        </w:tc>
        <w:tc>
          <w:tcPr>
            <w:tcW w:w="7767" w:type="dxa"/>
            <w:vAlign w:val="center"/>
          </w:tcPr>
          <w:p w14:paraId="02AF953E" w14:textId="77777777" w:rsidR="00351960" w:rsidRPr="008D2A17" w:rsidRDefault="00351960">
            <w:pPr>
              <w:pStyle w:val="ECCTabletext"/>
              <w:spacing w:before="60"/>
            </w:pPr>
            <w:r w:rsidRPr="008D2A17">
              <w:t>New Radio</w:t>
            </w:r>
          </w:p>
        </w:tc>
      </w:tr>
      <w:tr w:rsidR="00B46BF8" w:rsidRPr="008D2A17" w14:paraId="6F31A8C2" w14:textId="77777777" w:rsidTr="00AD7F41">
        <w:tc>
          <w:tcPr>
            <w:tcW w:w="2088" w:type="dxa"/>
            <w:vAlign w:val="center"/>
          </w:tcPr>
          <w:p w14:paraId="1A9B9735" w14:textId="77777777" w:rsidR="00B46BF8" w:rsidRPr="008D2A17" w:rsidRDefault="00B46BF8" w:rsidP="0067417A">
            <w:pPr>
              <w:pStyle w:val="ECCTabletext"/>
              <w:spacing w:before="60"/>
              <w:rPr>
                <w:rStyle w:val="ECCHLmagenta"/>
                <w:szCs w:val="24"/>
              </w:rPr>
            </w:pPr>
            <w:r w:rsidRPr="008D2A17">
              <w:rPr>
                <w:rStyle w:val="ECCHLbold"/>
              </w:rPr>
              <w:t>OOB</w:t>
            </w:r>
          </w:p>
        </w:tc>
        <w:tc>
          <w:tcPr>
            <w:tcW w:w="7767" w:type="dxa"/>
            <w:vAlign w:val="center"/>
          </w:tcPr>
          <w:p w14:paraId="5E048A11" w14:textId="77777777" w:rsidR="00B46BF8" w:rsidRPr="008D2A17" w:rsidRDefault="00B46BF8" w:rsidP="0067417A">
            <w:pPr>
              <w:pStyle w:val="ECCTabletext"/>
              <w:spacing w:before="60"/>
            </w:pPr>
            <w:r w:rsidRPr="008D2A17">
              <w:t>Out of Band</w:t>
            </w:r>
          </w:p>
        </w:tc>
      </w:tr>
      <w:tr w:rsidR="00B46BF8" w:rsidRPr="008D2A17" w14:paraId="20FBCC29" w14:textId="77777777" w:rsidTr="00AD7F41">
        <w:tc>
          <w:tcPr>
            <w:tcW w:w="2088" w:type="dxa"/>
            <w:vAlign w:val="center"/>
          </w:tcPr>
          <w:p w14:paraId="5F23FA9C" w14:textId="77777777" w:rsidR="00B46BF8" w:rsidRPr="008D2A17" w:rsidRDefault="00B46BF8" w:rsidP="0067417A">
            <w:pPr>
              <w:pStyle w:val="ECCTabletext"/>
              <w:spacing w:before="60"/>
              <w:rPr>
                <w:rStyle w:val="ECCHLbold"/>
                <w:szCs w:val="24"/>
              </w:rPr>
            </w:pPr>
            <w:r w:rsidRPr="008D2A17">
              <w:rPr>
                <w:rStyle w:val="ECCHLbold"/>
              </w:rPr>
              <w:t>OTA</w:t>
            </w:r>
          </w:p>
        </w:tc>
        <w:tc>
          <w:tcPr>
            <w:tcW w:w="7767" w:type="dxa"/>
            <w:vAlign w:val="center"/>
          </w:tcPr>
          <w:p w14:paraId="02520E50" w14:textId="77777777" w:rsidR="00B46BF8" w:rsidRPr="008D2A17" w:rsidRDefault="00B46BF8" w:rsidP="0067417A">
            <w:pPr>
              <w:pStyle w:val="ECCTabletext"/>
              <w:spacing w:before="60"/>
            </w:pPr>
            <w:r w:rsidRPr="008D2A17">
              <w:t>Over The Air</w:t>
            </w:r>
          </w:p>
        </w:tc>
      </w:tr>
      <w:tr w:rsidR="001C45AE" w:rsidRPr="008D2A17" w14:paraId="44BFE3E0" w14:textId="77777777" w:rsidTr="00AD7F41">
        <w:tc>
          <w:tcPr>
            <w:tcW w:w="2088" w:type="dxa"/>
            <w:vAlign w:val="center"/>
          </w:tcPr>
          <w:p w14:paraId="76D4041B" w14:textId="77777777" w:rsidR="001C45AE" w:rsidRPr="008D2A17" w:rsidRDefault="001C45AE">
            <w:pPr>
              <w:pStyle w:val="ECCTabletext"/>
              <w:spacing w:before="60"/>
              <w:rPr>
                <w:rStyle w:val="ECCHLbold"/>
              </w:rPr>
            </w:pPr>
            <w:r w:rsidRPr="008D2A17">
              <w:rPr>
                <w:rStyle w:val="ECCHLbold"/>
              </w:rPr>
              <w:t>RAN</w:t>
            </w:r>
          </w:p>
        </w:tc>
        <w:tc>
          <w:tcPr>
            <w:tcW w:w="7767" w:type="dxa"/>
            <w:vAlign w:val="center"/>
          </w:tcPr>
          <w:p w14:paraId="3EAE6E07" w14:textId="77777777" w:rsidR="001C45AE" w:rsidRPr="008D2A17" w:rsidRDefault="001C45AE">
            <w:pPr>
              <w:pStyle w:val="ECCTabletext"/>
              <w:spacing w:before="60"/>
            </w:pPr>
            <w:r w:rsidRPr="008D2A17">
              <w:t>Radio Access Network</w:t>
            </w:r>
          </w:p>
        </w:tc>
      </w:tr>
      <w:tr w:rsidR="009E58C5" w:rsidRPr="008D2A17" w14:paraId="70A43D69" w14:textId="77777777" w:rsidTr="00AD7F41">
        <w:tc>
          <w:tcPr>
            <w:tcW w:w="2088" w:type="dxa"/>
            <w:vAlign w:val="center"/>
          </w:tcPr>
          <w:p w14:paraId="76B6C99A" w14:textId="77777777" w:rsidR="009E58C5" w:rsidRPr="008D2A17" w:rsidRDefault="009E58C5">
            <w:pPr>
              <w:pStyle w:val="ECCTabletext"/>
              <w:spacing w:before="60"/>
              <w:rPr>
                <w:rStyle w:val="ECCHLbold"/>
              </w:rPr>
            </w:pPr>
            <w:r w:rsidRPr="008D2A17">
              <w:rPr>
                <w:rStyle w:val="ECCHLbold"/>
              </w:rPr>
              <w:t>SDO</w:t>
            </w:r>
          </w:p>
        </w:tc>
        <w:tc>
          <w:tcPr>
            <w:tcW w:w="7767" w:type="dxa"/>
            <w:vAlign w:val="center"/>
          </w:tcPr>
          <w:p w14:paraId="5D611660" w14:textId="503609C6" w:rsidR="009E58C5" w:rsidRPr="008D2A17" w:rsidRDefault="009E58C5" w:rsidP="009E58C5">
            <w:pPr>
              <w:pStyle w:val="ECCTabletext"/>
              <w:spacing w:before="60"/>
            </w:pPr>
            <w:r w:rsidRPr="008D2A17">
              <w:t>Standards Developing Organisation</w:t>
            </w:r>
          </w:p>
        </w:tc>
      </w:tr>
      <w:tr w:rsidR="00B46BF8" w:rsidRPr="008D2A17" w14:paraId="46D76037" w14:textId="77777777" w:rsidTr="00AD7F41">
        <w:tc>
          <w:tcPr>
            <w:tcW w:w="2088" w:type="dxa"/>
          </w:tcPr>
          <w:p w14:paraId="67D4CB7F" w14:textId="77777777" w:rsidR="00B46BF8" w:rsidRPr="008D2A17" w:rsidRDefault="00B46BF8" w:rsidP="0067417A">
            <w:pPr>
              <w:pStyle w:val="ECCTabletext"/>
              <w:spacing w:before="60"/>
              <w:rPr>
                <w:rStyle w:val="ECCHLbold"/>
                <w:szCs w:val="24"/>
              </w:rPr>
            </w:pPr>
            <w:r w:rsidRPr="008D2A17">
              <w:rPr>
                <w:rStyle w:val="ECCHLbold"/>
              </w:rPr>
              <w:t>SEM</w:t>
            </w:r>
          </w:p>
        </w:tc>
        <w:tc>
          <w:tcPr>
            <w:tcW w:w="7767" w:type="dxa"/>
          </w:tcPr>
          <w:p w14:paraId="698FA5C5" w14:textId="77777777" w:rsidR="00B46BF8" w:rsidRPr="008D2A17" w:rsidRDefault="00B46BF8" w:rsidP="0067417A">
            <w:pPr>
              <w:pStyle w:val="ECCTabletext"/>
              <w:spacing w:before="60"/>
            </w:pPr>
            <w:r w:rsidRPr="008D2A17">
              <w:t>Spectrum Emission Mask</w:t>
            </w:r>
          </w:p>
        </w:tc>
      </w:tr>
      <w:tr w:rsidR="00A97F40" w:rsidRPr="008D2A17" w14:paraId="4CD1286A" w14:textId="77777777" w:rsidTr="00AD7F41">
        <w:tc>
          <w:tcPr>
            <w:tcW w:w="2088" w:type="dxa"/>
          </w:tcPr>
          <w:p w14:paraId="4F92FC2A" w14:textId="77777777" w:rsidR="00A97F40" w:rsidRPr="008D2A17" w:rsidRDefault="00A97F40">
            <w:pPr>
              <w:pStyle w:val="ECCTabletext"/>
              <w:spacing w:before="60"/>
              <w:rPr>
                <w:rStyle w:val="ECCHLbold"/>
              </w:rPr>
            </w:pPr>
            <w:r w:rsidRPr="008D2A17">
              <w:rPr>
                <w:rStyle w:val="ECCHLbold"/>
              </w:rPr>
              <w:t>TCP</w:t>
            </w:r>
          </w:p>
        </w:tc>
        <w:tc>
          <w:tcPr>
            <w:tcW w:w="7767" w:type="dxa"/>
          </w:tcPr>
          <w:p w14:paraId="54E0BD76" w14:textId="77777777" w:rsidR="00A97F40" w:rsidRPr="008D2A17" w:rsidRDefault="00A97F40">
            <w:pPr>
              <w:pStyle w:val="ECCTabletext"/>
              <w:spacing w:before="60"/>
            </w:pPr>
            <w:r w:rsidRPr="008D2A17">
              <w:t>Transmission Control Protocol</w:t>
            </w:r>
          </w:p>
        </w:tc>
      </w:tr>
      <w:tr w:rsidR="00C462CC" w:rsidRPr="008D2A17" w14:paraId="2050C2FF" w14:textId="77777777" w:rsidTr="00AD7F41">
        <w:tc>
          <w:tcPr>
            <w:tcW w:w="2088" w:type="dxa"/>
          </w:tcPr>
          <w:p w14:paraId="0F084E77" w14:textId="77777777" w:rsidR="00C462CC" w:rsidRPr="008D2A17" w:rsidRDefault="00C462CC">
            <w:pPr>
              <w:pStyle w:val="ECCTabletext"/>
              <w:spacing w:before="60"/>
              <w:rPr>
                <w:rStyle w:val="ECCHLbold"/>
              </w:rPr>
            </w:pPr>
            <w:r w:rsidRPr="008D2A17">
              <w:rPr>
                <w:rStyle w:val="ECCHLbold"/>
              </w:rPr>
              <w:t>TDD</w:t>
            </w:r>
          </w:p>
        </w:tc>
        <w:tc>
          <w:tcPr>
            <w:tcW w:w="7767" w:type="dxa"/>
          </w:tcPr>
          <w:p w14:paraId="4CB6EA8B" w14:textId="77777777" w:rsidR="00C462CC" w:rsidRPr="008D2A17" w:rsidRDefault="00C462CC">
            <w:pPr>
              <w:pStyle w:val="ECCTabletext"/>
              <w:spacing w:before="60"/>
            </w:pPr>
            <w:r w:rsidRPr="008D2A17">
              <w:t>Time Division Duplex</w:t>
            </w:r>
          </w:p>
        </w:tc>
      </w:tr>
      <w:tr w:rsidR="00B46BF8" w:rsidRPr="008D2A17" w14:paraId="159FDFC6" w14:textId="77777777" w:rsidTr="00AD7F41">
        <w:tc>
          <w:tcPr>
            <w:tcW w:w="2088" w:type="dxa"/>
          </w:tcPr>
          <w:p w14:paraId="555564B6" w14:textId="77777777" w:rsidR="00B46BF8" w:rsidRPr="008D2A17" w:rsidRDefault="00B46BF8" w:rsidP="0067417A">
            <w:pPr>
              <w:pStyle w:val="ECCTabletext"/>
              <w:spacing w:before="60"/>
              <w:rPr>
                <w:rStyle w:val="ECCHLbold"/>
                <w:szCs w:val="24"/>
              </w:rPr>
            </w:pPr>
            <w:r w:rsidRPr="008D2A17">
              <w:rPr>
                <w:rStyle w:val="ECCHLbold"/>
              </w:rPr>
              <w:t>TRP</w:t>
            </w:r>
          </w:p>
        </w:tc>
        <w:tc>
          <w:tcPr>
            <w:tcW w:w="7767" w:type="dxa"/>
          </w:tcPr>
          <w:p w14:paraId="48057D2C" w14:textId="77777777" w:rsidR="00B46BF8" w:rsidRPr="008D2A17" w:rsidRDefault="00B46BF8" w:rsidP="0067417A">
            <w:pPr>
              <w:pStyle w:val="ECCTabletext"/>
              <w:spacing w:before="60"/>
            </w:pPr>
            <w:r w:rsidRPr="008D2A17">
              <w:t>Total Radiated Power</w:t>
            </w:r>
          </w:p>
        </w:tc>
      </w:tr>
      <w:tr w:rsidR="003A1A40" w:rsidRPr="008D2A17" w14:paraId="3ED7071B" w14:textId="77777777" w:rsidTr="00AD7F41">
        <w:tc>
          <w:tcPr>
            <w:tcW w:w="2088" w:type="dxa"/>
          </w:tcPr>
          <w:p w14:paraId="315859CA" w14:textId="4421E42B" w:rsidR="003A1A40" w:rsidRPr="008D2A17" w:rsidRDefault="003A1A40" w:rsidP="0067417A">
            <w:pPr>
              <w:pStyle w:val="ECCTabletext"/>
              <w:spacing w:before="60"/>
              <w:rPr>
                <w:rStyle w:val="ECCHLbold"/>
                <w:szCs w:val="24"/>
              </w:rPr>
            </w:pPr>
          </w:p>
        </w:tc>
        <w:tc>
          <w:tcPr>
            <w:tcW w:w="7767" w:type="dxa"/>
          </w:tcPr>
          <w:p w14:paraId="25797054" w14:textId="633B2D65" w:rsidR="003A1A40" w:rsidRPr="008D2A17" w:rsidRDefault="003A1A40" w:rsidP="0067417A">
            <w:pPr>
              <w:pStyle w:val="ECCTabletext"/>
              <w:spacing w:before="60"/>
            </w:pPr>
          </w:p>
        </w:tc>
      </w:tr>
      <w:tr w:rsidR="00B46BF8" w:rsidRPr="008D2A17" w14:paraId="3933610C" w14:textId="77777777" w:rsidTr="00AD7F41">
        <w:tc>
          <w:tcPr>
            <w:tcW w:w="2088" w:type="dxa"/>
          </w:tcPr>
          <w:p w14:paraId="5A386050" w14:textId="77777777" w:rsidR="00B46BF8" w:rsidRPr="008D2A17" w:rsidRDefault="00B46BF8" w:rsidP="0067417A">
            <w:pPr>
              <w:pStyle w:val="ECCTabletext"/>
              <w:spacing w:before="60"/>
              <w:rPr>
                <w:rStyle w:val="ECCHLbold"/>
                <w:szCs w:val="24"/>
              </w:rPr>
            </w:pPr>
            <w:r w:rsidRPr="008D2A17">
              <w:rPr>
                <w:rStyle w:val="ECCHLbold"/>
              </w:rPr>
              <w:lastRenderedPageBreak/>
              <w:t>UE</w:t>
            </w:r>
          </w:p>
        </w:tc>
        <w:tc>
          <w:tcPr>
            <w:tcW w:w="7767" w:type="dxa"/>
          </w:tcPr>
          <w:p w14:paraId="3FD3BE2B" w14:textId="77777777" w:rsidR="00B46BF8" w:rsidRPr="008D2A17" w:rsidRDefault="00B46BF8" w:rsidP="0067417A">
            <w:pPr>
              <w:pStyle w:val="ECCTabletext"/>
              <w:spacing w:before="60"/>
            </w:pPr>
            <w:r w:rsidRPr="008D2A17">
              <w:t>User Equipment</w:t>
            </w:r>
          </w:p>
        </w:tc>
      </w:tr>
      <w:tr w:rsidR="00293A15" w:rsidRPr="008D2A17" w14:paraId="66152D15" w14:textId="77777777" w:rsidTr="00AD7F41">
        <w:tc>
          <w:tcPr>
            <w:tcW w:w="2088" w:type="dxa"/>
          </w:tcPr>
          <w:p w14:paraId="031ED2A5" w14:textId="77777777" w:rsidR="00293A15" w:rsidRPr="008D2A17" w:rsidRDefault="00293A15">
            <w:pPr>
              <w:pStyle w:val="ECCTabletext"/>
              <w:spacing w:before="60"/>
              <w:rPr>
                <w:rStyle w:val="ECCHLbold"/>
              </w:rPr>
            </w:pPr>
            <w:r w:rsidRPr="008D2A17">
              <w:rPr>
                <w:rStyle w:val="ECCHLbold"/>
              </w:rPr>
              <w:t>UL</w:t>
            </w:r>
          </w:p>
        </w:tc>
        <w:tc>
          <w:tcPr>
            <w:tcW w:w="7767" w:type="dxa"/>
          </w:tcPr>
          <w:p w14:paraId="5083A9C8" w14:textId="77777777" w:rsidR="00293A15" w:rsidRPr="008D2A17" w:rsidRDefault="00293A15">
            <w:pPr>
              <w:pStyle w:val="ECCTabletext"/>
              <w:spacing w:before="60"/>
            </w:pPr>
            <w:r w:rsidRPr="008D2A17">
              <w:t>Uplink</w:t>
            </w:r>
          </w:p>
        </w:tc>
      </w:tr>
      <w:tr w:rsidR="00B46BF8" w:rsidRPr="008D2A17" w14:paraId="0DA0F955" w14:textId="77777777" w:rsidTr="00AD7F41">
        <w:tc>
          <w:tcPr>
            <w:tcW w:w="2088" w:type="dxa"/>
          </w:tcPr>
          <w:p w14:paraId="556F5DC9" w14:textId="77777777" w:rsidR="00B46BF8" w:rsidRPr="008D2A17" w:rsidRDefault="00B46BF8" w:rsidP="0067417A">
            <w:pPr>
              <w:pStyle w:val="ECCTabletext"/>
              <w:spacing w:before="60"/>
              <w:rPr>
                <w:rStyle w:val="ECCHLmagenta"/>
                <w:szCs w:val="24"/>
              </w:rPr>
            </w:pPr>
            <w:r w:rsidRPr="008D2A17">
              <w:rPr>
                <w:rStyle w:val="ECCHLbold"/>
              </w:rPr>
              <w:t>UMTS</w:t>
            </w:r>
          </w:p>
        </w:tc>
        <w:tc>
          <w:tcPr>
            <w:tcW w:w="7767" w:type="dxa"/>
          </w:tcPr>
          <w:p w14:paraId="2C6DDC16" w14:textId="77777777" w:rsidR="00B46BF8" w:rsidRPr="008D2A17" w:rsidRDefault="00B46BF8" w:rsidP="0067417A">
            <w:pPr>
              <w:pStyle w:val="ECCTabletext"/>
              <w:spacing w:before="60"/>
            </w:pPr>
            <w:r w:rsidRPr="008D2A17">
              <w:t>Universal Mobile Telecommunications System</w:t>
            </w:r>
          </w:p>
        </w:tc>
      </w:tr>
      <w:tr w:rsidR="00B46BF8" w:rsidRPr="008D2A17" w14:paraId="68558A9A" w14:textId="77777777" w:rsidTr="00AD7F41">
        <w:tc>
          <w:tcPr>
            <w:tcW w:w="2088" w:type="dxa"/>
            <w:vAlign w:val="center"/>
          </w:tcPr>
          <w:p w14:paraId="7389F456" w14:textId="77777777" w:rsidR="00B46BF8" w:rsidRPr="008D2A17" w:rsidRDefault="00B46BF8" w:rsidP="0067417A">
            <w:pPr>
              <w:pStyle w:val="ECCTabletext"/>
              <w:spacing w:before="60"/>
              <w:rPr>
                <w:rStyle w:val="ECCHLbold"/>
                <w:szCs w:val="24"/>
              </w:rPr>
            </w:pPr>
            <w:r w:rsidRPr="008D2A17">
              <w:rPr>
                <w:rStyle w:val="ECCHLbold"/>
              </w:rPr>
              <w:t>WBB ECS</w:t>
            </w:r>
          </w:p>
        </w:tc>
        <w:tc>
          <w:tcPr>
            <w:tcW w:w="7767" w:type="dxa"/>
            <w:vAlign w:val="center"/>
          </w:tcPr>
          <w:p w14:paraId="0E6F8BDE" w14:textId="77777777" w:rsidR="00B46BF8" w:rsidRPr="008D2A17" w:rsidRDefault="00B46BF8" w:rsidP="0067417A">
            <w:pPr>
              <w:pStyle w:val="ECCTabletext"/>
              <w:spacing w:before="60"/>
            </w:pPr>
            <w:r w:rsidRPr="008D2A17">
              <w:t>Wireless Broadband Electronic Communication Services</w:t>
            </w:r>
          </w:p>
        </w:tc>
      </w:tr>
      <w:tr w:rsidR="00B46BF8" w:rsidRPr="008D2A17" w14:paraId="2DCB03F2" w14:textId="77777777" w:rsidTr="00AD7F41">
        <w:tc>
          <w:tcPr>
            <w:tcW w:w="2088" w:type="dxa"/>
            <w:vAlign w:val="center"/>
          </w:tcPr>
          <w:p w14:paraId="34B336AC" w14:textId="77777777" w:rsidR="00B46BF8" w:rsidRPr="008D2A17" w:rsidRDefault="00B46BF8" w:rsidP="0067417A">
            <w:pPr>
              <w:pStyle w:val="ECCTabletext"/>
              <w:spacing w:before="60"/>
              <w:rPr>
                <w:rStyle w:val="ECCHLmagenta"/>
                <w:szCs w:val="24"/>
              </w:rPr>
            </w:pPr>
            <w:r w:rsidRPr="008D2A17">
              <w:rPr>
                <w:rStyle w:val="ECCHLbold"/>
              </w:rPr>
              <w:t>WRC</w:t>
            </w:r>
          </w:p>
        </w:tc>
        <w:tc>
          <w:tcPr>
            <w:tcW w:w="7767" w:type="dxa"/>
            <w:vAlign w:val="center"/>
          </w:tcPr>
          <w:p w14:paraId="5A454092" w14:textId="77777777" w:rsidR="00B46BF8" w:rsidRPr="008D2A17" w:rsidRDefault="00B46BF8" w:rsidP="0067417A">
            <w:pPr>
              <w:pStyle w:val="ECCTabletext"/>
              <w:spacing w:before="60"/>
            </w:pPr>
            <w:r w:rsidRPr="008D2A17">
              <w:t>World Radiocommunication Conference</w:t>
            </w:r>
          </w:p>
        </w:tc>
      </w:tr>
    </w:tbl>
    <w:p w14:paraId="60632BC3" w14:textId="2074E4F5" w:rsidR="00AB46DF" w:rsidRPr="008D2A17" w:rsidRDefault="00AB46DF" w:rsidP="00AB46DF">
      <w:pPr>
        <w:rPr>
          <w:lang w:val="en-GB"/>
        </w:rPr>
      </w:pPr>
    </w:p>
    <w:p w14:paraId="5792B14E" w14:textId="77777777" w:rsidR="00AB46DF" w:rsidRPr="008D2A17" w:rsidRDefault="00AB46DF" w:rsidP="00AB46DF">
      <w:pPr>
        <w:rPr>
          <w:lang w:val="en-GB"/>
        </w:rPr>
      </w:pPr>
    </w:p>
    <w:p w14:paraId="31A8D288" w14:textId="77777777" w:rsidR="00AB46DF" w:rsidRPr="008D2A17" w:rsidRDefault="00B46BF8" w:rsidP="00381B4F">
      <w:pPr>
        <w:pStyle w:val="Heading1"/>
      </w:pPr>
      <w:bookmarkStart w:id="5" w:name="_Toc514428322"/>
      <w:bookmarkStart w:id="6" w:name="_Toc507766085"/>
      <w:r w:rsidRPr="008D2A17">
        <w:lastRenderedPageBreak/>
        <w:t>Introduction</w:t>
      </w:r>
      <w:bookmarkEnd w:id="5"/>
      <w:bookmarkEnd w:id="6"/>
    </w:p>
    <w:p w14:paraId="34A1730A" w14:textId="77777777" w:rsidR="00B46BF8" w:rsidRPr="008D2A17" w:rsidRDefault="00B46BF8" w:rsidP="00B46BF8">
      <w:pPr>
        <w:pStyle w:val="ECCParagraph"/>
      </w:pPr>
      <w:r w:rsidRPr="008D2A17">
        <w:t xml:space="preserve">This report addresses Task 1 of the EC Mandate to CEPT to develop harmonised technical conditions for 5G (see Annex 1): </w:t>
      </w:r>
    </w:p>
    <w:p w14:paraId="30C712FC" w14:textId="77777777" w:rsidR="00B46BF8" w:rsidRPr="008D2A17" w:rsidRDefault="00B46BF8" w:rsidP="00B46BF8">
      <w:pPr>
        <w:pStyle w:val="ECCParagraph"/>
      </w:pPr>
      <w:r w:rsidRPr="008D2A17">
        <w:t xml:space="preserve">“1. </w:t>
      </w:r>
      <w:r w:rsidRPr="008D2A17">
        <w:tab/>
        <w:t xml:space="preserve">Review the harmonised technical conditions applicable to the </w:t>
      </w:r>
      <w:r w:rsidRPr="008D2A17">
        <w:rPr>
          <w:b/>
        </w:rPr>
        <w:t>3.4-3.8 GHz ('3.6 GHz') frequency band, as a 5G pioneer band</w:t>
      </w:r>
      <w:r w:rsidRPr="008D2A17">
        <w:t>, with view to their suitability for 5G terrestrial wireless systems and amend these, if necessary.”</w:t>
      </w:r>
    </w:p>
    <w:p w14:paraId="60302AE8" w14:textId="77777777" w:rsidR="00B46BF8" w:rsidRPr="008D2A17" w:rsidRDefault="00B46BF8" w:rsidP="0067417A">
      <w:pPr>
        <w:pStyle w:val="ECCParagraph"/>
      </w:pPr>
      <w:r w:rsidRPr="008D2A17">
        <w:t>The 3400-3800</w:t>
      </w:r>
      <w:r w:rsidR="00AB2111" w:rsidRPr="008D2A17">
        <w:t> MHz</w:t>
      </w:r>
      <w:r w:rsidRPr="008D2A17">
        <w:t xml:space="preserve"> frequency band is already harmonised at EU level for terrestrial systems capable of providing wireless broadband electronic communications services (WBB ECS) and is already potentially available for future 5G use. In this regard, with the current framework, CEPT develop harmonised technical conditions to ensure spectrum usage on a shared basis, including protection conditions where necessary, pursuant to the sharing scenarios identified, in close cooperation with all concerned stakeholders. These conditions should be sufficient to mitigate interference and ensure </w:t>
      </w:r>
      <w:r w:rsidR="001C45AE" w:rsidRPr="008D2A17">
        <w:t>coex</w:t>
      </w:r>
      <w:r w:rsidRPr="008D2A17">
        <w:t>istence with incumbent radio services/applications in the same band or in adjacent bands, in line with their regulatory status.</w:t>
      </w:r>
    </w:p>
    <w:p w14:paraId="32EAEC8F" w14:textId="35AEAF8B" w:rsidR="00B46BF8" w:rsidRPr="008D2A17" w:rsidRDefault="00B46BF8" w:rsidP="00B46BF8">
      <w:pPr>
        <w:pStyle w:val="ECCParagraph"/>
      </w:pPr>
      <w:r w:rsidRPr="008D2A17">
        <w:t xml:space="preserve">The development of new radio interfaces </w:t>
      </w:r>
      <w:r w:rsidR="00351960" w:rsidRPr="008D2A17">
        <w:t>-</w:t>
      </w:r>
      <w:r w:rsidR="00231CDE" w:rsidRPr="008D2A17">
        <w:t xml:space="preserve"> </w:t>
      </w:r>
      <w:r w:rsidRPr="008D2A17">
        <w:t xml:space="preserve">5G </w:t>
      </w:r>
      <w:r w:rsidR="00351960" w:rsidRPr="008D2A17">
        <w:t>New Radio (</w:t>
      </w:r>
      <w:r w:rsidRPr="008D2A17">
        <w:t>NR</w:t>
      </w:r>
      <w:r w:rsidR="00351960" w:rsidRPr="008D2A17">
        <w:t xml:space="preserve">) - </w:t>
      </w:r>
      <w:r w:rsidRPr="008D2A17">
        <w:t>that support the new capabilities of IMT</w:t>
      </w:r>
      <w:r w:rsidR="00B4183D">
        <w:t>­</w:t>
      </w:r>
      <w:r w:rsidRPr="008D2A17">
        <w:t>2020 is expected along with the enhancement of IMT-2000 and IMT-Advanced systems.</w:t>
      </w:r>
    </w:p>
    <w:p w14:paraId="79820176" w14:textId="1A5F0ACE" w:rsidR="00B46BF8" w:rsidRPr="008D2A17" w:rsidRDefault="00B46BF8" w:rsidP="00B46BF8">
      <w:pPr>
        <w:pStyle w:val="ECCParagraph"/>
      </w:pPr>
      <w:r w:rsidRPr="008D2A17">
        <w:t>Due to its favourable properties, such as radio wave propagation and available bandwidth, the frequency band 3400-3800</w:t>
      </w:r>
      <w:r w:rsidR="00AB2111" w:rsidRPr="008D2A17">
        <w:t> MHz</w:t>
      </w:r>
      <w:r w:rsidRPr="008D2A17">
        <w:t xml:space="preserve"> will be the primary </w:t>
      </w:r>
      <w:r w:rsidR="00F00E27" w:rsidRPr="008D2A17">
        <w:t>frequency</w:t>
      </w:r>
      <w:r w:rsidRPr="008D2A17">
        <w:t xml:space="preserve"> band for the introduction of 5G WBB ECS systems in Europe. </w:t>
      </w:r>
    </w:p>
    <w:p w14:paraId="0B7F1211" w14:textId="77777777" w:rsidR="00B46BF8" w:rsidRPr="008D2A17" w:rsidRDefault="00B46BF8" w:rsidP="00B46BF8">
      <w:pPr>
        <w:pStyle w:val="ECCParagraph"/>
      </w:pPr>
      <w:r w:rsidRPr="008D2A17">
        <w:t xml:space="preserve">The BEM consists of several elements. </w:t>
      </w:r>
      <w:r w:rsidR="00351960" w:rsidRPr="008D2A17">
        <w:t>The i</w:t>
      </w:r>
      <w:r w:rsidRPr="008D2A17">
        <w:t xml:space="preserve">n-block power limit is applied to a block owned by an operator. The out-of-block elements consist of a baseline level, designed to protect the spectrum of other </w:t>
      </w:r>
      <w:r w:rsidR="005A1FC7" w:rsidRPr="008D2A17">
        <w:t>WBB ECS</w:t>
      </w:r>
      <w:r w:rsidRPr="008D2A17">
        <w:t xml:space="preserve"> operators, and transitional levels enabling filter roll-off from in-block to baseline levels. Such limits may be relaxed whenever there are bilateral agreements between operators.</w:t>
      </w:r>
    </w:p>
    <w:p w14:paraId="24E4D5F1" w14:textId="77777777" w:rsidR="00B46BF8" w:rsidRPr="008D2A17" w:rsidRDefault="00B46BF8" w:rsidP="00B46BF8">
      <w:pPr>
        <w:pStyle w:val="ECCParagraph"/>
      </w:pPr>
      <w:r w:rsidRPr="008D2A17">
        <w:t>For the spectrum 3400-3800</w:t>
      </w:r>
      <w:r w:rsidR="00AB2111" w:rsidRPr="008D2A17">
        <w:t> MHz</w:t>
      </w:r>
      <w:r w:rsidRPr="008D2A17">
        <w:t xml:space="preserve">, the BEM has not been developed to protect other services or applications, and only applies in blocks that have been licensed to WBB ECS according to the new </w:t>
      </w:r>
      <w:r w:rsidR="00351960" w:rsidRPr="008D2A17">
        <w:t xml:space="preserve">harmonised </w:t>
      </w:r>
      <w:r w:rsidRPr="008D2A17">
        <w:t>frequency arrangement.</w:t>
      </w:r>
      <w:r w:rsidR="0053507C" w:rsidRPr="008D2A17">
        <w:t xml:space="preserve"> The BEM defines additional requirements outside the band for the protection of other services.</w:t>
      </w:r>
    </w:p>
    <w:p w14:paraId="79F04821" w14:textId="5990D457" w:rsidR="00B46BF8" w:rsidRPr="008D2A17" w:rsidRDefault="00B46BF8" w:rsidP="00B46BF8">
      <w:pPr>
        <w:pStyle w:val="ECCParagraph"/>
      </w:pPr>
      <w:r w:rsidRPr="008D2A17">
        <w:t>In the figure below</w:t>
      </w:r>
      <w:r w:rsidR="0053507C" w:rsidRPr="008D2A17">
        <w:t>,</w:t>
      </w:r>
      <w:r w:rsidRPr="008D2A17">
        <w:t xml:space="preserve"> it is assumed for simplicity that all blocks have been licensed to WBB ECS. </w:t>
      </w:r>
      <w:r w:rsidRPr="008D2A17">
        <w:fldChar w:fldCharType="begin"/>
      </w:r>
      <w:r w:rsidRPr="008D2A17">
        <w:instrText xml:space="preserve"> REF _Ref500833673 \h </w:instrText>
      </w:r>
      <w:r w:rsidR="00CE0DB1" w:rsidRPr="008D2A17">
        <w:instrText xml:space="preserve"> \* MERGEFORMAT </w:instrText>
      </w:r>
      <w:r w:rsidRPr="008D2A17">
        <w:fldChar w:fldCharType="separate"/>
      </w:r>
      <w:r w:rsidR="00CB2C51" w:rsidRPr="008D2A17">
        <w:t xml:space="preserve">Figure </w:t>
      </w:r>
      <w:r w:rsidR="00CB2C51">
        <w:rPr>
          <w:noProof/>
        </w:rPr>
        <w:t>1</w:t>
      </w:r>
      <w:r w:rsidRPr="008D2A17">
        <w:fldChar w:fldCharType="end"/>
      </w:r>
      <w:r w:rsidRPr="008D2A17">
        <w:t xml:space="preserve"> shows the combination of the different BEM elements.</w:t>
      </w:r>
    </w:p>
    <w:p w14:paraId="40E33DB0" w14:textId="1188BAEE" w:rsidR="00C4758E" w:rsidRPr="008D2A17" w:rsidRDefault="001957D5" w:rsidP="001855D5">
      <w:pPr>
        <w:pStyle w:val="ECCParagraph"/>
        <w:jc w:val="center"/>
      </w:pPr>
      <w:r>
        <w:rPr>
          <w:noProof/>
          <w:lang w:val="da-DK" w:eastAsia="da-DK"/>
        </w:rPr>
        <w:drawing>
          <wp:inline distT="0" distB="0" distL="0" distR="0" wp14:anchorId="107D51C2" wp14:editId="25F77374">
            <wp:extent cx="4874759" cy="2661990"/>
            <wp:effectExtent l="0" t="0" r="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8216" cy="2663878"/>
                    </a:xfrm>
                    <a:prstGeom prst="rect">
                      <a:avLst/>
                    </a:prstGeom>
                    <a:noFill/>
                  </pic:spPr>
                </pic:pic>
              </a:graphicData>
            </a:graphic>
          </wp:inline>
        </w:drawing>
      </w:r>
    </w:p>
    <w:p w14:paraId="71B80530" w14:textId="77777777" w:rsidR="00B46BF8" w:rsidRPr="008D2A17" w:rsidRDefault="00B46BF8" w:rsidP="00B46BF8">
      <w:pPr>
        <w:pStyle w:val="Caption"/>
        <w:rPr>
          <w:lang w:val="en-GB"/>
        </w:rPr>
      </w:pPr>
      <w:bookmarkStart w:id="7" w:name="_Ref500833673"/>
      <w:r w:rsidRPr="008D2A17">
        <w:rPr>
          <w:lang w:val="en-GB"/>
        </w:rPr>
        <w:t xml:space="preserve">Figure </w:t>
      </w:r>
      <w:r w:rsidRPr="008D2A17">
        <w:rPr>
          <w:lang w:val="en-GB"/>
        </w:rPr>
        <w:fldChar w:fldCharType="begin"/>
      </w:r>
      <w:r w:rsidRPr="008D2A17">
        <w:rPr>
          <w:lang w:val="en-GB"/>
        </w:rPr>
        <w:instrText xml:space="preserve"> SEQ Figure \* ARABIC </w:instrText>
      </w:r>
      <w:r w:rsidRPr="008D2A17">
        <w:rPr>
          <w:lang w:val="en-GB"/>
        </w:rPr>
        <w:fldChar w:fldCharType="separate"/>
      </w:r>
      <w:r w:rsidR="00FA5407">
        <w:rPr>
          <w:noProof/>
          <w:lang w:val="en-GB"/>
        </w:rPr>
        <w:t>1</w:t>
      </w:r>
      <w:r w:rsidRPr="008D2A17">
        <w:rPr>
          <w:lang w:val="en-GB"/>
        </w:rPr>
        <w:fldChar w:fldCharType="end"/>
      </w:r>
      <w:bookmarkEnd w:id="7"/>
      <w:r w:rsidRPr="008D2A17">
        <w:rPr>
          <w:lang w:val="en-GB"/>
        </w:rPr>
        <w:t>: Illustration of a general block</w:t>
      </w:r>
      <w:r w:rsidR="004F4178" w:rsidRPr="008D2A17">
        <w:rPr>
          <w:lang w:val="en-GB"/>
        </w:rPr>
        <w:t xml:space="preserve"> </w:t>
      </w:r>
      <w:r w:rsidRPr="008D2A17">
        <w:rPr>
          <w:lang w:val="en-GB"/>
        </w:rPr>
        <w:t>edge mask</w:t>
      </w:r>
    </w:p>
    <w:p w14:paraId="4F8C8F28" w14:textId="108693BE" w:rsidR="00B46BF8" w:rsidRPr="008D2A17" w:rsidRDefault="00B46BF8" w:rsidP="00B46BF8">
      <w:pPr>
        <w:rPr>
          <w:lang w:val="en-GB"/>
        </w:rPr>
      </w:pPr>
      <w:r w:rsidRPr="008D2A17">
        <w:rPr>
          <w:lang w:val="en-GB"/>
        </w:rPr>
        <w:lastRenderedPageBreak/>
        <w:fldChar w:fldCharType="begin"/>
      </w:r>
      <w:r w:rsidRPr="008D2A17">
        <w:rPr>
          <w:lang w:val="en-GB"/>
        </w:rPr>
        <w:instrText xml:space="preserve"> REF _Ref500781774 \h  \* MERGEFORMAT </w:instrText>
      </w:r>
      <w:r w:rsidRPr="008D2A17">
        <w:rPr>
          <w:lang w:val="en-GB"/>
        </w:rPr>
      </w:r>
      <w:r w:rsidRPr="008D2A17">
        <w:rPr>
          <w:lang w:val="en-GB"/>
        </w:rPr>
        <w:fldChar w:fldCharType="separate"/>
      </w:r>
      <w:r w:rsidR="00CB2C51" w:rsidRPr="008D2A17">
        <w:rPr>
          <w:lang w:val="en-GB"/>
        </w:rPr>
        <w:t xml:space="preserve">Table </w:t>
      </w:r>
      <w:r w:rsidR="00CB2C51">
        <w:rPr>
          <w:noProof/>
          <w:lang w:val="en-GB"/>
        </w:rPr>
        <w:t>1</w:t>
      </w:r>
      <w:r w:rsidRPr="008D2A17">
        <w:rPr>
          <w:lang w:val="en-GB"/>
        </w:rPr>
        <w:fldChar w:fldCharType="end"/>
      </w:r>
      <w:r w:rsidRPr="008D2A17">
        <w:rPr>
          <w:lang w:val="en-GB"/>
        </w:rPr>
        <w:t xml:space="preserve"> below contains the different elements of the BEM for the 3400-3800</w:t>
      </w:r>
      <w:r w:rsidR="00AB2111" w:rsidRPr="008D2A17">
        <w:rPr>
          <w:lang w:val="en-GB"/>
        </w:rPr>
        <w:t> MHz</w:t>
      </w:r>
      <w:r w:rsidRPr="008D2A17">
        <w:rPr>
          <w:lang w:val="en-GB"/>
        </w:rPr>
        <w:t xml:space="preserve"> bands.</w:t>
      </w:r>
    </w:p>
    <w:p w14:paraId="2A1ADFDD" w14:textId="77777777" w:rsidR="00B46BF8" w:rsidRPr="008D2A17" w:rsidRDefault="00B46BF8" w:rsidP="00B46BF8">
      <w:pPr>
        <w:pStyle w:val="Caption"/>
        <w:keepNext/>
        <w:rPr>
          <w:lang w:val="en-GB"/>
        </w:rPr>
      </w:pPr>
      <w:bookmarkStart w:id="8" w:name="_Ref500781774"/>
      <w:r w:rsidRPr="008D2A17">
        <w:rPr>
          <w:lang w:val="en-GB"/>
        </w:rPr>
        <w:t xml:space="preserve">Table </w:t>
      </w:r>
      <w:r w:rsidRPr="008D2A17">
        <w:rPr>
          <w:lang w:val="en-GB"/>
        </w:rPr>
        <w:fldChar w:fldCharType="begin"/>
      </w:r>
      <w:r w:rsidRPr="008D2A17">
        <w:rPr>
          <w:lang w:val="en-GB"/>
        </w:rPr>
        <w:instrText xml:space="preserve"> SEQ Table \* ARABIC </w:instrText>
      </w:r>
      <w:r w:rsidRPr="008D2A17">
        <w:rPr>
          <w:lang w:val="en-GB"/>
        </w:rPr>
        <w:fldChar w:fldCharType="separate"/>
      </w:r>
      <w:r w:rsidR="00FA5407">
        <w:rPr>
          <w:noProof/>
          <w:lang w:val="en-GB"/>
        </w:rPr>
        <w:t>1</w:t>
      </w:r>
      <w:r w:rsidRPr="008D2A17">
        <w:rPr>
          <w:lang w:val="en-GB"/>
        </w:rPr>
        <w:fldChar w:fldCharType="end"/>
      </w:r>
      <w:bookmarkEnd w:id="8"/>
      <w:r w:rsidRPr="008D2A17">
        <w:rPr>
          <w:lang w:val="en-GB"/>
        </w:rPr>
        <w:t>: BEM elements</w:t>
      </w:r>
    </w:p>
    <w:tbl>
      <w:tblPr>
        <w:tblStyle w:val="ECCTable-redheader"/>
        <w:tblW w:w="9140" w:type="dxa"/>
        <w:tblInd w:w="0" w:type="dxa"/>
        <w:tblLook w:val="04A0" w:firstRow="1" w:lastRow="0" w:firstColumn="1" w:lastColumn="0" w:noHBand="0" w:noVBand="1"/>
      </w:tblPr>
      <w:tblGrid>
        <w:gridCol w:w="2019"/>
        <w:gridCol w:w="7121"/>
      </w:tblGrid>
      <w:tr w:rsidR="002E3A6C" w:rsidRPr="008D2A17" w14:paraId="2E003744" w14:textId="77777777" w:rsidTr="002E3A6C">
        <w:trPr>
          <w:cnfStyle w:val="100000000000" w:firstRow="1" w:lastRow="0" w:firstColumn="0" w:lastColumn="0" w:oddVBand="0" w:evenVBand="0" w:oddHBand="0" w:evenHBand="0" w:firstRowFirstColumn="0" w:firstRowLastColumn="0" w:lastRowFirstColumn="0" w:lastRowLastColumn="0"/>
          <w:trHeight w:val="309"/>
        </w:trPr>
        <w:tc>
          <w:tcPr>
            <w:tcW w:w="2019" w:type="dxa"/>
            <w:vAlign w:val="top"/>
          </w:tcPr>
          <w:p w14:paraId="640AF833" w14:textId="77777777" w:rsidR="002E3A6C" w:rsidRPr="008D2A17" w:rsidRDefault="002E3A6C" w:rsidP="00351960">
            <w:pPr>
              <w:keepNext/>
              <w:rPr>
                <w:lang w:val="en-GB"/>
              </w:rPr>
            </w:pPr>
            <w:r w:rsidRPr="008D2A17">
              <w:rPr>
                <w:lang w:val="en-GB"/>
              </w:rPr>
              <w:t xml:space="preserve">BEM </w:t>
            </w:r>
            <w:r w:rsidR="00694DBD" w:rsidRPr="008D2A17">
              <w:rPr>
                <w:lang w:val="en-GB"/>
              </w:rPr>
              <w:t xml:space="preserve">element </w:t>
            </w:r>
          </w:p>
        </w:tc>
        <w:tc>
          <w:tcPr>
            <w:tcW w:w="7121" w:type="dxa"/>
            <w:vAlign w:val="top"/>
          </w:tcPr>
          <w:p w14:paraId="13E0B158" w14:textId="77777777" w:rsidR="002E3A6C" w:rsidRPr="008D2A17" w:rsidRDefault="002E3A6C" w:rsidP="00C85B3D">
            <w:pPr>
              <w:keepNext/>
              <w:rPr>
                <w:lang w:val="en-GB"/>
              </w:rPr>
            </w:pPr>
            <w:r w:rsidRPr="008D2A17">
              <w:rPr>
                <w:lang w:val="en-GB"/>
              </w:rPr>
              <w:t>Definition</w:t>
            </w:r>
          </w:p>
        </w:tc>
      </w:tr>
      <w:tr w:rsidR="00B46BF8" w:rsidRPr="008D2A17" w14:paraId="541DC047" w14:textId="77777777" w:rsidTr="00BE123F">
        <w:trPr>
          <w:trHeight w:val="397"/>
        </w:trPr>
        <w:tc>
          <w:tcPr>
            <w:tcW w:w="0" w:type="dxa"/>
            <w:hideMark/>
          </w:tcPr>
          <w:p w14:paraId="5954EB51" w14:textId="77777777" w:rsidR="00B46BF8" w:rsidRPr="008D2A17" w:rsidRDefault="00B46BF8" w:rsidP="00BE123F">
            <w:pPr>
              <w:pStyle w:val="ECCTabletext"/>
              <w:spacing w:before="0" w:after="0"/>
            </w:pPr>
            <w:r w:rsidRPr="008D2A17">
              <w:t>In-block</w:t>
            </w:r>
          </w:p>
        </w:tc>
        <w:tc>
          <w:tcPr>
            <w:tcW w:w="0" w:type="dxa"/>
            <w:hideMark/>
          </w:tcPr>
          <w:p w14:paraId="29D4646F" w14:textId="77777777" w:rsidR="00B46BF8" w:rsidRPr="008D2A17" w:rsidRDefault="00B46BF8" w:rsidP="00BE123F">
            <w:pPr>
              <w:pStyle w:val="ECCTabletext"/>
              <w:spacing w:before="0" w:after="0"/>
            </w:pPr>
            <w:r w:rsidRPr="008D2A17">
              <w:t>Block for which the BEM is derived.</w:t>
            </w:r>
          </w:p>
        </w:tc>
      </w:tr>
      <w:tr w:rsidR="00B46BF8" w:rsidRPr="008D2A17" w14:paraId="14CEB170" w14:textId="77777777" w:rsidTr="002E3A6C">
        <w:trPr>
          <w:trHeight w:val="507"/>
        </w:trPr>
        <w:tc>
          <w:tcPr>
            <w:tcW w:w="2019" w:type="dxa"/>
            <w:hideMark/>
          </w:tcPr>
          <w:p w14:paraId="1466485A" w14:textId="77777777" w:rsidR="00B46BF8" w:rsidRPr="008D2A17" w:rsidRDefault="00B46BF8" w:rsidP="002E3A6C">
            <w:pPr>
              <w:pStyle w:val="ECCTabletext"/>
              <w:spacing w:before="0" w:after="0"/>
            </w:pPr>
            <w:r w:rsidRPr="008D2A17">
              <w:t xml:space="preserve">Baseline </w:t>
            </w:r>
          </w:p>
        </w:tc>
        <w:tc>
          <w:tcPr>
            <w:tcW w:w="7121" w:type="dxa"/>
            <w:hideMark/>
          </w:tcPr>
          <w:p w14:paraId="32F24F08" w14:textId="77777777" w:rsidR="00B46BF8" w:rsidRPr="008D2A17" w:rsidRDefault="00B46BF8" w:rsidP="002E3A6C">
            <w:pPr>
              <w:pStyle w:val="ECCTabletext"/>
              <w:spacing w:before="0" w:after="0"/>
            </w:pPr>
            <w:r w:rsidRPr="008D2A17">
              <w:t>Spectrum used for WBB ECS, except from the operator block in question and corresponding transitional regions.</w:t>
            </w:r>
          </w:p>
        </w:tc>
      </w:tr>
      <w:tr w:rsidR="00B46BF8" w:rsidRPr="008D2A17" w14:paraId="4419D1B3" w14:textId="77777777" w:rsidTr="002E3A6C">
        <w:trPr>
          <w:trHeight w:val="397"/>
        </w:trPr>
        <w:tc>
          <w:tcPr>
            <w:tcW w:w="2019" w:type="dxa"/>
            <w:hideMark/>
          </w:tcPr>
          <w:p w14:paraId="5879CCC2" w14:textId="77777777" w:rsidR="00B46BF8" w:rsidRPr="008D2A17" w:rsidRDefault="00B46BF8" w:rsidP="002E3A6C">
            <w:pPr>
              <w:pStyle w:val="ECCTabletext"/>
              <w:spacing w:before="0" w:after="0"/>
            </w:pPr>
            <w:r w:rsidRPr="008D2A17">
              <w:t xml:space="preserve">Transitional regions </w:t>
            </w:r>
          </w:p>
        </w:tc>
        <w:tc>
          <w:tcPr>
            <w:tcW w:w="7121" w:type="dxa"/>
            <w:hideMark/>
          </w:tcPr>
          <w:p w14:paraId="53B11BB9" w14:textId="77777777" w:rsidR="00B46BF8" w:rsidRPr="008D2A17" w:rsidRDefault="00B46BF8" w:rsidP="002E3A6C">
            <w:pPr>
              <w:pStyle w:val="ECCTabletext"/>
              <w:spacing w:before="0" w:after="0"/>
            </w:pPr>
            <w:r w:rsidRPr="008D2A17">
              <w:t>The transitional region applies 0 to 10</w:t>
            </w:r>
            <w:r w:rsidR="00AB2111" w:rsidRPr="008D2A17">
              <w:t> MHz</w:t>
            </w:r>
            <w:r w:rsidRPr="008D2A17">
              <w:t xml:space="preserve"> below and above the block assigned to the operator. </w:t>
            </w:r>
          </w:p>
          <w:p w14:paraId="4C815B9A" w14:textId="77777777" w:rsidR="00B46BF8" w:rsidRPr="008D2A17" w:rsidRDefault="00B46BF8" w:rsidP="002E3A6C">
            <w:pPr>
              <w:pStyle w:val="ECCTabletext"/>
              <w:spacing w:before="0" w:after="0"/>
            </w:pPr>
            <w:r w:rsidRPr="008D2A17">
              <w:t>Transitional regions do not apply to TDD blocks allocated to other operators, unless networks are synchronised.</w:t>
            </w:r>
          </w:p>
          <w:p w14:paraId="19A40328" w14:textId="77777777" w:rsidR="00B46BF8" w:rsidRPr="008D2A17" w:rsidRDefault="00B46BF8" w:rsidP="002E3A6C">
            <w:pPr>
              <w:pStyle w:val="ECCTabletext"/>
              <w:spacing w:before="0" w:after="0"/>
            </w:pPr>
            <w:r w:rsidRPr="008D2A17">
              <w:t>The transitional regions do not apply below 3400</w:t>
            </w:r>
            <w:r w:rsidR="00AB2111" w:rsidRPr="008D2A17">
              <w:t> MHz</w:t>
            </w:r>
            <w:r w:rsidRPr="008D2A17">
              <w:t xml:space="preserve"> or above 3800</w:t>
            </w:r>
            <w:r w:rsidR="00AB2111" w:rsidRPr="008D2A17">
              <w:t> MHz</w:t>
            </w:r>
            <w:r w:rsidRPr="008D2A17">
              <w:t>.</w:t>
            </w:r>
          </w:p>
        </w:tc>
      </w:tr>
      <w:tr w:rsidR="00B46BF8" w:rsidRPr="008D2A17" w14:paraId="12F2102A" w14:textId="77777777" w:rsidTr="002E3A6C">
        <w:trPr>
          <w:trHeight w:val="397"/>
        </w:trPr>
        <w:tc>
          <w:tcPr>
            <w:tcW w:w="2019" w:type="dxa"/>
          </w:tcPr>
          <w:p w14:paraId="2D8E9466" w14:textId="74C69B22" w:rsidR="00B46BF8" w:rsidRPr="008D2A17" w:rsidRDefault="00787D1D" w:rsidP="00787D1D">
            <w:pPr>
              <w:pStyle w:val="ECCTabletext"/>
              <w:spacing w:before="0" w:after="0"/>
            </w:pPr>
            <w:r>
              <w:t>Additional baseline</w:t>
            </w:r>
          </w:p>
        </w:tc>
        <w:tc>
          <w:tcPr>
            <w:tcW w:w="7121" w:type="dxa"/>
          </w:tcPr>
          <w:p w14:paraId="51DFD4C3" w14:textId="77777777" w:rsidR="00B46BF8" w:rsidRPr="008D2A17" w:rsidRDefault="00B46BF8" w:rsidP="002E3A6C">
            <w:pPr>
              <w:pStyle w:val="ECCTabletext"/>
              <w:spacing w:before="0" w:after="0"/>
            </w:pPr>
            <w:r w:rsidRPr="008D2A17">
              <w:t>Below 3400</w:t>
            </w:r>
            <w:r w:rsidR="00AB2111" w:rsidRPr="008D2A17">
              <w:t> MHz</w:t>
            </w:r>
            <w:r w:rsidR="009546F9" w:rsidRPr="008D2A17">
              <w:t xml:space="preserve"> and above 3800 MHz</w:t>
            </w:r>
            <w:r w:rsidRPr="008D2A17">
              <w:t>.</w:t>
            </w:r>
          </w:p>
        </w:tc>
      </w:tr>
      <w:tr w:rsidR="00B725B6" w:rsidRPr="008D2A17" w14:paraId="111A5B83" w14:textId="77777777" w:rsidTr="002E3A6C">
        <w:trPr>
          <w:trHeight w:val="397"/>
        </w:trPr>
        <w:tc>
          <w:tcPr>
            <w:tcW w:w="2019" w:type="dxa"/>
          </w:tcPr>
          <w:p w14:paraId="6B62CE22" w14:textId="543310FC" w:rsidR="00B725B6" w:rsidRPr="008D2A17" w:rsidRDefault="00787D1D" w:rsidP="00B4183D">
            <w:pPr>
              <w:pStyle w:val="ECCTabletext"/>
              <w:spacing w:before="0" w:after="0"/>
            </w:pPr>
            <w:r>
              <w:t>Restricted baseline</w:t>
            </w:r>
          </w:p>
        </w:tc>
        <w:tc>
          <w:tcPr>
            <w:tcW w:w="7121" w:type="dxa"/>
          </w:tcPr>
          <w:p w14:paraId="488AD501" w14:textId="0FD0B8EB" w:rsidR="00B725B6" w:rsidRPr="008D2A17" w:rsidRDefault="00960FB5" w:rsidP="00B4183D">
            <w:pPr>
              <w:pStyle w:val="ECCTabletext"/>
              <w:spacing w:before="0" w:after="0"/>
            </w:pPr>
            <w:r w:rsidRPr="008D2A17">
              <w:t>Spectrum used for WBB ECS by networks unsynchronised or semi-synchronised with the operator block in question</w:t>
            </w:r>
          </w:p>
        </w:tc>
      </w:tr>
    </w:tbl>
    <w:p w14:paraId="7E9B3C3F" w14:textId="77777777" w:rsidR="00B4183D" w:rsidRDefault="00B4183D" w:rsidP="00B46BF8">
      <w:pPr>
        <w:pStyle w:val="ECCParagraph"/>
      </w:pPr>
    </w:p>
    <w:p w14:paraId="0A32D304" w14:textId="1664653F" w:rsidR="00B46BF8" w:rsidRPr="008D2A17" w:rsidRDefault="00B46BF8" w:rsidP="00B46BF8">
      <w:pPr>
        <w:pStyle w:val="ECCParagraph"/>
      </w:pPr>
      <w:r w:rsidRPr="008D2A17">
        <w:t xml:space="preserve">To obtain a BEM for a specific block, the BEM elements that are defined in </w:t>
      </w:r>
      <w:r w:rsidRPr="008D2A17">
        <w:fldChar w:fldCharType="begin"/>
      </w:r>
      <w:r w:rsidRPr="008D2A17">
        <w:instrText xml:space="preserve"> REF _Ref500781774 \h </w:instrText>
      </w:r>
      <w:r w:rsidR="00CE0DB1" w:rsidRPr="008D2A17">
        <w:instrText xml:space="preserve"> \* MERGEFORMAT </w:instrText>
      </w:r>
      <w:r w:rsidRPr="008D2A17">
        <w:fldChar w:fldCharType="separate"/>
      </w:r>
      <w:r w:rsidR="00CB2C51" w:rsidRPr="008D2A17">
        <w:t xml:space="preserve">Table </w:t>
      </w:r>
      <w:r w:rsidR="00CB2C51">
        <w:rPr>
          <w:noProof/>
        </w:rPr>
        <w:t>1</w:t>
      </w:r>
      <w:r w:rsidRPr="008D2A17">
        <w:fldChar w:fldCharType="end"/>
      </w:r>
      <w:r w:rsidRPr="008D2A17">
        <w:t xml:space="preserve"> are used as follows:</w:t>
      </w:r>
    </w:p>
    <w:p w14:paraId="2039332F" w14:textId="77777777" w:rsidR="00C97849" w:rsidRPr="008D2A17" w:rsidRDefault="00C97849" w:rsidP="00C97849">
      <w:pPr>
        <w:pStyle w:val="ECCBulletsLv1"/>
      </w:pPr>
      <w:r w:rsidRPr="008D2A17">
        <w:t>1.</w:t>
      </w:r>
      <w:r w:rsidRPr="008D2A17">
        <w:tab/>
        <w:t>In-block power limit is used for the block assigned to the operator.</w:t>
      </w:r>
    </w:p>
    <w:p w14:paraId="4D6D55F5" w14:textId="77777777" w:rsidR="00C97849" w:rsidRPr="0043664F" w:rsidRDefault="00C97849" w:rsidP="00C97849">
      <w:pPr>
        <w:pStyle w:val="ECCBulletsLv1"/>
        <w:rPr>
          <w:rFonts w:cs="Arial"/>
          <w:color w:val="000000"/>
        </w:rPr>
      </w:pPr>
      <w:r w:rsidRPr="0043664F">
        <w:rPr>
          <w:rFonts w:cs="Arial"/>
          <w:color w:val="000000"/>
        </w:rPr>
        <w:t>2.</w:t>
      </w:r>
      <w:r w:rsidRPr="0043664F">
        <w:rPr>
          <w:rFonts w:cs="Arial"/>
          <w:color w:val="000000"/>
        </w:rPr>
        <w:tab/>
      </w:r>
      <w:r w:rsidRPr="0043664F">
        <w:rPr>
          <w:rFonts w:cs="Arial"/>
          <w:lang w:val="en-US"/>
        </w:rPr>
        <w:t>Baseline</w:t>
      </w:r>
      <w:r w:rsidRPr="0043664F">
        <w:rPr>
          <w:rFonts w:cs="Arial"/>
        </w:rPr>
        <w:t xml:space="preserve"> </w:t>
      </w:r>
      <w:r w:rsidRPr="00FA5407">
        <w:rPr>
          <w:rFonts w:cs="Arial"/>
        </w:rPr>
        <w:t>is used</w:t>
      </w:r>
      <w:r w:rsidRPr="0043664F">
        <w:rPr>
          <w:rFonts w:cs="Arial"/>
          <w:lang w:val="en-US"/>
        </w:rPr>
        <w:t xml:space="preserve"> for </w:t>
      </w:r>
      <w:r w:rsidRPr="0043664F">
        <w:rPr>
          <w:rFonts w:cs="Arial"/>
        </w:rPr>
        <w:t xml:space="preserve">synchronised WBB ECS </w:t>
      </w:r>
      <w:r w:rsidRPr="0043664F">
        <w:rPr>
          <w:rFonts w:cs="Arial"/>
          <w:lang w:val="en-US"/>
        </w:rPr>
        <w:t>networks</w:t>
      </w:r>
      <w:r w:rsidRPr="00FA5407">
        <w:rPr>
          <w:rFonts w:cs="Arial"/>
          <w:lang w:val="en-US"/>
        </w:rPr>
        <w:t xml:space="preserve"> </w:t>
      </w:r>
      <w:r w:rsidRPr="00492E41">
        <w:rPr>
          <w:rFonts w:cs="Arial"/>
        </w:rPr>
        <w:t>except from the operator block in question and correspond</w:t>
      </w:r>
      <w:r w:rsidRPr="00E80CEC">
        <w:rPr>
          <w:rFonts w:cs="Arial"/>
        </w:rPr>
        <w:t>ing transitional regions</w:t>
      </w:r>
    </w:p>
    <w:p w14:paraId="76878792" w14:textId="77777777" w:rsidR="00C97849" w:rsidRPr="008D2A17" w:rsidRDefault="00C97849" w:rsidP="00C97849">
      <w:pPr>
        <w:pStyle w:val="ECCBulletsLv1"/>
      </w:pPr>
      <w:r>
        <w:t>3.</w:t>
      </w:r>
      <w:r>
        <w:tab/>
      </w:r>
      <w:r w:rsidRPr="008D2A17">
        <w:t xml:space="preserve">Transitional regions are determined, and corresponding power limits are used. </w:t>
      </w:r>
    </w:p>
    <w:p w14:paraId="4868D7A3" w14:textId="77777777" w:rsidR="00C97849" w:rsidRPr="00BE123F" w:rsidRDefault="00C97849" w:rsidP="00C97849">
      <w:pPr>
        <w:pStyle w:val="ECCBulletsLv1"/>
      </w:pPr>
      <w:r>
        <w:t>4</w:t>
      </w:r>
      <w:r w:rsidRPr="008D2A17">
        <w:t>.</w:t>
      </w:r>
      <w:r w:rsidRPr="008D2A17">
        <w:tab/>
      </w:r>
      <w:r>
        <w:t>Restricted baseline</w:t>
      </w:r>
      <w:r w:rsidRPr="008D2A17">
        <w:t xml:space="preserve"> is used for unsynchronised and semi-synchronised</w:t>
      </w:r>
      <w:r w:rsidRPr="00BE123F">
        <w:t xml:space="preserve"> WBB ECS networks,</w:t>
      </w:r>
      <w:r w:rsidRPr="008D2A17">
        <w:t xml:space="preserve"> </w:t>
      </w:r>
    </w:p>
    <w:p w14:paraId="79255BC2" w14:textId="77777777" w:rsidR="00C97849" w:rsidRPr="008D2A17" w:rsidRDefault="00C97849" w:rsidP="00C97849">
      <w:pPr>
        <w:pStyle w:val="ECCBulletsLv1"/>
      </w:pPr>
      <w:r>
        <w:t>5</w:t>
      </w:r>
      <w:r w:rsidRPr="008D2A17">
        <w:t>.</w:t>
      </w:r>
      <w:r w:rsidRPr="008D2A17">
        <w:tab/>
        <w:t>For spectrum below 3 400 MHz, one of the additional baseline power limits is used.</w:t>
      </w:r>
    </w:p>
    <w:p w14:paraId="293E0F9F" w14:textId="69E16356" w:rsidR="00C97849" w:rsidRPr="008D2A17" w:rsidRDefault="00C97849" w:rsidP="00C97849">
      <w:pPr>
        <w:pStyle w:val="ECCBulletsLv1"/>
      </w:pPr>
      <w:r>
        <w:t>6</w:t>
      </w:r>
      <w:r w:rsidRPr="008D2A17">
        <w:t>.</w:t>
      </w:r>
      <w:r w:rsidRPr="008D2A17">
        <w:tab/>
        <w:t>For coexistence with FSS/FS above 3800 MHz, the same baseline and transitional power limit for synchroni</w:t>
      </w:r>
      <w:r w:rsidR="00FA5407">
        <w:t>s</w:t>
      </w:r>
      <w:r w:rsidRPr="008D2A17">
        <w:t>ed WBB ECS applies</w:t>
      </w:r>
      <w:r w:rsidR="0043664F">
        <w:t>.</w:t>
      </w:r>
    </w:p>
    <w:p w14:paraId="0A71DC85" w14:textId="50CE4F8D" w:rsidR="00B46BF8" w:rsidRPr="008D2A17" w:rsidRDefault="00B46BF8" w:rsidP="00B46BF8">
      <w:pPr>
        <w:pStyle w:val="ECCParagraph"/>
      </w:pPr>
      <w:r w:rsidRPr="008D2A17">
        <w:t>Co-existence with other services, co-channel or adjacent channel and applications is not necessarily guaranteed by the BEM for WBB ECS, as other methods may be more efficient</w:t>
      </w:r>
      <w:r w:rsidR="00EC4894" w:rsidRPr="008D2A17">
        <w:t>,</w:t>
      </w:r>
      <w:r w:rsidRPr="008D2A17">
        <w:t xml:space="preserve"> depending on </w:t>
      </w:r>
      <w:r w:rsidR="004816DF" w:rsidRPr="008D2A17">
        <w:t xml:space="preserve">the </w:t>
      </w:r>
      <w:r w:rsidR="001C45AE" w:rsidRPr="008D2A17">
        <w:t>coex</w:t>
      </w:r>
      <w:r w:rsidRPr="008D2A17">
        <w:t>istence scenario, such as frequency or distance separation, or specific site engineering.</w:t>
      </w:r>
      <w:r w:rsidR="00B67D3D" w:rsidRPr="008D2A17">
        <w:t xml:space="preserve"> </w:t>
      </w:r>
    </w:p>
    <w:p w14:paraId="4D258D7E" w14:textId="33A25CE0" w:rsidR="00B46BF8" w:rsidRPr="008D2A17" w:rsidRDefault="00B46BF8" w:rsidP="00B46BF8">
      <w:pPr>
        <w:pStyle w:val="ECCParagraph"/>
      </w:pPr>
      <w:r w:rsidRPr="008D2A17">
        <w:t xml:space="preserve">The BEM is a ‘regulatory mask’ and should not be confused with Spectrum Emission Masks (SEM) for base stations and user equipment employed by </w:t>
      </w:r>
      <w:r w:rsidR="00E7711F" w:rsidRPr="008D2A17">
        <w:t>Standards Developing Organisations (SDOs)</w:t>
      </w:r>
      <w:r w:rsidRPr="008D2A17">
        <w:t>. The BEM concept does not in itself define the means by which the equipment in an operator’s network meets the BEM.</w:t>
      </w:r>
    </w:p>
    <w:p w14:paraId="34B1F6F0" w14:textId="48090569" w:rsidR="00B46BF8" w:rsidRPr="008D2A17" w:rsidRDefault="00B46BF8" w:rsidP="00B46BF8">
      <w:pPr>
        <w:pStyle w:val="ECCParagraph"/>
      </w:pPr>
      <w:r w:rsidRPr="008D2A17">
        <w:t>For user equipment, the BEM proposed by this CEPT Report is restricted to in-block power, which is in line with previous decisions of the European Commission on UE BEMs. UE aspects are taken into consideration</w:t>
      </w:r>
      <w:r w:rsidR="00A61D0D" w:rsidRPr="008D2A17">
        <w:t>,</w:t>
      </w:r>
      <w:r w:rsidRPr="008D2A17">
        <w:t xml:space="preserve"> however</w:t>
      </w:r>
      <w:r w:rsidR="00A61D0D" w:rsidRPr="008D2A17">
        <w:t>,</w:t>
      </w:r>
      <w:r w:rsidRPr="008D2A17">
        <w:t xml:space="preserve"> when deriving the BS BEM and in the analysis of interference to and from other services.</w:t>
      </w:r>
    </w:p>
    <w:p w14:paraId="13B59D7B" w14:textId="4DF99135" w:rsidR="00A61D0D" w:rsidRPr="008D2A17" w:rsidRDefault="00B46BF8" w:rsidP="00B46BF8">
      <w:pPr>
        <w:pStyle w:val="ECCParagraph"/>
        <w:rPr>
          <w:rFonts w:cs="Arial"/>
          <w:lang w:eastAsia="zh-CN"/>
        </w:rPr>
      </w:pPr>
      <w:r w:rsidRPr="008D2A17">
        <w:t>For the purposes of this report the term WBB ECS includes IMT</w:t>
      </w:r>
      <w:r w:rsidR="00F75A56" w:rsidRPr="008D2A17">
        <w:rPr>
          <w:rStyle w:val="FootnoteReference"/>
          <w:rFonts w:cs="Arial"/>
          <w:lang w:eastAsia="zh-CN"/>
        </w:rPr>
        <w:footnoteReference w:id="6"/>
      </w:r>
      <w:r w:rsidR="00F75A56" w:rsidRPr="008D2A17">
        <w:rPr>
          <w:rFonts w:cs="Arial"/>
          <w:lang w:eastAsia="zh-CN"/>
        </w:rPr>
        <w:t xml:space="preserve"> </w:t>
      </w:r>
      <w:r w:rsidRPr="008D2A17">
        <w:t xml:space="preserve">and other communications networks in the mobile and fixed services and refers to radio communication systems which should comply with the BEM defined in this Report. </w:t>
      </w:r>
      <w:r w:rsidRPr="008D2A17">
        <w:rPr>
          <w:rFonts w:cs="Arial"/>
          <w:lang w:eastAsia="zh-CN"/>
        </w:rPr>
        <w:t xml:space="preserve">In the context of evolution of </w:t>
      </w:r>
      <w:r w:rsidR="008A1679" w:rsidRPr="008D2A17">
        <w:rPr>
          <w:rFonts w:cs="Arial"/>
          <w:lang w:eastAsia="zh-CN"/>
        </w:rPr>
        <w:t>WBB ECS</w:t>
      </w:r>
      <w:r w:rsidRPr="008D2A17">
        <w:rPr>
          <w:rFonts w:cs="Arial"/>
          <w:lang w:eastAsia="zh-CN"/>
        </w:rPr>
        <w:t xml:space="preserve">, the 5G New Radio interface (5G NR) optimises wideband operation. This allows </w:t>
      </w:r>
      <w:r w:rsidR="002978F5" w:rsidRPr="008D2A17">
        <w:rPr>
          <w:rFonts w:cs="Arial"/>
          <w:lang w:eastAsia="zh-CN"/>
        </w:rPr>
        <w:t>mobile</w:t>
      </w:r>
      <w:r w:rsidRPr="008D2A17">
        <w:rPr>
          <w:rFonts w:cs="Arial"/>
          <w:lang w:eastAsia="zh-CN"/>
        </w:rPr>
        <w:t xml:space="preserve"> operators to take full advantage of larger allocations of </w:t>
      </w:r>
      <w:r w:rsidRPr="008D2A17">
        <w:rPr>
          <w:rFonts w:cs="Arial"/>
          <w:lang w:eastAsia="zh-CN"/>
        </w:rPr>
        <w:lastRenderedPageBreak/>
        <w:t xml:space="preserve">contiguous spectrum to increase peak rates and user experience. </w:t>
      </w:r>
      <w:r w:rsidR="00F75A56" w:rsidRPr="008D2A17">
        <w:rPr>
          <w:rFonts w:cs="Arial"/>
          <w:lang w:eastAsia="zh-CN"/>
        </w:rPr>
        <w:t>S</w:t>
      </w:r>
      <w:r w:rsidRPr="008D2A17">
        <w:rPr>
          <w:rFonts w:cs="Arial"/>
          <w:lang w:eastAsia="zh-CN"/>
        </w:rPr>
        <w:t>tandardi</w:t>
      </w:r>
      <w:r w:rsidR="00B4183D">
        <w:rPr>
          <w:rFonts w:cs="Arial"/>
          <w:lang w:eastAsia="zh-CN"/>
        </w:rPr>
        <w:t>s</w:t>
      </w:r>
      <w:r w:rsidRPr="008D2A17">
        <w:rPr>
          <w:rFonts w:cs="Arial"/>
          <w:lang w:eastAsia="zh-CN"/>
        </w:rPr>
        <w:t>ation</w:t>
      </w:r>
      <w:r w:rsidR="00F75A56" w:rsidRPr="008D2A17">
        <w:rPr>
          <w:rFonts w:cs="Arial"/>
          <w:lang w:eastAsia="zh-CN"/>
        </w:rPr>
        <w:t xml:space="preserve"> has developed</w:t>
      </w:r>
      <w:r w:rsidRPr="008D2A17">
        <w:rPr>
          <w:rFonts w:cs="Arial"/>
          <w:lang w:eastAsia="zh-CN"/>
        </w:rPr>
        <w:t xml:space="preserve"> channel bandwidths </w:t>
      </w:r>
      <w:r w:rsidR="00F75A56" w:rsidRPr="008D2A17">
        <w:rPr>
          <w:rFonts w:cs="Arial"/>
          <w:lang w:eastAsia="zh-CN"/>
        </w:rPr>
        <w:t xml:space="preserve">support </w:t>
      </w:r>
      <w:r w:rsidRPr="008D2A17">
        <w:rPr>
          <w:rFonts w:cs="Arial"/>
          <w:lang w:eastAsia="zh-CN"/>
        </w:rPr>
        <w:t>up to 100</w:t>
      </w:r>
      <w:r w:rsidR="00AB2111" w:rsidRPr="008D2A17">
        <w:rPr>
          <w:rFonts w:cs="Arial"/>
          <w:lang w:eastAsia="zh-CN"/>
        </w:rPr>
        <w:t> MHz</w:t>
      </w:r>
      <w:r w:rsidRPr="008D2A17">
        <w:rPr>
          <w:rFonts w:cs="Arial"/>
          <w:lang w:eastAsia="zh-CN"/>
        </w:rPr>
        <w:t xml:space="preserve">. </w:t>
      </w:r>
    </w:p>
    <w:p w14:paraId="26A24250" w14:textId="77777777" w:rsidR="00B46BF8" w:rsidRPr="008D2A17" w:rsidRDefault="00B46BF8" w:rsidP="00381B4F">
      <w:pPr>
        <w:pStyle w:val="Heading1"/>
      </w:pPr>
      <w:bookmarkStart w:id="9" w:name="_Toc500247325"/>
      <w:bookmarkStart w:id="10" w:name="_Toc500931669"/>
      <w:bookmarkStart w:id="11" w:name="_Toc501012912"/>
      <w:bookmarkStart w:id="12" w:name="_Toc514428323"/>
      <w:bookmarkStart w:id="13" w:name="_Toc507766086"/>
      <w:r w:rsidRPr="008D2A17">
        <w:lastRenderedPageBreak/>
        <w:t>Frequency arrangement</w:t>
      </w:r>
      <w:bookmarkEnd w:id="9"/>
      <w:bookmarkEnd w:id="10"/>
      <w:bookmarkEnd w:id="11"/>
      <w:bookmarkEnd w:id="12"/>
      <w:bookmarkEnd w:id="13"/>
    </w:p>
    <w:p w14:paraId="39D6D074" w14:textId="77777777" w:rsidR="00B46BF8" w:rsidRPr="008D2A17" w:rsidRDefault="00B46BF8" w:rsidP="00AD7F41">
      <w:pPr>
        <w:pStyle w:val="Heading2"/>
      </w:pPr>
      <w:bookmarkStart w:id="14" w:name="_Toc500247326"/>
      <w:bookmarkStart w:id="15" w:name="_Toc500931670"/>
      <w:bookmarkStart w:id="16" w:name="_Toc501012913"/>
      <w:bookmarkStart w:id="17" w:name="_Toc514428324"/>
      <w:bookmarkStart w:id="18" w:name="_Toc507766087"/>
      <w:r w:rsidRPr="008D2A17">
        <w:t>Frequency arrangement in current framework</w:t>
      </w:r>
      <w:bookmarkEnd w:id="14"/>
      <w:bookmarkEnd w:id="15"/>
      <w:bookmarkEnd w:id="16"/>
      <w:bookmarkEnd w:id="17"/>
      <w:bookmarkEnd w:id="18"/>
    </w:p>
    <w:p w14:paraId="392EE6E6" w14:textId="44B609BD" w:rsidR="00D56B6F" w:rsidRPr="00BE123F" w:rsidRDefault="00B46BF8" w:rsidP="0067417A">
      <w:pPr>
        <w:pStyle w:val="ECCParagraph"/>
      </w:pPr>
      <w:r w:rsidRPr="008D2A17">
        <w:t xml:space="preserve">The existing regulatory framework in </w:t>
      </w:r>
      <w:r w:rsidRPr="008D2A17">
        <w:rPr>
          <w:rStyle w:val="ECCHLorange"/>
          <w:shd w:val="clear" w:color="auto" w:fill="auto"/>
        </w:rPr>
        <w:t>EC Decision 2014/276/EU</w:t>
      </w:r>
      <w:r w:rsidRPr="008D2A17">
        <w:t xml:space="preserve"> </w:t>
      </w:r>
      <w:r w:rsidR="00CB2C51">
        <w:fldChar w:fldCharType="begin"/>
      </w:r>
      <w:r w:rsidR="00CB2C51">
        <w:instrText xml:space="preserve"> REF _Ref514428317 \r \h </w:instrText>
      </w:r>
      <w:r w:rsidR="00CB2C51">
        <w:fldChar w:fldCharType="separate"/>
      </w:r>
      <w:r w:rsidR="00FA5407">
        <w:t>[1]</w:t>
      </w:r>
      <w:r w:rsidR="00CB2C51">
        <w:fldChar w:fldCharType="end"/>
      </w:r>
      <w:r w:rsidR="0094535F" w:rsidRPr="008D2A17">
        <w:t xml:space="preserve"> </w:t>
      </w:r>
      <w:r w:rsidRPr="008D2A17">
        <w:rPr>
          <w:rStyle w:val="ECCHLorange"/>
          <w:shd w:val="clear" w:color="auto" w:fill="auto"/>
        </w:rPr>
        <w:t>includes two frequency arrangements for the 3400-3600</w:t>
      </w:r>
      <w:r w:rsidR="00AB2111" w:rsidRPr="008D2A17">
        <w:rPr>
          <w:rStyle w:val="ECCHLorange"/>
          <w:shd w:val="clear" w:color="auto" w:fill="auto"/>
        </w:rPr>
        <w:t> MHz</w:t>
      </w:r>
      <w:r w:rsidRPr="008D2A17">
        <w:rPr>
          <w:rStyle w:val="ECCHLorange"/>
          <w:shd w:val="clear" w:color="auto" w:fill="auto"/>
        </w:rPr>
        <w:t xml:space="preserve"> block, one preferred based on TDD and an alternative arrangement based on FDD. It also includes a TDD harmonised frequency arrangement for 3600-3800</w:t>
      </w:r>
      <w:r w:rsidR="00AB2111" w:rsidRPr="008D2A17">
        <w:rPr>
          <w:rStyle w:val="ECCHLorange"/>
          <w:shd w:val="clear" w:color="auto" w:fill="auto"/>
        </w:rPr>
        <w:t> MHz</w:t>
      </w:r>
      <w:r w:rsidRPr="008D2A17">
        <w:rPr>
          <w:rStyle w:val="ECCHLorange"/>
          <w:shd w:val="clear" w:color="auto" w:fill="auto"/>
        </w:rPr>
        <w:t>.</w:t>
      </w:r>
      <w:bookmarkStart w:id="19" w:name="_Toc500965537"/>
      <w:bookmarkStart w:id="20" w:name="_Toc501009220"/>
      <w:bookmarkStart w:id="21" w:name="_Toc501010109"/>
      <w:bookmarkStart w:id="22" w:name="_Toc500247327"/>
      <w:bookmarkStart w:id="23" w:name="_Toc500931671"/>
      <w:bookmarkStart w:id="24" w:name="_Toc501012915"/>
      <w:bookmarkEnd w:id="19"/>
      <w:bookmarkEnd w:id="20"/>
      <w:bookmarkEnd w:id="21"/>
    </w:p>
    <w:p w14:paraId="575CCB93" w14:textId="31C0AB9E" w:rsidR="00B46BF8" w:rsidRPr="008D2A17" w:rsidRDefault="00B46BF8" w:rsidP="00AD7F41">
      <w:pPr>
        <w:pStyle w:val="Heading2"/>
      </w:pPr>
      <w:bookmarkStart w:id="25" w:name="_Toc507766088"/>
      <w:bookmarkStart w:id="26" w:name="_Toc514428325"/>
      <w:r w:rsidRPr="008D2A17">
        <w:t xml:space="preserve">Proposed frequency </w:t>
      </w:r>
      <w:bookmarkEnd w:id="25"/>
      <w:r w:rsidRPr="008D2A17">
        <w:t>arrangement</w:t>
      </w:r>
      <w:bookmarkEnd w:id="22"/>
      <w:bookmarkEnd w:id="23"/>
      <w:bookmarkEnd w:id="24"/>
      <w:bookmarkEnd w:id="26"/>
    </w:p>
    <w:p w14:paraId="1DFAA99C" w14:textId="77777777" w:rsidR="00B46BF8" w:rsidRPr="008D2A17" w:rsidRDefault="00B46BF8" w:rsidP="00B46BF8">
      <w:pPr>
        <w:pStyle w:val="ECCParagraph"/>
        <w:rPr>
          <w:rStyle w:val="ECCHLorange"/>
          <w:shd w:val="clear" w:color="auto" w:fill="auto"/>
        </w:rPr>
      </w:pPr>
      <w:r w:rsidRPr="008D2A17">
        <w:rPr>
          <w:rStyle w:val="ECCHLorange"/>
          <w:shd w:val="clear" w:color="auto" w:fill="auto"/>
        </w:rPr>
        <w:t>The unpaired (TDD) arrangement is selected as the only option for the 3400-3800</w:t>
      </w:r>
      <w:r w:rsidR="00AB2111" w:rsidRPr="008D2A17">
        <w:rPr>
          <w:rStyle w:val="ECCHLorange"/>
          <w:shd w:val="clear" w:color="auto" w:fill="auto"/>
        </w:rPr>
        <w:t> MHz</w:t>
      </w:r>
      <w:r w:rsidRPr="008D2A17">
        <w:rPr>
          <w:rStyle w:val="ECCHLorange"/>
          <w:shd w:val="clear" w:color="auto" w:fill="auto"/>
        </w:rPr>
        <w:t xml:space="preserve"> range for the following reasons:</w:t>
      </w:r>
    </w:p>
    <w:p w14:paraId="34498C08" w14:textId="77777777" w:rsidR="00B46BF8" w:rsidRPr="008D2A17" w:rsidRDefault="00B46BF8" w:rsidP="00B46BF8">
      <w:pPr>
        <w:pStyle w:val="ECCBulletsLv1"/>
        <w:rPr>
          <w:rStyle w:val="ECCHLorange"/>
          <w:shd w:val="clear" w:color="auto" w:fill="auto"/>
        </w:rPr>
      </w:pPr>
      <w:r w:rsidRPr="008D2A17">
        <w:rPr>
          <w:rStyle w:val="ECCHLorange"/>
          <w:shd w:val="clear" w:color="auto" w:fill="auto"/>
        </w:rPr>
        <w:t>The TDD mode exploits downlink/uplink flexibility to support increasing traffic asymmetry: today, with the rapid development of smartphones and their increasing usage, mobile applications are increasingly download-centric</w:t>
      </w:r>
      <w:r w:rsidR="00621F51" w:rsidRPr="008D2A17">
        <w:rPr>
          <w:rStyle w:val="ECCHLorange"/>
          <w:shd w:val="clear" w:color="auto" w:fill="auto"/>
        </w:rPr>
        <w:t>;</w:t>
      </w:r>
      <w:r w:rsidRPr="008D2A17">
        <w:rPr>
          <w:rStyle w:val="ECCHLorange"/>
          <w:shd w:val="clear" w:color="auto" w:fill="auto"/>
        </w:rPr>
        <w:t xml:space="preserve"> </w:t>
      </w:r>
    </w:p>
    <w:p w14:paraId="048DD7E4" w14:textId="09913068" w:rsidR="00B46BF8" w:rsidRPr="008D2A17" w:rsidRDefault="00B46BF8" w:rsidP="00B46BF8">
      <w:pPr>
        <w:pStyle w:val="ECCBulletsLv1"/>
        <w:rPr>
          <w:rStyle w:val="ECCHLorange"/>
          <w:shd w:val="clear" w:color="auto" w:fill="auto"/>
        </w:rPr>
      </w:pPr>
      <w:r w:rsidRPr="008D2A17">
        <w:rPr>
          <w:rStyle w:val="ECCHLorange"/>
          <w:shd w:val="clear" w:color="auto" w:fill="auto"/>
        </w:rPr>
        <w:t>The TDD mode exploits channel reciprocity for effective AAS implementation: relying on uplink and downlink channel reciprocity (when the same portion of spectrum is used in both link directions this is frequently the case), the base stations can in some cases quickly and accurately obtain the down</w:t>
      </w:r>
      <w:r w:rsidR="00B4183D">
        <w:rPr>
          <w:rStyle w:val="ECCHLorange"/>
          <w:shd w:val="clear" w:color="auto" w:fill="auto"/>
        </w:rPr>
        <w:t xml:space="preserve">link channel state information </w:t>
      </w:r>
      <w:r w:rsidRPr="008D2A17">
        <w:rPr>
          <w:rStyle w:val="ECCHLorange"/>
          <w:shd w:val="clear" w:color="auto" w:fill="auto"/>
        </w:rPr>
        <w:t xml:space="preserve">based on the uplink channel estimation. This can be advantageous for AAS </w:t>
      </w:r>
      <w:r w:rsidR="00896BD7" w:rsidRPr="008D2A17">
        <w:rPr>
          <w:rStyle w:val="ECCHLorange"/>
          <w:shd w:val="clear" w:color="auto" w:fill="auto"/>
        </w:rPr>
        <w:t>implementation</w:t>
      </w:r>
      <w:r w:rsidRPr="008D2A17">
        <w:rPr>
          <w:rStyle w:val="ECCHLorange"/>
          <w:shd w:val="clear" w:color="auto" w:fill="auto"/>
        </w:rPr>
        <w:t xml:space="preserve"> to enhance the downlink transmission capacity while minimising interference</w:t>
      </w:r>
      <w:r w:rsidR="00621F51" w:rsidRPr="008D2A17">
        <w:rPr>
          <w:rStyle w:val="ECCHLorange"/>
          <w:shd w:val="clear" w:color="auto" w:fill="auto"/>
        </w:rPr>
        <w:t>;</w:t>
      </w:r>
    </w:p>
    <w:p w14:paraId="509FF628" w14:textId="77777777" w:rsidR="00B46BF8" w:rsidRPr="008D2A17" w:rsidRDefault="00B46BF8" w:rsidP="00B46BF8">
      <w:pPr>
        <w:pStyle w:val="ECCBulletsLv1"/>
        <w:rPr>
          <w:rStyle w:val="ECCHLorange"/>
          <w:shd w:val="clear" w:color="auto" w:fill="auto"/>
        </w:rPr>
      </w:pPr>
      <w:r w:rsidRPr="008D2A17">
        <w:rPr>
          <w:rStyle w:val="ECCHLorange"/>
          <w:shd w:val="clear" w:color="auto" w:fill="auto"/>
        </w:rPr>
        <w:t>The TDD mode adapts better to possible incumbent users: given the current fragmented utilization of the 3400-3800</w:t>
      </w:r>
      <w:r w:rsidR="00AB2111" w:rsidRPr="008D2A17">
        <w:rPr>
          <w:rStyle w:val="ECCHLorange"/>
          <w:shd w:val="clear" w:color="auto" w:fill="auto"/>
        </w:rPr>
        <w:t> MHz</w:t>
      </w:r>
      <w:r w:rsidRPr="008D2A17">
        <w:rPr>
          <w:rStyle w:val="ECCHLorange"/>
          <w:shd w:val="clear" w:color="auto" w:fill="auto"/>
        </w:rPr>
        <w:t xml:space="preserve"> portions of 3400-3800</w:t>
      </w:r>
      <w:r w:rsidR="00AB2111" w:rsidRPr="008D2A17">
        <w:rPr>
          <w:rStyle w:val="ECCHLorange"/>
          <w:shd w:val="clear" w:color="auto" w:fill="auto"/>
        </w:rPr>
        <w:t> MHz</w:t>
      </w:r>
      <w:r w:rsidRPr="008D2A17">
        <w:rPr>
          <w:rStyle w:val="ECCHLorange"/>
          <w:shd w:val="clear" w:color="auto" w:fill="auto"/>
        </w:rPr>
        <w:t xml:space="preserve"> may be used by incumbent systems. Unpaired spectrum arrangement clearly has the advantage over a process that would include re-farming and pairing of new spectrum</w:t>
      </w:r>
      <w:r w:rsidR="00621F51" w:rsidRPr="008D2A17">
        <w:rPr>
          <w:rStyle w:val="ECCHLorange"/>
          <w:shd w:val="clear" w:color="auto" w:fill="auto"/>
        </w:rPr>
        <w:t>;</w:t>
      </w:r>
    </w:p>
    <w:p w14:paraId="23B33C71" w14:textId="1C591B65" w:rsidR="00B46BF8" w:rsidRPr="008D2A17" w:rsidRDefault="00787D1D" w:rsidP="00B46BF8">
      <w:pPr>
        <w:pStyle w:val="ECCBulletsLv1"/>
        <w:rPr>
          <w:rStyle w:val="ECCHLorange"/>
          <w:shd w:val="clear" w:color="auto" w:fill="auto"/>
        </w:rPr>
      </w:pPr>
      <w:r>
        <w:rPr>
          <w:rStyle w:val="ECCHLorange"/>
          <w:shd w:val="clear" w:color="auto" w:fill="auto"/>
        </w:rPr>
        <w:t>R</w:t>
      </w:r>
      <w:r w:rsidR="0046436A" w:rsidRPr="008D2A17">
        <w:rPr>
          <w:rStyle w:val="ECCHLorange"/>
          <w:shd w:val="clear" w:color="auto" w:fill="auto"/>
        </w:rPr>
        <w:t xml:space="preserve">elevant </w:t>
      </w:r>
      <w:r w:rsidR="00B46BF8" w:rsidRPr="008D2A17">
        <w:rPr>
          <w:rStyle w:val="ECCHLorange"/>
          <w:shd w:val="clear" w:color="auto" w:fill="auto"/>
        </w:rPr>
        <w:t>bandwidths for 5G NR in the 3400-3800</w:t>
      </w:r>
      <w:r w:rsidR="00AB2111" w:rsidRPr="008D2A17">
        <w:rPr>
          <w:rStyle w:val="ECCHLorange"/>
          <w:shd w:val="clear" w:color="auto" w:fill="auto"/>
        </w:rPr>
        <w:t> MHz</w:t>
      </w:r>
      <w:r w:rsidR="00B46BF8" w:rsidRPr="008D2A17">
        <w:rPr>
          <w:rStyle w:val="ECCHLorange"/>
          <w:shd w:val="clear" w:color="auto" w:fill="auto"/>
        </w:rPr>
        <w:t xml:space="preserve"> range</w:t>
      </w:r>
      <w:r w:rsidR="0046436A" w:rsidRPr="008D2A17">
        <w:rPr>
          <w:rStyle w:val="ECCHLorange"/>
          <w:shd w:val="clear" w:color="auto" w:fill="auto"/>
        </w:rPr>
        <w:t xml:space="preserve"> as developed by the standardisation</w:t>
      </w:r>
      <w:r w:rsidR="00B46BF8" w:rsidRPr="008D2A17">
        <w:rPr>
          <w:rStyle w:val="ECCHLorange"/>
          <w:shd w:val="clear" w:color="auto" w:fill="auto"/>
        </w:rPr>
        <w:t>: 10, 15, 20, 40, 50, 60, 80</w:t>
      </w:r>
      <w:r w:rsidR="009C1811" w:rsidRPr="008D2A17">
        <w:rPr>
          <w:rStyle w:val="ECCHLorange"/>
          <w:shd w:val="clear" w:color="auto" w:fill="auto"/>
        </w:rPr>
        <w:t xml:space="preserve"> and</w:t>
      </w:r>
      <w:r w:rsidR="00B46BF8" w:rsidRPr="008D2A17">
        <w:rPr>
          <w:rStyle w:val="ECCHLorange"/>
          <w:shd w:val="clear" w:color="auto" w:fill="auto"/>
        </w:rPr>
        <w:t xml:space="preserve"> 100</w:t>
      </w:r>
      <w:r w:rsidR="00AB2111" w:rsidRPr="008D2A17">
        <w:rPr>
          <w:rStyle w:val="ECCHLorange"/>
          <w:shd w:val="clear" w:color="auto" w:fill="auto"/>
        </w:rPr>
        <w:t> MHz</w:t>
      </w:r>
      <w:r w:rsidR="00B46BF8" w:rsidRPr="008D2A17">
        <w:rPr>
          <w:rStyle w:val="ECCHLorange"/>
          <w:shd w:val="clear" w:color="auto" w:fill="auto"/>
        </w:rPr>
        <w:t>.</w:t>
      </w:r>
    </w:p>
    <w:p w14:paraId="402AE5D7" w14:textId="308F88F1" w:rsidR="002C5AB9" w:rsidRPr="008D2A17" w:rsidRDefault="002C5AB9" w:rsidP="00B46BF8">
      <w:pPr>
        <w:pStyle w:val="ECCBulletsLv1"/>
      </w:pPr>
      <w:r w:rsidRPr="008D2A17">
        <w:rPr>
          <w:shd w:val="clear" w:color="auto" w:fill="FFFFFF" w:themeFill="background1"/>
        </w:rPr>
        <w:t xml:space="preserve">High throughput 5G use cases benefit from wide contiguous frequency allocations. </w:t>
      </w:r>
      <w:r w:rsidRPr="008D2A17">
        <w:rPr>
          <w:rStyle w:val="ECCHLorange"/>
          <w:shd w:val="clear" w:color="auto" w:fill="FFFFFF" w:themeFill="background1"/>
        </w:rPr>
        <w:t xml:space="preserve">Current 5G NR specifications support channel bandwidths up to 100 MHz. </w:t>
      </w:r>
      <w:r w:rsidRPr="008D2A17">
        <w:rPr>
          <w:shd w:val="clear" w:color="auto" w:fill="FFFFFF" w:themeFill="background1"/>
        </w:rPr>
        <w:t>Therefore, the spectrum should be provided in a manner allowing for at least 3x50 MHz of contiguous spectrum.</w:t>
      </w:r>
    </w:p>
    <w:p w14:paraId="0D85634A" w14:textId="4D7CA09D" w:rsidR="006134FF" w:rsidRPr="008D2A17" w:rsidRDefault="006134FF" w:rsidP="00B46BF8">
      <w:pPr>
        <w:pStyle w:val="ECCBulletsLv1"/>
        <w:rPr>
          <w:rStyle w:val="ECCHLorange"/>
          <w:shd w:val="clear" w:color="auto" w:fill="auto"/>
        </w:rPr>
      </w:pPr>
      <w:r w:rsidRPr="008D2A17">
        <w:t xml:space="preserve">Given the fragmented current use of 3400-3600 for FDD and/or TDD and 3600-3800 for TDD, ECC is developing guidance to </w:t>
      </w:r>
      <w:r w:rsidR="00EA1D94" w:rsidRPr="008D2A17">
        <w:t>A</w:t>
      </w:r>
      <w:r w:rsidRPr="008D2A17">
        <w:t>dministrations in order to achieve a common TDD plan and facilitate the availability of suitable wide contiguous spectrum for 5G in 3400-3800 MHz.</w:t>
      </w:r>
    </w:p>
    <w:p w14:paraId="2E2281B6" w14:textId="1BC62FBF" w:rsidR="00B46BF8" w:rsidRPr="008D2A17" w:rsidRDefault="00B46BF8" w:rsidP="00B46BF8">
      <w:pPr>
        <w:pStyle w:val="ECCParagraph"/>
        <w:rPr>
          <w:rStyle w:val="ECCHLorange"/>
          <w:shd w:val="clear" w:color="auto" w:fill="auto"/>
        </w:rPr>
      </w:pPr>
      <w:r w:rsidRPr="008D2A17">
        <w:rPr>
          <w:rStyle w:val="ECCHLorange"/>
          <w:shd w:val="clear" w:color="auto" w:fill="auto"/>
        </w:rPr>
        <w:t xml:space="preserve">EC Decision 2014/276/EU </w:t>
      </w:r>
      <w:r w:rsidR="00CB2C51">
        <w:fldChar w:fldCharType="begin"/>
      </w:r>
      <w:r w:rsidR="00CB2C51">
        <w:instrText xml:space="preserve"> REF _Ref514428317 \r \h </w:instrText>
      </w:r>
      <w:r w:rsidR="00CB2C51">
        <w:fldChar w:fldCharType="separate"/>
      </w:r>
      <w:r w:rsidR="00FA5407">
        <w:t>[1]</w:t>
      </w:r>
      <w:r w:rsidR="00CB2C51">
        <w:fldChar w:fldCharType="end"/>
      </w:r>
      <w:r w:rsidR="0094535F" w:rsidRPr="008D2A17">
        <w:rPr>
          <w:rStyle w:val="ECCHLorange"/>
          <w:shd w:val="clear" w:color="auto" w:fill="auto"/>
        </w:rPr>
        <w:t xml:space="preserve"> </w:t>
      </w:r>
      <w:proofErr w:type="gramStart"/>
      <w:r w:rsidRPr="008D2A17">
        <w:rPr>
          <w:rStyle w:val="ECCHLorange"/>
          <w:shd w:val="clear" w:color="auto" w:fill="auto"/>
        </w:rPr>
        <w:t>considers</w:t>
      </w:r>
      <w:proofErr w:type="gramEnd"/>
      <w:r w:rsidRPr="008D2A17">
        <w:rPr>
          <w:rStyle w:val="ECCHLorange"/>
          <w:shd w:val="clear" w:color="auto" w:fill="auto"/>
        </w:rPr>
        <w:t xml:space="preserve"> 3400-3600</w:t>
      </w:r>
      <w:r w:rsidR="00AB2111" w:rsidRPr="008D2A17">
        <w:rPr>
          <w:rStyle w:val="ECCHLorange"/>
          <w:shd w:val="clear" w:color="auto" w:fill="auto"/>
        </w:rPr>
        <w:t> MHz</w:t>
      </w:r>
      <w:r w:rsidRPr="008D2A17">
        <w:rPr>
          <w:rStyle w:val="ECCHLorange"/>
          <w:shd w:val="clear" w:color="auto" w:fill="auto"/>
        </w:rPr>
        <w:t xml:space="preserve"> and 3600-3800</w:t>
      </w:r>
      <w:r w:rsidR="00AB2111" w:rsidRPr="008D2A17">
        <w:rPr>
          <w:rStyle w:val="ECCHLorange"/>
          <w:shd w:val="clear" w:color="auto" w:fill="auto"/>
        </w:rPr>
        <w:t> MHz</w:t>
      </w:r>
      <w:r w:rsidRPr="008D2A17">
        <w:rPr>
          <w:rStyle w:val="ECCHLorange"/>
          <w:shd w:val="clear" w:color="auto" w:fill="auto"/>
        </w:rPr>
        <w:t xml:space="preserve"> as separate bands and defines its preferred frequency arrangements accordingly. However, in case of 5G NR</w:t>
      </w:r>
      <w:r w:rsidR="00A61D0D" w:rsidRPr="008D2A17">
        <w:rPr>
          <w:rStyle w:val="ECCHLorange"/>
          <w:shd w:val="clear" w:color="auto" w:fill="auto"/>
        </w:rPr>
        <w:t>,</w:t>
      </w:r>
      <w:r w:rsidRPr="008D2A17">
        <w:rPr>
          <w:rStyle w:val="ECCHLorange"/>
          <w:shd w:val="clear" w:color="auto" w:fill="auto"/>
        </w:rPr>
        <w:t xml:space="preserve"> 3GPP define</w:t>
      </w:r>
      <w:r w:rsidR="00A42AF6" w:rsidRPr="008D2A17">
        <w:rPr>
          <w:rStyle w:val="ECCHLorange"/>
          <w:shd w:val="clear" w:color="auto" w:fill="auto"/>
        </w:rPr>
        <w:t>d</w:t>
      </w:r>
      <w:r w:rsidRPr="008D2A17">
        <w:rPr>
          <w:rStyle w:val="ECCHLorange"/>
          <w:shd w:val="clear" w:color="auto" w:fill="auto"/>
        </w:rPr>
        <w:t xml:space="preserve"> the whole 3400-3800</w:t>
      </w:r>
      <w:r w:rsidR="00AB2111" w:rsidRPr="008D2A17">
        <w:rPr>
          <w:rStyle w:val="ECCHLorange"/>
          <w:shd w:val="clear" w:color="auto" w:fill="auto"/>
        </w:rPr>
        <w:t> MHz</w:t>
      </w:r>
      <w:r w:rsidRPr="008D2A17">
        <w:rPr>
          <w:rStyle w:val="ECCHLorange"/>
          <w:shd w:val="clear" w:color="auto" w:fill="auto"/>
        </w:rPr>
        <w:t xml:space="preserve"> as part of one single band (in</w:t>
      </w:r>
      <w:r w:rsidR="002C5AB9" w:rsidRPr="008D2A17">
        <w:rPr>
          <w:rStyle w:val="ECCHLorange"/>
          <w:shd w:val="clear" w:color="auto" w:fill="auto"/>
        </w:rPr>
        <w:t xml:space="preserve">cluded in </w:t>
      </w:r>
      <w:r w:rsidR="006D7070" w:rsidRPr="008D2A17">
        <w:rPr>
          <w:rStyle w:val="ECCHLorange"/>
          <w:shd w:val="clear" w:color="auto" w:fill="auto"/>
        </w:rPr>
        <w:t>NR bands n</w:t>
      </w:r>
      <w:r w:rsidRPr="008D2A17">
        <w:rPr>
          <w:rStyle w:val="ECCHLorange"/>
          <w:shd w:val="clear" w:color="auto" w:fill="auto"/>
        </w:rPr>
        <w:t xml:space="preserve">77 and </w:t>
      </w:r>
      <w:r w:rsidR="006D7070" w:rsidRPr="008D2A17">
        <w:rPr>
          <w:rStyle w:val="ECCHLorange"/>
          <w:shd w:val="clear" w:color="auto" w:fill="auto"/>
        </w:rPr>
        <w:t>n</w:t>
      </w:r>
      <w:r w:rsidRPr="008D2A17">
        <w:rPr>
          <w:rStyle w:val="ECCHLorange"/>
          <w:shd w:val="clear" w:color="auto" w:fill="auto"/>
        </w:rPr>
        <w:t>78). This suggests that, in case of 5G NR, there is no need to consider separate frequency arrangements for 3400-3600</w:t>
      </w:r>
      <w:r w:rsidR="00AB2111" w:rsidRPr="008D2A17">
        <w:rPr>
          <w:rStyle w:val="ECCHLorange"/>
          <w:shd w:val="clear" w:color="auto" w:fill="auto"/>
        </w:rPr>
        <w:t> MHz</w:t>
      </w:r>
      <w:r w:rsidRPr="008D2A17">
        <w:rPr>
          <w:rStyle w:val="ECCHLorange"/>
          <w:shd w:val="clear" w:color="auto" w:fill="auto"/>
        </w:rPr>
        <w:t xml:space="preserve"> and 3600-3800</w:t>
      </w:r>
      <w:r w:rsidR="00AB2111" w:rsidRPr="008D2A17">
        <w:rPr>
          <w:rStyle w:val="ECCHLorange"/>
          <w:shd w:val="clear" w:color="auto" w:fill="auto"/>
        </w:rPr>
        <w:t> MHz</w:t>
      </w:r>
      <w:r w:rsidRPr="008D2A17">
        <w:rPr>
          <w:rStyle w:val="ECCHLorange"/>
          <w:shd w:val="clear" w:color="auto" w:fill="auto"/>
        </w:rPr>
        <w:t xml:space="preserve"> from a regulatory perspective.</w:t>
      </w:r>
    </w:p>
    <w:p w14:paraId="7CD6E19B" w14:textId="6CEE5B51" w:rsidR="00B46BF8" w:rsidRPr="008D2A17" w:rsidRDefault="00B46BF8" w:rsidP="00B46BF8">
      <w:pPr>
        <w:pStyle w:val="ECCParagraph"/>
        <w:rPr>
          <w:rStyle w:val="ECCHLorange"/>
          <w:shd w:val="clear" w:color="auto" w:fill="auto"/>
        </w:rPr>
      </w:pPr>
      <w:r w:rsidRPr="008D2A17">
        <w:rPr>
          <w:rStyle w:val="ECCHLorange"/>
          <w:shd w:val="clear" w:color="auto" w:fill="auto"/>
        </w:rPr>
        <w:t>Furthermore, if the 3400-3600</w:t>
      </w:r>
      <w:r w:rsidR="00AB2111" w:rsidRPr="008D2A17">
        <w:rPr>
          <w:rStyle w:val="ECCHLorange"/>
          <w:shd w:val="clear" w:color="auto" w:fill="auto"/>
        </w:rPr>
        <w:t> MHz</w:t>
      </w:r>
      <w:r w:rsidRPr="008D2A17">
        <w:rPr>
          <w:rStyle w:val="ECCHLorange"/>
          <w:shd w:val="clear" w:color="auto" w:fill="auto"/>
        </w:rPr>
        <w:t xml:space="preserve"> and the 3600-3800</w:t>
      </w:r>
      <w:r w:rsidR="00AB2111" w:rsidRPr="008D2A17">
        <w:rPr>
          <w:rStyle w:val="ECCHLorange"/>
          <w:shd w:val="clear" w:color="auto" w:fill="auto"/>
        </w:rPr>
        <w:t> MHz</w:t>
      </w:r>
      <w:r w:rsidRPr="008D2A17">
        <w:rPr>
          <w:rStyle w:val="ECCHLorange"/>
          <w:shd w:val="clear" w:color="auto" w:fill="auto"/>
        </w:rPr>
        <w:t xml:space="preserve"> are defined as separate bands, there could be complications at the time of licensing if assignments straddle over the 3600</w:t>
      </w:r>
      <w:r w:rsidR="00AB2111" w:rsidRPr="008D2A17">
        <w:rPr>
          <w:rStyle w:val="ECCHLorange"/>
          <w:shd w:val="clear" w:color="auto" w:fill="auto"/>
        </w:rPr>
        <w:t> MHz</w:t>
      </w:r>
      <w:r w:rsidRPr="008D2A17">
        <w:rPr>
          <w:rStyle w:val="ECCHLorange"/>
          <w:shd w:val="clear" w:color="auto" w:fill="auto"/>
        </w:rPr>
        <w:t xml:space="preserve"> boundary. This is likely</w:t>
      </w:r>
      <w:r w:rsidR="00416BB6" w:rsidRPr="008D2A17">
        <w:rPr>
          <w:rStyle w:val="ECCHLorange"/>
          <w:shd w:val="clear" w:color="auto" w:fill="auto"/>
        </w:rPr>
        <w:t>,</w:t>
      </w:r>
      <w:r w:rsidRPr="008D2A17">
        <w:rPr>
          <w:rStyle w:val="ECCHLorange"/>
          <w:shd w:val="clear" w:color="auto" w:fill="auto"/>
        </w:rPr>
        <w:t xml:space="preserve"> given that it is expected that assignments in the band will be large.</w:t>
      </w:r>
    </w:p>
    <w:p w14:paraId="5A99E3E1" w14:textId="1D22657E" w:rsidR="00B46BF8" w:rsidRPr="008D2A17" w:rsidRDefault="00B46BF8" w:rsidP="00B46BF8">
      <w:pPr>
        <w:pStyle w:val="ECCParagraph"/>
        <w:rPr>
          <w:rStyle w:val="ECCHLorange"/>
          <w:shd w:val="clear" w:color="auto" w:fill="auto"/>
        </w:rPr>
      </w:pPr>
      <w:r w:rsidRPr="008D2A17">
        <w:rPr>
          <w:rStyle w:val="ECCHLorange"/>
          <w:shd w:val="clear" w:color="auto" w:fill="auto"/>
        </w:rPr>
        <w:t>The 5</w:t>
      </w:r>
      <w:r w:rsidR="00AB2111" w:rsidRPr="008D2A17">
        <w:rPr>
          <w:rStyle w:val="ECCHLorange"/>
          <w:shd w:val="clear" w:color="auto" w:fill="auto"/>
        </w:rPr>
        <w:t> MHz</w:t>
      </w:r>
      <w:r w:rsidRPr="008D2A17">
        <w:rPr>
          <w:rStyle w:val="ECCHLorange"/>
          <w:shd w:val="clear" w:color="auto" w:fill="auto"/>
        </w:rPr>
        <w:t xml:space="preserve"> block size is chosen despite expected larger channel bandwidths</w:t>
      </w:r>
      <w:r w:rsidR="009E58C5" w:rsidRPr="008D2A17">
        <w:rPr>
          <w:rStyle w:val="ECCHLorange"/>
          <w:shd w:val="clear" w:color="auto" w:fill="auto"/>
        </w:rPr>
        <w:t xml:space="preserve"> for 5G</w:t>
      </w:r>
      <w:r w:rsidRPr="008D2A17">
        <w:rPr>
          <w:rStyle w:val="ECCHLorange"/>
          <w:shd w:val="clear" w:color="auto" w:fill="auto"/>
        </w:rPr>
        <w:t>. The 5</w:t>
      </w:r>
      <w:r w:rsidR="00AB2111" w:rsidRPr="008D2A17">
        <w:rPr>
          <w:rStyle w:val="ECCHLorange"/>
          <w:shd w:val="clear" w:color="auto" w:fill="auto"/>
        </w:rPr>
        <w:t> MHz</w:t>
      </w:r>
      <w:r w:rsidRPr="008D2A17">
        <w:rPr>
          <w:rStyle w:val="ECCHLorange"/>
          <w:shd w:val="clear" w:color="auto" w:fill="auto"/>
        </w:rPr>
        <w:t xml:space="preserve"> granularity will facilitate dealing with the existing assignments and will make it easier for the market to decide on the required bandwidth per operator during the assignment procedures. </w:t>
      </w:r>
    </w:p>
    <w:p w14:paraId="5CC81038" w14:textId="77777777" w:rsidR="00B46BF8" w:rsidRPr="008D2A17" w:rsidRDefault="00B46BF8" w:rsidP="00B46BF8">
      <w:pPr>
        <w:pStyle w:val="ECCParagraph"/>
      </w:pPr>
      <w:r w:rsidRPr="008D2A17">
        <w:t>The considerations above lead to the following frequency arrangement:</w:t>
      </w:r>
    </w:p>
    <w:p w14:paraId="17B2BDED" w14:textId="77777777" w:rsidR="00CC6EA4" w:rsidRPr="008D2A17" w:rsidRDefault="00CC6EA4" w:rsidP="00896BD7">
      <w:pPr>
        <w:pStyle w:val="Caption"/>
        <w:keepNext/>
        <w:rPr>
          <w:lang w:val="en-GB"/>
        </w:rPr>
      </w:pPr>
      <w:r w:rsidRPr="008D2A17">
        <w:rPr>
          <w:noProof/>
          <w:lang w:eastAsia="da-DK"/>
        </w:rPr>
        <w:lastRenderedPageBreak/>
        <w:drawing>
          <wp:inline distT="0" distB="0" distL="0" distR="0" wp14:anchorId="0F929E8B" wp14:editId="7D3048E0">
            <wp:extent cx="6120765" cy="999490"/>
            <wp:effectExtent l="0" t="0" r="0" b="0"/>
            <wp:docPr id="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999490"/>
                    </a:xfrm>
                    <a:prstGeom prst="rect">
                      <a:avLst/>
                    </a:prstGeom>
                  </pic:spPr>
                </pic:pic>
              </a:graphicData>
            </a:graphic>
          </wp:inline>
        </w:drawing>
      </w:r>
    </w:p>
    <w:p w14:paraId="3F2CFB2D" w14:textId="08174FE8" w:rsidR="00B46BF8" w:rsidRPr="008D2A17" w:rsidRDefault="00B46BF8" w:rsidP="00896BD7">
      <w:pPr>
        <w:pStyle w:val="Caption"/>
        <w:keepNext/>
        <w:rPr>
          <w:lang w:val="en-GB"/>
        </w:rPr>
      </w:pPr>
      <w:r w:rsidRPr="008D2A17">
        <w:rPr>
          <w:lang w:val="en-GB"/>
        </w:rPr>
        <w:t xml:space="preserve">Figure </w:t>
      </w:r>
      <w:r w:rsidRPr="008D2A17">
        <w:rPr>
          <w:lang w:val="en-GB"/>
        </w:rPr>
        <w:fldChar w:fldCharType="begin"/>
      </w:r>
      <w:r w:rsidRPr="008D2A17">
        <w:rPr>
          <w:lang w:val="en-GB"/>
        </w:rPr>
        <w:instrText xml:space="preserve"> SEQ Figure \* ARABIC </w:instrText>
      </w:r>
      <w:r w:rsidRPr="008D2A17">
        <w:rPr>
          <w:lang w:val="en-GB"/>
        </w:rPr>
        <w:fldChar w:fldCharType="separate"/>
      </w:r>
      <w:r w:rsidR="00FA5407">
        <w:rPr>
          <w:noProof/>
          <w:lang w:val="en-GB"/>
        </w:rPr>
        <w:t>2</w:t>
      </w:r>
      <w:r w:rsidRPr="008D2A17">
        <w:rPr>
          <w:lang w:val="en-GB"/>
        </w:rPr>
        <w:fldChar w:fldCharType="end"/>
      </w:r>
      <w:r w:rsidRPr="008D2A17">
        <w:rPr>
          <w:lang w:val="en-GB"/>
        </w:rPr>
        <w:t>: Proposed harmonised frequency arrangement</w:t>
      </w:r>
      <w:r w:rsidR="00B4183D">
        <w:rPr>
          <w:lang w:val="en-GB"/>
        </w:rPr>
        <w:t xml:space="preserve">: </w:t>
      </w:r>
      <w:r w:rsidRPr="008D2A17">
        <w:rPr>
          <w:lang w:val="en-GB"/>
        </w:rPr>
        <w:t>3400-3800</w:t>
      </w:r>
      <w:r w:rsidR="00AB2111" w:rsidRPr="008D2A17">
        <w:rPr>
          <w:lang w:val="en-GB"/>
        </w:rPr>
        <w:t> MHz</w:t>
      </w:r>
      <w:r w:rsidRPr="008D2A17">
        <w:rPr>
          <w:lang w:val="en-GB"/>
        </w:rPr>
        <w:t xml:space="preserve"> band</w:t>
      </w:r>
    </w:p>
    <w:p w14:paraId="3BACC22B" w14:textId="6A5FEC9D" w:rsidR="00B46BF8" w:rsidRPr="008D2A17" w:rsidRDefault="00B46BF8">
      <w:pPr>
        <w:pStyle w:val="ECCTablenote"/>
      </w:pPr>
      <w:r w:rsidRPr="008D2A17">
        <w:t xml:space="preserve">NOTE (1): </w:t>
      </w:r>
      <w:bookmarkStart w:id="27" w:name="_Hlk511939379"/>
      <w:r w:rsidR="00694DBD" w:rsidRPr="008D2A17">
        <w:t xml:space="preserve">The feasibility of implementation of </w:t>
      </w:r>
      <w:r w:rsidR="00DF66A7" w:rsidRPr="008D2A17">
        <w:t xml:space="preserve">wide area </w:t>
      </w:r>
      <w:r w:rsidR="00531CF0" w:rsidRPr="008D2A17">
        <w:t xml:space="preserve">outdoor </w:t>
      </w:r>
      <w:r w:rsidR="00694DBD" w:rsidRPr="008D2A17">
        <w:t>AAS base stations in the lowest 5</w:t>
      </w:r>
      <w:r w:rsidR="00AB2111" w:rsidRPr="008D2A17">
        <w:t> MHz</w:t>
      </w:r>
      <w:r w:rsidR="00694DBD" w:rsidRPr="008D2A17">
        <w:t xml:space="preserve"> blocks</w:t>
      </w:r>
      <w:r w:rsidR="00531CF0" w:rsidRPr="008D2A17">
        <w:t xml:space="preserve"> </w:t>
      </w:r>
      <w:r w:rsidR="00694DBD" w:rsidRPr="008D2A17">
        <w:t xml:space="preserve">taking into account the </w:t>
      </w:r>
      <w:r w:rsidR="00531CF0" w:rsidRPr="008D2A17">
        <w:t xml:space="preserve">out-of-band </w:t>
      </w:r>
      <w:r w:rsidR="00694DBD" w:rsidRPr="008D2A17">
        <w:t xml:space="preserve">unwanted emission limits to protect radars will </w:t>
      </w:r>
      <w:r w:rsidR="00615555" w:rsidRPr="008D2A17">
        <w:t>require</w:t>
      </w:r>
      <w:r w:rsidR="00694DBD" w:rsidRPr="008D2A17">
        <w:t xml:space="preserve"> evolution of filtering capabilities for AAS. However</w:t>
      </w:r>
      <w:r w:rsidR="00D776E1" w:rsidRPr="008D2A17">
        <w:t>,</w:t>
      </w:r>
      <w:r w:rsidR="00694DBD" w:rsidRPr="008D2A17">
        <w:t xml:space="preserve"> these lowest blocks would remain usable </w:t>
      </w:r>
      <w:r w:rsidR="00531CF0" w:rsidRPr="008D2A17">
        <w:t>in some circumstances</w:t>
      </w:r>
      <w:r w:rsidR="00694DBD" w:rsidRPr="008D2A17">
        <w:t>.</w:t>
      </w:r>
      <w:r w:rsidR="00493D5E" w:rsidRPr="008D2A17">
        <w:t xml:space="preserve"> See also section</w:t>
      </w:r>
      <w:bookmarkEnd w:id="27"/>
      <w:r w:rsidR="00493D5E" w:rsidRPr="008D2A17">
        <w:t xml:space="preserve"> </w:t>
      </w:r>
      <w:r w:rsidR="00C4758E" w:rsidRPr="008D2A17">
        <w:fldChar w:fldCharType="begin"/>
      </w:r>
      <w:r w:rsidR="00C4758E" w:rsidRPr="008D2A17">
        <w:instrText xml:space="preserve"> REF _Ref511813032 \r \h </w:instrText>
      </w:r>
      <w:r w:rsidR="00416BB6" w:rsidRPr="008D2A17">
        <w:instrText xml:space="preserve"> \* MERGEFORMAT </w:instrText>
      </w:r>
      <w:r w:rsidR="00C4758E" w:rsidRPr="008D2A17">
        <w:fldChar w:fldCharType="separate"/>
      </w:r>
      <w:r w:rsidR="00FA5407">
        <w:t>5.2</w:t>
      </w:r>
      <w:r w:rsidR="00C4758E" w:rsidRPr="008D2A17">
        <w:fldChar w:fldCharType="end"/>
      </w:r>
      <w:r w:rsidR="00493D5E" w:rsidRPr="008D2A17">
        <w:t>.</w:t>
      </w:r>
    </w:p>
    <w:p w14:paraId="6DA1B6C6" w14:textId="77777777" w:rsidR="00B46BF8" w:rsidRPr="008D2A17" w:rsidRDefault="00B46BF8" w:rsidP="00B46BF8">
      <w:pPr>
        <w:pStyle w:val="ECCParagraph"/>
      </w:pPr>
    </w:p>
    <w:p w14:paraId="6FEDAAE2" w14:textId="70FED0B7" w:rsidR="00B46BF8" w:rsidRPr="008D2A17" w:rsidRDefault="00B46BF8" w:rsidP="00B46BF8">
      <w:pPr>
        <w:pStyle w:val="ECCParagraph"/>
      </w:pPr>
      <w:r w:rsidRPr="008D2A17">
        <w:t xml:space="preserve">The proposed frequency arrangement will facilitate availability of </w:t>
      </w:r>
      <w:r w:rsidR="00B84AA9" w:rsidRPr="008D2A17">
        <w:t xml:space="preserve">wide </w:t>
      </w:r>
      <w:r w:rsidRPr="008D2A17">
        <w:t>contiguous frequency blocks to 5G operators. Accounting for the growing need for connectivity and for the fact that the ongoing 5G NR standardisation is considering channel bandwidths up to 100</w:t>
      </w:r>
      <w:r w:rsidR="00AB2111" w:rsidRPr="008D2A17">
        <w:t> MHz</w:t>
      </w:r>
      <w:r w:rsidR="0088718E" w:rsidRPr="008D2A17">
        <w:rPr>
          <w:rStyle w:val="FootnoteReference"/>
        </w:rPr>
        <w:footnoteReference w:id="7"/>
      </w:r>
      <w:r w:rsidRPr="008D2A17">
        <w:t xml:space="preserve">, the ECC is now developing guidelines/best practices for </w:t>
      </w:r>
      <w:r w:rsidR="00EA1D94" w:rsidRPr="008D2A17">
        <w:t>A</w:t>
      </w:r>
      <w:r w:rsidRPr="008D2A17">
        <w:t xml:space="preserve">dministrations suggesting ways to facilitate availability of </w:t>
      </w:r>
      <w:r w:rsidR="00C462CC" w:rsidRPr="008D2A17">
        <w:t xml:space="preserve">the </w:t>
      </w:r>
      <w:r w:rsidRPr="008D2A17">
        <w:t>largest possible contiguous portions of spectrum.</w:t>
      </w:r>
    </w:p>
    <w:p w14:paraId="0BC1A21B" w14:textId="77777777" w:rsidR="00B46BF8" w:rsidRPr="008D2A17" w:rsidRDefault="00B46BF8" w:rsidP="00381B4F">
      <w:pPr>
        <w:pStyle w:val="Heading1"/>
        <w:rPr>
          <w:rFonts w:eastAsia="Calibri" w:cs="Times New Roman"/>
          <w:color w:val="auto"/>
          <w:kern w:val="0"/>
          <w:szCs w:val="22"/>
        </w:rPr>
      </w:pPr>
      <w:bookmarkStart w:id="28" w:name="_Ref500835562"/>
      <w:bookmarkStart w:id="29" w:name="_Toc500931672"/>
      <w:bookmarkStart w:id="30" w:name="_Toc501012916"/>
      <w:bookmarkStart w:id="31" w:name="_Toc514428326"/>
      <w:bookmarkStart w:id="32" w:name="_Toc507766089"/>
      <w:r w:rsidRPr="008D2A17">
        <w:lastRenderedPageBreak/>
        <w:t>Existing BEM Requirements</w:t>
      </w:r>
      <w:bookmarkEnd w:id="28"/>
      <w:bookmarkEnd w:id="29"/>
      <w:bookmarkEnd w:id="30"/>
      <w:bookmarkEnd w:id="31"/>
      <w:bookmarkEnd w:id="32"/>
    </w:p>
    <w:p w14:paraId="1E749EFB" w14:textId="7BC22E10" w:rsidR="00B46BF8" w:rsidRPr="008D2A17" w:rsidRDefault="00B46BF8" w:rsidP="0094535F">
      <w:pPr>
        <w:pStyle w:val="ECCParagraph"/>
      </w:pPr>
      <w:bookmarkStart w:id="33" w:name="_Toc500027230"/>
      <w:bookmarkStart w:id="34" w:name="_Toc500027477"/>
      <w:bookmarkStart w:id="35" w:name="_Toc500077101"/>
      <w:bookmarkStart w:id="36" w:name="_Toc500078444"/>
      <w:bookmarkStart w:id="37" w:name="_Toc500078663"/>
      <w:bookmarkStart w:id="38" w:name="_Toc500079316"/>
      <w:bookmarkStart w:id="39" w:name="_Toc500027231"/>
      <w:bookmarkStart w:id="40" w:name="_Toc500027478"/>
      <w:bookmarkStart w:id="41" w:name="_Toc500077102"/>
      <w:bookmarkStart w:id="42" w:name="_Toc500078445"/>
      <w:bookmarkStart w:id="43" w:name="_Toc500078664"/>
      <w:bookmarkStart w:id="44" w:name="_Toc500079317"/>
      <w:bookmarkStart w:id="45" w:name="_Toc500027232"/>
      <w:bookmarkStart w:id="46" w:name="_Toc500027479"/>
      <w:bookmarkStart w:id="47" w:name="_Toc500077103"/>
      <w:bookmarkStart w:id="48" w:name="_Toc500078446"/>
      <w:bookmarkStart w:id="49" w:name="_Toc500078665"/>
      <w:bookmarkStart w:id="50" w:name="_Toc500079318"/>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8D2A17">
        <w:t>The harmonised technical conditions for WBB ECS base stations (BSs) in 3400-3800</w:t>
      </w:r>
      <w:r w:rsidR="00AB2111" w:rsidRPr="008D2A17">
        <w:t> MHz</w:t>
      </w:r>
      <w:r w:rsidRPr="008D2A17">
        <w:t xml:space="preserve"> as described in ECC Decision (11)06 (rev. 2014) </w:t>
      </w:r>
      <w:r w:rsidR="00FA5407">
        <w:fldChar w:fldCharType="begin"/>
      </w:r>
      <w:r w:rsidR="00FA5407">
        <w:instrText xml:space="preserve"> REF _Ref500924972 \r \h </w:instrText>
      </w:r>
      <w:r w:rsidR="00FA5407">
        <w:fldChar w:fldCharType="separate"/>
      </w:r>
      <w:r w:rsidR="008E4FD6">
        <w:t>[2]</w:t>
      </w:r>
      <w:r w:rsidR="00FA5407">
        <w:fldChar w:fldCharType="end"/>
      </w:r>
      <w:r w:rsidR="0094535F" w:rsidRPr="008D2A17">
        <w:t xml:space="preserve"> </w:t>
      </w:r>
      <w:r w:rsidRPr="008D2A17">
        <w:t xml:space="preserve">and EC Decision 2014/276/EU </w:t>
      </w:r>
      <w:r w:rsidR="00CB2C51">
        <w:fldChar w:fldCharType="begin"/>
      </w:r>
      <w:r w:rsidR="00CB2C51">
        <w:instrText xml:space="preserve"> REF _Ref514428317 \r \h </w:instrText>
      </w:r>
      <w:r w:rsidR="00CB2C51">
        <w:fldChar w:fldCharType="separate"/>
      </w:r>
      <w:r w:rsidR="00FA5407">
        <w:t>[1]</w:t>
      </w:r>
      <w:r w:rsidR="00CB2C51">
        <w:fldChar w:fldCharType="end"/>
      </w:r>
      <w:r w:rsidR="0094535F" w:rsidRPr="008D2A17">
        <w:t xml:space="preserve"> </w:t>
      </w:r>
      <w:r w:rsidRPr="008D2A17">
        <w:t>consist of Block Edge Mask (BEM) requirements with both in-block power limits, out-of-block emission limits which apply outside an operator’s block as well as out-of-band emission limits (below 3400</w:t>
      </w:r>
      <w:r w:rsidR="00AB2111" w:rsidRPr="008D2A17">
        <w:t> MHz</w:t>
      </w:r>
      <w:r w:rsidRPr="008D2A17">
        <w:t>).</w:t>
      </w:r>
    </w:p>
    <w:p w14:paraId="5BEA3BE1" w14:textId="4117DEBD" w:rsidR="00B46BF8" w:rsidRPr="008D2A17" w:rsidRDefault="00B46BF8" w:rsidP="0094535F">
      <w:pPr>
        <w:pStyle w:val="ECCParagraph"/>
      </w:pPr>
      <w:r w:rsidRPr="008D2A17">
        <w:t>The current regulatory framework for 3400-3600</w:t>
      </w:r>
      <w:r w:rsidR="00AB2111" w:rsidRPr="008D2A17">
        <w:t> MHz</w:t>
      </w:r>
      <w:r w:rsidRPr="008D2A17">
        <w:t xml:space="preserve"> and 3600-3800</w:t>
      </w:r>
      <w:r w:rsidR="00AB2111" w:rsidRPr="008D2A17">
        <w:t> MHz</w:t>
      </w:r>
      <w:r w:rsidRPr="008D2A17">
        <w:t xml:space="preserve"> provide all technical conditions for the existing FDD/TDD systems operating using non-AAS base stations and provide BEM to ensure compatibility with other systems operating in adjacent bands.</w:t>
      </w:r>
    </w:p>
    <w:p w14:paraId="44081183" w14:textId="77777777" w:rsidR="00B46BF8" w:rsidRPr="008D2A17" w:rsidRDefault="00B46BF8" w:rsidP="0094535F">
      <w:pPr>
        <w:pStyle w:val="ECCParagraph"/>
      </w:pPr>
      <w:r w:rsidRPr="008D2A17">
        <w:t>The existing harmonised technical conditions ensure spectrum usage on a shared basis, including protection conditions where necessary, pursuant to the sharing scenarios identified, in close cooperation with all concerned stakeholders. These conditions should be sufficient to mitigate interference and ensure co</w:t>
      </w:r>
      <w:r w:rsidR="00C462CC" w:rsidRPr="008D2A17">
        <w:t>­</w:t>
      </w:r>
      <w:r w:rsidRPr="008D2A17">
        <w:t>existence with incumbent radio services/applications in the same band or in adjacent bands, in line with their regulatory status, including at the EU outer borders.</w:t>
      </w:r>
    </w:p>
    <w:p w14:paraId="3E23AC51" w14:textId="77777777" w:rsidR="00B46BF8" w:rsidRPr="008D2A17" w:rsidRDefault="00B46BF8" w:rsidP="00381B4F">
      <w:pPr>
        <w:pStyle w:val="Heading1"/>
      </w:pPr>
      <w:bookmarkStart w:id="51" w:name="_Toc489012244"/>
      <w:bookmarkStart w:id="52" w:name="_Toc500247333"/>
      <w:bookmarkStart w:id="53" w:name="_Ref500854640"/>
      <w:bookmarkStart w:id="54" w:name="_Toc500931673"/>
      <w:bookmarkStart w:id="55" w:name="_Toc501012917"/>
      <w:bookmarkStart w:id="56" w:name="_Ref501020381"/>
      <w:bookmarkStart w:id="57" w:name="_Toc514428327"/>
      <w:bookmarkStart w:id="58" w:name="_Toc507766090"/>
      <w:r w:rsidRPr="008D2A17">
        <w:lastRenderedPageBreak/>
        <w:t>Analysis of the suitability of the current BEM requirements for 5G</w:t>
      </w:r>
      <w:bookmarkEnd w:id="51"/>
      <w:bookmarkEnd w:id="52"/>
      <w:bookmarkEnd w:id="53"/>
      <w:bookmarkEnd w:id="54"/>
      <w:bookmarkEnd w:id="55"/>
      <w:bookmarkEnd w:id="56"/>
      <w:bookmarkEnd w:id="57"/>
      <w:bookmarkEnd w:id="58"/>
    </w:p>
    <w:p w14:paraId="799674EA" w14:textId="2387C4D1" w:rsidR="00B46BF8" w:rsidRPr="008D2A17" w:rsidRDefault="00B46BF8" w:rsidP="00B46BF8">
      <w:pPr>
        <w:pStyle w:val="ECCParagraph"/>
      </w:pPr>
      <w:r w:rsidRPr="008D2A17">
        <w:t>In order to make efficient use of the spectrum, 5G NR will be implemented with TDD. The introduction of 5G in the band raises different issues regarding the synchronisation between systems with AAS and non</w:t>
      </w:r>
      <w:r w:rsidR="00444A5C" w:rsidRPr="008D2A17">
        <w:t>-</w:t>
      </w:r>
      <w:r w:rsidRPr="008D2A17">
        <w:t>AAS antennas, in order to ensure coexistence with other incumbent services in the band and in adjacent bands. There is a need for technology neutral regulations addressing, among others, 4G and 5G systems as well as</w:t>
      </w:r>
      <w:r w:rsidR="0094535F" w:rsidRPr="008D2A17">
        <w:t xml:space="preserve"> AAS and non</w:t>
      </w:r>
      <w:r w:rsidR="00444A5C" w:rsidRPr="008D2A17">
        <w:t>-</w:t>
      </w:r>
      <w:r w:rsidR="0094535F" w:rsidRPr="008D2A17">
        <w:t>AAS base stations.</w:t>
      </w:r>
      <w:r w:rsidRPr="008D2A17">
        <w:t xml:space="preserve"> </w:t>
      </w:r>
    </w:p>
    <w:p w14:paraId="1C103EE1" w14:textId="6449A65E" w:rsidR="00B46BF8" w:rsidRPr="008D2A17" w:rsidRDefault="00B46BF8" w:rsidP="00B46BF8">
      <w:pPr>
        <w:pStyle w:val="ECCParagraph"/>
      </w:pPr>
      <w:r w:rsidRPr="008D2A17">
        <w:t>When more than one TDD network operates in the same geographic area, severe interference may occur if the networks are un</w:t>
      </w:r>
      <w:r w:rsidR="006134FF" w:rsidRPr="008D2A17">
        <w:t>synchronised or semi-synchronised</w:t>
      </w:r>
      <w:r w:rsidRPr="008D2A17">
        <w:t xml:space="preserve">, i.e. if some equipment </w:t>
      </w:r>
      <w:r w:rsidR="009546F9" w:rsidRPr="008D2A17">
        <w:t xml:space="preserve">belonging to one network </w:t>
      </w:r>
      <w:r w:rsidRPr="008D2A17">
        <w:t xml:space="preserve">is transmitting while equipment </w:t>
      </w:r>
      <w:r w:rsidR="009546F9" w:rsidRPr="008D2A17">
        <w:t xml:space="preserve">belonging to another network </w:t>
      </w:r>
      <w:r w:rsidRPr="008D2A17">
        <w:t>is receiving in the same time-slots and in the same band (on the same channel or on adjacent channels) while having a poor isolation (e.g. because of geographical proximity such as in co-sited deployments in a multi-operator context, or due to line of sight propagation scenarios).</w:t>
      </w:r>
      <w:r w:rsidR="00AD3A5E" w:rsidRPr="008D2A17">
        <w:t xml:space="preserve"> </w:t>
      </w:r>
      <w:r w:rsidRPr="008D2A17">
        <w:t xml:space="preserve">In this situation, both out-of-band and spurious emissions on the transmitter side and imperfect adjacent channel selectivity on the receiver side can desensitise or block the neighbour receiver, preventing it from properly listening to desired signals. </w:t>
      </w:r>
    </w:p>
    <w:p w14:paraId="3648F99B" w14:textId="30FBA5E4" w:rsidR="00B46BF8" w:rsidRPr="008D2A17" w:rsidRDefault="00B46BF8" w:rsidP="00B46BF8">
      <w:pPr>
        <w:pStyle w:val="ECCParagraph"/>
      </w:pPr>
      <w:r w:rsidRPr="008D2A17">
        <w:t xml:space="preserve">Without inter-operator synchronisation, coexistence may require operator-specific filters at the base station, both at the transmitter and receiver, to avoid interference. This may prevent economies of scale. Furthermore, additional filtering at the UE side is usually not feasible. In the case of TDD-TDD coexistence, one way to avoid all BS-BS and UE-UE interference without using frequency separations and specific filtering is to synchronise base stations so that they align their downlink and uplink switching points, as described in further sections. Since synchronised operation reduces UE-UE and BS-BS interference compared to unsynchronised operation, different regulatory constraints (such as block edge masks) may apply to those two different situations. ECC Report 203 </w:t>
      </w:r>
      <w:r w:rsidRPr="008D2A17">
        <w:fldChar w:fldCharType="begin"/>
      </w:r>
      <w:r w:rsidRPr="008D2A17">
        <w:instrText xml:space="preserve"> REF _Ref499913796 \r \h  \* MERGEFORMAT </w:instrText>
      </w:r>
      <w:r w:rsidRPr="008D2A17">
        <w:fldChar w:fldCharType="separate"/>
      </w:r>
      <w:r w:rsidR="004958D5">
        <w:t>[11]</w:t>
      </w:r>
      <w:r w:rsidRPr="008D2A17">
        <w:fldChar w:fldCharType="end"/>
      </w:r>
      <w:r w:rsidRPr="008D2A17">
        <w:t xml:space="preserve"> gives an example of different block edge masks for synchronised and unsynchronised TDD operations.</w:t>
      </w:r>
      <w:r w:rsidR="00854F23" w:rsidRPr="008D2A17">
        <w:t xml:space="preserve"> CEPT is currently developing a </w:t>
      </w:r>
      <w:r w:rsidR="002C5AB9" w:rsidRPr="00787D1D">
        <w:rPr>
          <w:rFonts w:eastAsia="Calibri"/>
        </w:rPr>
        <w:t>toolbox for the most appropriate synchroni</w:t>
      </w:r>
      <w:r w:rsidR="00787D1D" w:rsidRPr="00787D1D">
        <w:rPr>
          <w:rFonts w:eastAsia="Calibri"/>
        </w:rPr>
        <w:t>s</w:t>
      </w:r>
      <w:r w:rsidR="002C5AB9" w:rsidRPr="00787D1D">
        <w:rPr>
          <w:rFonts w:eastAsia="Calibri"/>
        </w:rPr>
        <w:t>ation regulatory framework</w:t>
      </w:r>
      <w:r w:rsidR="00854F23" w:rsidRPr="00787D1D">
        <w:t xml:space="preserve"> </w:t>
      </w:r>
      <w:r w:rsidR="00854F23" w:rsidRPr="008D2A17">
        <w:t xml:space="preserve">to help either network operators or </w:t>
      </w:r>
      <w:r w:rsidR="00EA1D94" w:rsidRPr="008D2A17">
        <w:t>A</w:t>
      </w:r>
      <w:r w:rsidR="00854F23" w:rsidRPr="008D2A17">
        <w:t xml:space="preserve">dministrations to address to coexistence issues. </w:t>
      </w:r>
      <w:r w:rsidR="00A52733" w:rsidRPr="008D2A17">
        <w:t xml:space="preserve">Such relaxed baseline limits will be defined as a result of </w:t>
      </w:r>
      <w:r w:rsidR="00EB6189" w:rsidRPr="008D2A17">
        <w:t>negotiation</w:t>
      </w:r>
      <w:r w:rsidR="00A52733" w:rsidRPr="008D2A17">
        <w:t xml:space="preserve"> between relevant networks operators or by a decision from </w:t>
      </w:r>
      <w:r w:rsidR="00EA1D94" w:rsidRPr="008D2A17">
        <w:t>A</w:t>
      </w:r>
      <w:r w:rsidR="00123181" w:rsidRPr="008D2A17">
        <w:t>dministrations</w:t>
      </w:r>
      <w:r w:rsidR="00A52733" w:rsidRPr="008D2A17">
        <w:t xml:space="preserve">. </w:t>
      </w:r>
    </w:p>
    <w:p w14:paraId="289C8E2B" w14:textId="0A598BDA" w:rsidR="00B46BF8" w:rsidRPr="008D2A17" w:rsidRDefault="00B46BF8" w:rsidP="00B46BF8">
      <w:pPr>
        <w:pStyle w:val="ECCParagraph"/>
      </w:pPr>
      <w:r w:rsidRPr="008D2A17">
        <w:t>Based on the assessment, the report identifies modifications to the existing least restrictive technical conditions in terms of frequency arrangement and Block Edge Mask</w:t>
      </w:r>
      <w:r w:rsidR="00F45922" w:rsidRPr="008D2A17">
        <w:t>.</w:t>
      </w:r>
    </w:p>
    <w:p w14:paraId="1906DFD0" w14:textId="78804B66" w:rsidR="00B46BF8" w:rsidRPr="008D2A17" w:rsidRDefault="00B46BF8" w:rsidP="00B46BF8">
      <w:pPr>
        <w:pStyle w:val="ECCParagraph"/>
      </w:pPr>
      <w:bookmarkStart w:id="59" w:name="_Toc492558842"/>
      <w:bookmarkStart w:id="60" w:name="_Toc492559792"/>
      <w:bookmarkStart w:id="61" w:name="_Toc500247334"/>
      <w:bookmarkEnd w:id="59"/>
      <w:bookmarkEnd w:id="60"/>
      <w:r w:rsidRPr="008D2A17">
        <w:t>The significant increase in the number of mobile devices and exponential growth in consumption of wireless data is the basis for the adoption of active antenna systems (AAS) for WBB ECSs operating in the 3400-3800</w:t>
      </w:r>
      <w:r w:rsidR="00AB2111" w:rsidRPr="008D2A17">
        <w:t> MHz</w:t>
      </w:r>
      <w:r w:rsidRPr="008D2A17">
        <w:t xml:space="preserve"> frequency range. The adoption of AAS for IMT will provide significant increases in the average cell throughput</w:t>
      </w:r>
      <w:r w:rsidR="00BF79C8" w:rsidRPr="008D2A17">
        <w:t>.</w:t>
      </w:r>
      <w:r w:rsidRPr="008D2A17">
        <w:t xml:space="preserve"> </w:t>
      </w:r>
    </w:p>
    <w:p w14:paraId="37C50063" w14:textId="7ADD930F" w:rsidR="00B46BF8" w:rsidRPr="008D2A17" w:rsidRDefault="00B46BF8" w:rsidP="00B46BF8">
      <w:pPr>
        <w:pStyle w:val="ECCParagraph"/>
      </w:pPr>
      <w:r w:rsidRPr="008D2A17">
        <w:rPr>
          <w:rFonts w:cs="Arial"/>
          <w:lang w:eastAsia="zh-CN"/>
        </w:rPr>
        <w:t xml:space="preserve">In the context of evolution of </w:t>
      </w:r>
      <w:r w:rsidR="008A1679" w:rsidRPr="008D2A17">
        <w:rPr>
          <w:rFonts w:cs="Arial"/>
          <w:lang w:eastAsia="zh-CN"/>
        </w:rPr>
        <w:t>WBB ECS</w:t>
      </w:r>
      <w:r w:rsidRPr="008D2A17">
        <w:rPr>
          <w:rFonts w:cs="Arial"/>
          <w:lang w:eastAsia="zh-CN"/>
        </w:rPr>
        <w:t xml:space="preserve">, the 5G New Radio interface (5G NR) optimises wideband operation. This allows operators to take full advantage of larger allocations of contiguous spectrum to increase peak rates and user experience. </w:t>
      </w:r>
      <w:r w:rsidR="00147E05" w:rsidRPr="008D2A17">
        <w:rPr>
          <w:rFonts w:cs="Arial"/>
          <w:lang w:eastAsia="zh-CN"/>
        </w:rPr>
        <w:t>S</w:t>
      </w:r>
      <w:r w:rsidR="00C462CC" w:rsidRPr="008D2A17">
        <w:rPr>
          <w:rFonts w:cs="Arial"/>
          <w:lang w:eastAsia="zh-CN"/>
        </w:rPr>
        <w:t xml:space="preserve">tandardisation </w:t>
      </w:r>
      <w:r w:rsidR="00147E05" w:rsidRPr="008D2A17">
        <w:rPr>
          <w:rFonts w:cs="Arial"/>
          <w:lang w:eastAsia="zh-CN"/>
        </w:rPr>
        <w:t>has developed</w:t>
      </w:r>
      <w:r w:rsidRPr="008D2A17">
        <w:rPr>
          <w:rFonts w:cs="Arial"/>
          <w:lang w:eastAsia="zh-CN"/>
        </w:rPr>
        <w:t xml:space="preserve"> channel bandwidths up to 100</w:t>
      </w:r>
      <w:r w:rsidR="00AB2111" w:rsidRPr="008D2A17">
        <w:rPr>
          <w:rFonts w:cs="Arial"/>
          <w:lang w:eastAsia="zh-CN"/>
        </w:rPr>
        <w:t> MHz</w:t>
      </w:r>
      <w:r w:rsidR="00BF79C8" w:rsidRPr="008D2A17">
        <w:rPr>
          <w:rFonts w:cs="Arial"/>
          <w:lang w:eastAsia="zh-CN"/>
        </w:rPr>
        <w:t>.</w:t>
      </w:r>
      <w:r w:rsidRPr="008D2A17" w:rsidDel="002327ED">
        <w:t xml:space="preserve"> </w:t>
      </w:r>
      <w:r w:rsidRPr="008D2A17">
        <w:t>This section, provides the analysis on the suitability of existing BEM requirements of EC Decision 2014/276/EU</w:t>
      </w:r>
      <w:r w:rsidR="00C462CC" w:rsidRPr="008D2A17">
        <w:t xml:space="preserve"> </w:t>
      </w:r>
      <w:r w:rsidR="00CB2C51">
        <w:fldChar w:fldCharType="begin"/>
      </w:r>
      <w:r w:rsidR="00CB2C51">
        <w:instrText xml:space="preserve"> REF _Ref514428317 \r \h </w:instrText>
      </w:r>
      <w:r w:rsidR="00CB2C51">
        <w:fldChar w:fldCharType="separate"/>
      </w:r>
      <w:r w:rsidR="00FA5407">
        <w:t>[1]</w:t>
      </w:r>
      <w:r w:rsidR="00CB2C51">
        <w:fldChar w:fldCharType="end"/>
      </w:r>
      <w:r w:rsidRPr="008D2A17">
        <w:t xml:space="preserve"> for 5G, and provides proposals for amendments where necessary, focussing on WBB ECSs which use time division duplex (TDD).</w:t>
      </w:r>
    </w:p>
    <w:p w14:paraId="1BAC96EE" w14:textId="77777777" w:rsidR="00B46BF8" w:rsidRPr="008D2A17" w:rsidRDefault="00B46BF8" w:rsidP="00AD7F41">
      <w:pPr>
        <w:pStyle w:val="Heading2"/>
        <w:rPr>
          <w:lang w:eastAsia="de-DE"/>
        </w:rPr>
      </w:pPr>
      <w:bookmarkStart w:id="62" w:name="_Toc500931674"/>
      <w:bookmarkStart w:id="63" w:name="_Toc501012918"/>
      <w:bookmarkStart w:id="64" w:name="_Toc514428328"/>
      <w:bookmarkStart w:id="65" w:name="_Toc507766091"/>
      <w:r w:rsidRPr="008D2A17">
        <w:rPr>
          <w:lang w:eastAsia="de-DE"/>
        </w:rPr>
        <w:t>Method for assessing the suitability of existing BEM for 5G</w:t>
      </w:r>
      <w:bookmarkEnd w:id="62"/>
      <w:bookmarkEnd w:id="63"/>
      <w:bookmarkEnd w:id="64"/>
      <w:bookmarkEnd w:id="65"/>
    </w:p>
    <w:p w14:paraId="4726EE72" w14:textId="77777777" w:rsidR="00B46BF8" w:rsidRPr="008D2A17" w:rsidRDefault="00B46BF8" w:rsidP="0062167A">
      <w:pPr>
        <w:pStyle w:val="ECCNumberedBullets"/>
        <w:numPr>
          <w:ilvl w:val="0"/>
          <w:numId w:val="14"/>
        </w:numPr>
        <w:spacing w:after="240"/>
        <w:jc w:val="both"/>
        <w:rPr>
          <w:lang w:val="en-GB"/>
        </w:rPr>
      </w:pPr>
      <w:r w:rsidRPr="008D2A17">
        <w:rPr>
          <w:lang w:val="en-GB"/>
        </w:rPr>
        <w:t>In-block radiated power limits</w:t>
      </w:r>
    </w:p>
    <w:p w14:paraId="3B9657EB" w14:textId="636E26E1" w:rsidR="00B46BF8" w:rsidRPr="008D2A17" w:rsidRDefault="0094535F" w:rsidP="00B46BF8">
      <w:pPr>
        <w:pStyle w:val="ECCParagraph"/>
        <w:ind w:firstLine="340"/>
      </w:pPr>
      <w:r w:rsidRPr="008D2A17">
        <w:t>ECC/DEC</w:t>
      </w:r>
      <w:proofErr w:type="gramStart"/>
      <w:r w:rsidRPr="008D2A17">
        <w:t>/(</w:t>
      </w:r>
      <w:proofErr w:type="gramEnd"/>
      <w:r w:rsidRPr="008D2A17">
        <w:t>11)06</w:t>
      </w:r>
      <w:r w:rsidR="00B46BF8" w:rsidRPr="008D2A17">
        <w:t xml:space="preserve"> </w:t>
      </w:r>
      <w:r w:rsidR="00E80CEC">
        <w:fldChar w:fldCharType="begin"/>
      </w:r>
      <w:r w:rsidR="00E80CEC">
        <w:instrText xml:space="preserve"> REF _Ref500924972 \r \h </w:instrText>
      </w:r>
      <w:r w:rsidR="00E80CEC">
        <w:fldChar w:fldCharType="separate"/>
      </w:r>
      <w:r w:rsidR="00E80CEC">
        <w:t>[2]</w:t>
      </w:r>
      <w:r w:rsidR="00E80CEC">
        <w:fldChar w:fldCharType="end"/>
      </w:r>
      <w:r w:rsidRPr="008D2A17">
        <w:t xml:space="preserve"> </w:t>
      </w:r>
      <w:r w:rsidR="00B46BF8" w:rsidRPr="008D2A17">
        <w:t>and EC Decision 2014/276/EU</w:t>
      </w:r>
      <w:r w:rsidRPr="008D2A17">
        <w:t xml:space="preserve"> </w:t>
      </w:r>
      <w:r w:rsidR="00CB2C51">
        <w:fldChar w:fldCharType="begin"/>
      </w:r>
      <w:r w:rsidR="00CB2C51">
        <w:instrText xml:space="preserve"> REF _Ref514428317 \r \h </w:instrText>
      </w:r>
      <w:r w:rsidR="00CB2C51">
        <w:fldChar w:fldCharType="separate"/>
      </w:r>
      <w:r w:rsidR="00FA5407">
        <w:t>[1]</w:t>
      </w:r>
      <w:r w:rsidR="00CB2C51">
        <w:fldChar w:fldCharType="end"/>
      </w:r>
      <w:r w:rsidR="00B46BF8" w:rsidRPr="008D2A17">
        <w:t xml:space="preserve"> specify</w:t>
      </w:r>
      <w:r w:rsidR="00B46BF8" w:rsidRPr="008D2A17">
        <w:rPr>
          <w:vertAlign w:val="superscript"/>
        </w:rPr>
        <w:footnoteReference w:id="8"/>
      </w:r>
      <w:r w:rsidR="00B46BF8" w:rsidRPr="008D2A17">
        <w:rPr>
          <w:vertAlign w:val="superscript"/>
        </w:rPr>
        <w:t>:</w:t>
      </w:r>
      <w:r w:rsidR="00621F51" w:rsidRPr="008D2A17">
        <w:t>:</w:t>
      </w:r>
    </w:p>
    <w:p w14:paraId="11B7974F" w14:textId="77777777" w:rsidR="00B46BF8" w:rsidRPr="008D2A17" w:rsidRDefault="00B46BF8" w:rsidP="00B46BF8">
      <w:pPr>
        <w:pStyle w:val="ECCBulletsLv1"/>
      </w:pPr>
      <w:r w:rsidRPr="008D2A17">
        <w:t xml:space="preserve">a maximum BS in-block EIRP of </w:t>
      </w:r>
      <w:r w:rsidRPr="008D2A17">
        <w:sym w:font="Symbol" w:char="00A3"/>
      </w:r>
      <w:r w:rsidRPr="008D2A17">
        <w:t xml:space="preserve"> 68 </w:t>
      </w:r>
      <w:r w:rsidR="002E3A6C" w:rsidRPr="008D2A17">
        <w:t>dBm/(5</w:t>
      </w:r>
      <w:r w:rsidR="00AB2111" w:rsidRPr="008D2A17">
        <w:t> MHz</w:t>
      </w:r>
      <w:r w:rsidR="002E3A6C" w:rsidRPr="008D2A17">
        <w:t>)</w:t>
      </w:r>
      <w:r w:rsidRPr="008D2A17">
        <w:t xml:space="preserve"> per antenna (non-mandatory)</w:t>
      </w:r>
      <w:r w:rsidR="00621F51" w:rsidRPr="008D2A17">
        <w:t>;</w:t>
      </w:r>
    </w:p>
    <w:p w14:paraId="4B34695F" w14:textId="476A3A09" w:rsidR="00B46BF8" w:rsidRPr="008D2A17" w:rsidRDefault="00B46BF8" w:rsidP="00B46BF8">
      <w:pPr>
        <w:pStyle w:val="ECCBulletsLv1"/>
      </w:pPr>
      <w:proofErr w:type="gramStart"/>
      <w:r w:rsidRPr="008D2A17">
        <w:lastRenderedPageBreak/>
        <w:t>a</w:t>
      </w:r>
      <w:proofErr w:type="gramEnd"/>
      <w:r w:rsidRPr="008D2A17">
        <w:t xml:space="preserve"> maximum </w:t>
      </w:r>
      <w:r w:rsidR="003A1A40" w:rsidRPr="008D2A17">
        <w:t xml:space="preserve">UE </w:t>
      </w:r>
      <w:r w:rsidRPr="008D2A17">
        <w:t>in-block TRP of 25 dBm.</w:t>
      </w:r>
    </w:p>
    <w:p w14:paraId="34BB39C7" w14:textId="1A9C1DEB" w:rsidR="00B46BF8" w:rsidRPr="008D2A17" w:rsidRDefault="00B46BF8" w:rsidP="00B46BF8">
      <w:pPr>
        <w:pStyle w:val="ECCBulletsLv1"/>
        <w:numPr>
          <w:ilvl w:val="0"/>
          <w:numId w:val="0"/>
        </w:numPr>
        <w:ind w:left="360"/>
      </w:pPr>
      <w:r w:rsidRPr="008D2A17">
        <w:t>It is important to assess whether these types of requirements for in-block power are applicable for AAS base stations</w:t>
      </w:r>
      <w:r w:rsidR="00BF79C8" w:rsidRPr="008D2A17">
        <w:t>.</w:t>
      </w:r>
    </w:p>
    <w:p w14:paraId="7606E8D5" w14:textId="77777777" w:rsidR="00B46BF8" w:rsidRPr="008D2A17" w:rsidRDefault="00B46BF8" w:rsidP="0062167A">
      <w:pPr>
        <w:pStyle w:val="ECCNumberedBullets"/>
        <w:numPr>
          <w:ilvl w:val="0"/>
          <w:numId w:val="10"/>
        </w:numPr>
        <w:spacing w:after="240"/>
        <w:jc w:val="both"/>
        <w:rPr>
          <w:lang w:val="en-GB"/>
        </w:rPr>
      </w:pPr>
      <w:r w:rsidRPr="008D2A17">
        <w:rPr>
          <w:lang w:val="en-GB"/>
        </w:rPr>
        <w:t xml:space="preserve">Out-of-block power limits - Interference between </w:t>
      </w:r>
      <w:r w:rsidR="005A1FC7" w:rsidRPr="008D2A17">
        <w:rPr>
          <w:lang w:val="en-GB"/>
        </w:rPr>
        <w:t>operators in adjacent blocks</w:t>
      </w:r>
    </w:p>
    <w:p w14:paraId="021F201B" w14:textId="13D66460" w:rsidR="00B46BF8" w:rsidRPr="008D2A17" w:rsidRDefault="0094535F" w:rsidP="00B46BF8">
      <w:pPr>
        <w:pStyle w:val="ECCParagraph"/>
        <w:ind w:left="340"/>
      </w:pPr>
      <w:r w:rsidRPr="008D2A17">
        <w:t xml:space="preserve">ECC/DEC/(11)06 </w:t>
      </w:r>
      <w:r w:rsidR="00205579">
        <w:fldChar w:fldCharType="begin"/>
      </w:r>
      <w:r w:rsidR="00205579">
        <w:instrText xml:space="preserve"> REF _Ref500924972 \r \h </w:instrText>
      </w:r>
      <w:r w:rsidR="00205579">
        <w:fldChar w:fldCharType="separate"/>
      </w:r>
      <w:r w:rsidR="00FA5407">
        <w:t>[2]</w:t>
      </w:r>
      <w:r w:rsidR="00205579">
        <w:fldChar w:fldCharType="end"/>
      </w:r>
      <w:r w:rsidRPr="008D2A17">
        <w:t xml:space="preserve"> and EC Decision 2014/276/EU </w:t>
      </w:r>
      <w:r w:rsidR="00CB2C51">
        <w:fldChar w:fldCharType="begin"/>
      </w:r>
      <w:r w:rsidR="00CB2C51">
        <w:instrText xml:space="preserve"> REF _Ref514428317 \r \h </w:instrText>
      </w:r>
      <w:r w:rsidR="00CB2C51">
        <w:fldChar w:fldCharType="separate"/>
      </w:r>
      <w:r w:rsidR="00FA5407">
        <w:t>[1]</w:t>
      </w:r>
      <w:r w:rsidR="00CB2C51">
        <w:fldChar w:fldCharType="end"/>
      </w:r>
      <w:r w:rsidRPr="008D2A17">
        <w:t xml:space="preserve"> specify </w:t>
      </w:r>
      <w:r w:rsidR="0075525E" w:rsidRPr="008D2A17">
        <w:t>out-of-block</w:t>
      </w:r>
      <w:r w:rsidR="00B46BF8" w:rsidRPr="008D2A17">
        <w:t xml:space="preserve"> EIRP limits for “synchronous TDD” inside the band that are based on 3GPP spectrum emission masks (transmit powers), specified “per antenna”, and predicated on an assumed nominal antenna gain</w:t>
      </w:r>
      <w:r w:rsidR="00B46BF8" w:rsidRPr="008D2A17">
        <w:rPr>
          <w:rStyle w:val="FootnoteReference"/>
        </w:rPr>
        <w:footnoteReference w:id="9"/>
      </w:r>
      <w:r w:rsidR="00B46BF8" w:rsidRPr="008D2A17">
        <w:t xml:space="preserve">. The Decisions specify more stringent </w:t>
      </w:r>
      <w:r w:rsidR="0075525E" w:rsidRPr="008D2A17">
        <w:t>out-of-block</w:t>
      </w:r>
      <w:r w:rsidR="00B46BF8" w:rsidRPr="008D2A17">
        <w:t xml:space="preserve"> EIRP limits for unsynchronised TDD.</w:t>
      </w:r>
    </w:p>
    <w:p w14:paraId="7F1F4E7F" w14:textId="13B42830" w:rsidR="00B46BF8" w:rsidRPr="008D2A17" w:rsidRDefault="00B46BF8" w:rsidP="00B46BF8">
      <w:pPr>
        <w:pStyle w:val="ECCParagraph"/>
        <w:ind w:left="340"/>
      </w:pPr>
      <w:r w:rsidRPr="008D2A17">
        <w:t xml:space="preserve">It is important to assess whether these types of specifications for </w:t>
      </w:r>
      <w:r w:rsidR="0075525E" w:rsidRPr="008D2A17">
        <w:t>out-of-block</w:t>
      </w:r>
      <w:r w:rsidRPr="008D2A17">
        <w:t xml:space="preserve"> EIRP are applicable for AAS base stations</w:t>
      </w:r>
      <w:r w:rsidR="00BF79C8" w:rsidRPr="008D2A17">
        <w:t>.</w:t>
      </w:r>
    </w:p>
    <w:p w14:paraId="6F136229" w14:textId="77777777" w:rsidR="00B46BF8" w:rsidRPr="008D2A17" w:rsidRDefault="00B46BF8" w:rsidP="0062167A">
      <w:pPr>
        <w:pStyle w:val="ECCNumberedBullets"/>
        <w:numPr>
          <w:ilvl w:val="0"/>
          <w:numId w:val="10"/>
        </w:numPr>
        <w:spacing w:after="240"/>
        <w:jc w:val="both"/>
        <w:rPr>
          <w:lang w:val="en-GB"/>
        </w:rPr>
      </w:pPr>
      <w:r w:rsidRPr="008D2A17">
        <w:rPr>
          <w:lang w:val="en-GB"/>
        </w:rPr>
        <w:t>Out-of-band (OOB) power limits - Interference to other services in adjacent bands</w:t>
      </w:r>
    </w:p>
    <w:p w14:paraId="55A9B1C2" w14:textId="40C9A11B" w:rsidR="00B46BF8" w:rsidRPr="008D2A17" w:rsidRDefault="00B46BF8" w:rsidP="00B46BF8">
      <w:pPr>
        <w:pStyle w:val="ECCParagraph"/>
        <w:ind w:left="340"/>
      </w:pPr>
      <w:r w:rsidRPr="008D2A17">
        <w:t>In order to continue to ensure protection of radar below 3400</w:t>
      </w:r>
      <w:r w:rsidR="00AB2111" w:rsidRPr="008D2A17">
        <w:t> MHz</w:t>
      </w:r>
      <w:r w:rsidR="00A31850" w:rsidRPr="008D2A17">
        <w:t>,</w:t>
      </w:r>
      <w:r w:rsidRPr="008D2A17">
        <w:t xml:space="preserve"> the existing OOB EIRP limit needs to be reviewed in the context of AAS base station deployments</w:t>
      </w:r>
      <w:r w:rsidR="00D55BCA" w:rsidRPr="008D2A17">
        <w:t>.</w:t>
      </w:r>
    </w:p>
    <w:p w14:paraId="6A154AD9" w14:textId="12366B6B" w:rsidR="00B46BF8" w:rsidRPr="008D2A17" w:rsidRDefault="00B46BF8" w:rsidP="00AD7F41">
      <w:pPr>
        <w:pStyle w:val="Heading2"/>
        <w:rPr>
          <w:rFonts w:eastAsia="Calibri" w:cs="Times New Roman"/>
          <w:szCs w:val="22"/>
        </w:rPr>
      </w:pPr>
      <w:bookmarkStart w:id="66" w:name="_Toc501009233"/>
      <w:bookmarkStart w:id="67" w:name="_Toc501010122"/>
      <w:bookmarkStart w:id="68" w:name="_Toc501009237"/>
      <w:bookmarkStart w:id="69" w:name="_Toc501010126"/>
      <w:bookmarkStart w:id="70" w:name="_Toc501009241"/>
      <w:bookmarkStart w:id="71" w:name="_Toc501010130"/>
      <w:bookmarkStart w:id="72" w:name="_Toc501009243"/>
      <w:bookmarkStart w:id="73" w:name="_Toc501010132"/>
      <w:bookmarkStart w:id="74" w:name="_Toc501009244"/>
      <w:bookmarkStart w:id="75" w:name="_Toc501010133"/>
      <w:bookmarkStart w:id="76" w:name="_Toc500931675"/>
      <w:bookmarkStart w:id="77" w:name="_Toc501012919"/>
      <w:bookmarkStart w:id="78" w:name="_Toc514428329"/>
      <w:bookmarkStart w:id="79" w:name="_Toc507766092"/>
      <w:bookmarkEnd w:id="66"/>
      <w:bookmarkEnd w:id="67"/>
      <w:bookmarkEnd w:id="68"/>
      <w:bookmarkEnd w:id="69"/>
      <w:bookmarkEnd w:id="70"/>
      <w:bookmarkEnd w:id="71"/>
      <w:bookmarkEnd w:id="72"/>
      <w:bookmarkEnd w:id="73"/>
      <w:bookmarkEnd w:id="74"/>
      <w:bookmarkEnd w:id="75"/>
      <w:r w:rsidRPr="008D2A17">
        <w:rPr>
          <w:rFonts w:eastAsia="Calibri"/>
        </w:rPr>
        <w:t>Definitions</w:t>
      </w:r>
      <w:bookmarkEnd w:id="61"/>
      <w:bookmarkEnd w:id="76"/>
      <w:bookmarkEnd w:id="77"/>
      <w:bookmarkEnd w:id="78"/>
      <w:bookmarkEnd w:id="79"/>
    </w:p>
    <w:p w14:paraId="4DE54BD6" w14:textId="77777777" w:rsidR="00B46BF8" w:rsidRPr="00B96E08" w:rsidRDefault="00B46BF8" w:rsidP="00C2718C">
      <w:pPr>
        <w:pStyle w:val="Heading3"/>
        <w:rPr>
          <w:rFonts w:eastAsia="Calibri"/>
          <w:lang w:val="fr-FR"/>
        </w:rPr>
      </w:pPr>
      <w:bookmarkStart w:id="80" w:name="_Toc500247335"/>
      <w:bookmarkStart w:id="81" w:name="_Toc500931676"/>
      <w:bookmarkStart w:id="82" w:name="_Toc501012920"/>
      <w:bookmarkStart w:id="83" w:name="_Toc514428330"/>
      <w:bookmarkStart w:id="84" w:name="_Toc507766093"/>
      <w:proofErr w:type="spellStart"/>
      <w:r w:rsidRPr="00B96E08">
        <w:rPr>
          <w:rFonts w:eastAsia="Calibri"/>
          <w:lang w:val="fr-FR"/>
        </w:rPr>
        <w:t>Non</w:t>
      </w:r>
      <w:r w:rsidRPr="00B96E08">
        <w:rPr>
          <w:lang w:val="fr-FR"/>
        </w:rPr>
        <w:t>-AAS</w:t>
      </w:r>
      <w:proofErr w:type="spellEnd"/>
      <w:r w:rsidRPr="00B96E08">
        <w:rPr>
          <w:rFonts w:eastAsia="Calibri"/>
          <w:lang w:val="fr-FR"/>
        </w:rPr>
        <w:t xml:space="preserve"> WBB ECS base stations</w:t>
      </w:r>
      <w:bookmarkEnd w:id="80"/>
      <w:bookmarkEnd w:id="81"/>
      <w:bookmarkEnd w:id="82"/>
      <w:bookmarkEnd w:id="83"/>
      <w:bookmarkEnd w:id="84"/>
    </w:p>
    <w:p w14:paraId="709B24E2" w14:textId="77BAB1F4" w:rsidR="00B46BF8" w:rsidRPr="008D2A17" w:rsidRDefault="00B46BF8" w:rsidP="00B46BF8">
      <w:pPr>
        <w:pStyle w:val="ECCParagraph"/>
      </w:pPr>
      <w:r w:rsidRPr="008D2A17">
        <w:t xml:space="preserve">For the purposes of this document, the term non-AAS (short for non-active antenna systems) refers to WBB ECS base station transmitters which are manufactured </w:t>
      </w:r>
      <w:r w:rsidR="006228AB" w:rsidRPr="008D2A17">
        <w:t xml:space="preserve">or </w:t>
      </w:r>
      <w:r w:rsidRPr="008D2A17">
        <w:t>supplied separately to antenna systems. Non-AAS base stations will provide one or more antenna connectors, which are connected to one or more separately supplied passive antenna elements or arrays to radiate radio waves.</w:t>
      </w:r>
    </w:p>
    <w:p w14:paraId="0AE2F1A2" w14:textId="5049E483" w:rsidR="00B46BF8" w:rsidRPr="008D2A17" w:rsidRDefault="00B46BF8" w:rsidP="00B46BF8">
      <w:pPr>
        <w:pStyle w:val="ECCParagraph"/>
      </w:pPr>
      <w:r w:rsidRPr="008D2A17">
        <w:t xml:space="preserve">The existing regulatory power limits apply to non-AAS WBB ECS base stations, in the sense that they are derived from the analysis of the sum of the radiated powers across multiple antenna connectors, and in some cases accounting for the anticipated antenna directional pattern, and the contribution of these to harmful interference at a victim receiver. </w:t>
      </w:r>
    </w:p>
    <w:p w14:paraId="3F5C8D52" w14:textId="77777777" w:rsidR="00B46BF8" w:rsidRPr="008D2A17" w:rsidRDefault="00B46BF8" w:rsidP="00C2718C">
      <w:pPr>
        <w:pStyle w:val="Heading3"/>
        <w:rPr>
          <w:rFonts w:eastAsia="Calibri" w:cs="Times New Roman"/>
          <w:szCs w:val="22"/>
          <w:lang w:val="en-GB"/>
        </w:rPr>
      </w:pPr>
      <w:bookmarkStart w:id="85" w:name="_Toc500247336"/>
      <w:bookmarkStart w:id="86" w:name="_Toc500931677"/>
      <w:bookmarkStart w:id="87" w:name="_Toc501012921"/>
      <w:bookmarkStart w:id="88" w:name="_Toc514428331"/>
      <w:bookmarkStart w:id="89" w:name="_Toc507766094"/>
      <w:r w:rsidRPr="008D2A17">
        <w:rPr>
          <w:lang w:val="en-GB"/>
        </w:rPr>
        <w:t>AAS</w:t>
      </w:r>
      <w:r w:rsidRPr="008D2A17">
        <w:rPr>
          <w:rFonts w:eastAsia="Calibri"/>
          <w:lang w:val="en-GB"/>
        </w:rPr>
        <w:t xml:space="preserve"> WBB ECS base stations</w:t>
      </w:r>
      <w:bookmarkEnd w:id="85"/>
      <w:bookmarkEnd w:id="86"/>
      <w:bookmarkEnd w:id="87"/>
      <w:bookmarkEnd w:id="88"/>
      <w:bookmarkEnd w:id="89"/>
    </w:p>
    <w:p w14:paraId="5CA668D7" w14:textId="77777777" w:rsidR="00B46BF8" w:rsidRPr="008D2A17" w:rsidRDefault="00B46BF8" w:rsidP="00B46BF8">
      <w:pPr>
        <w:pStyle w:val="ECCParagraph"/>
      </w:pPr>
      <w:r w:rsidRPr="008D2A17">
        <w:t>AAS (short for active antenna systems) is one of the key features for 5G NR and LTE evolution products.</w:t>
      </w:r>
    </w:p>
    <w:p w14:paraId="7710E914" w14:textId="7B3F03BC" w:rsidR="00B46BF8" w:rsidRPr="008D2A17" w:rsidRDefault="00B46BF8" w:rsidP="00B46BF8">
      <w:pPr>
        <w:pStyle w:val="ECCParagraph"/>
      </w:pPr>
      <w:r w:rsidRPr="008D2A17">
        <w:t xml:space="preserve">According to Recommendation ITU-R M.2101 </w:t>
      </w:r>
      <w:r w:rsidRPr="008D2A17">
        <w:fldChar w:fldCharType="begin"/>
      </w:r>
      <w:r w:rsidRPr="008D2A17">
        <w:instrText xml:space="preserve"> REF _Ref500795122 \r \h </w:instrText>
      </w:r>
      <w:r w:rsidR="00CE0DB1" w:rsidRPr="008D2A17">
        <w:instrText xml:space="preserve"> \* MERGEFORMAT </w:instrText>
      </w:r>
      <w:r w:rsidRPr="008D2A17">
        <w:fldChar w:fldCharType="separate"/>
      </w:r>
      <w:r w:rsidR="00FA5407">
        <w:t>[13]</w:t>
      </w:r>
      <w:r w:rsidRPr="008D2A17">
        <w:fldChar w:fldCharType="end"/>
      </w:r>
      <w:r w:rsidRPr="008D2A17">
        <w:t xml:space="preserve">, an IMT system using an AAS will actively control all individual signals being fed to individual antenna elements in the antenna array in order to shape and direct the antenna emission diagram to a wanted shape, e.g. a narrow beam towards a user. </w:t>
      </w:r>
    </w:p>
    <w:p w14:paraId="5ECA9076" w14:textId="3B7F32DE" w:rsidR="00B46BF8" w:rsidRPr="008D2A17" w:rsidRDefault="00B46BF8" w:rsidP="00B46BF8">
      <w:pPr>
        <w:pStyle w:val="ECCParagraph"/>
      </w:pPr>
      <w:r w:rsidRPr="008D2A17">
        <w:t>For the purposes of this document, the term AAS refers to a base station and antenna system where the amplitude and/or phase between antenna elements is continually adjusted resulting in an antenna pattern that varies in response to short term changes in the radio environment. This is intended to exclude long term beam shaping such as fixed electrical down tilt.</w:t>
      </w:r>
    </w:p>
    <w:p w14:paraId="1C14E3CC" w14:textId="77777777" w:rsidR="00B46BF8" w:rsidRPr="008D2A17" w:rsidRDefault="00B46BF8" w:rsidP="00B46BF8">
      <w:pPr>
        <w:pStyle w:val="ECCParagraph"/>
      </w:pPr>
      <w:r w:rsidRPr="008D2A17">
        <w:t>In AAS base stations the antenna system is integrated as part of the base station system/product. Due to the higher frequencies of the 3400-3800</w:t>
      </w:r>
      <w:r w:rsidR="00AB2111" w:rsidRPr="008D2A17">
        <w:t> MHz</w:t>
      </w:r>
      <w:r w:rsidRPr="008D2A17">
        <w:t xml:space="preserve"> band compared to those of existing bands harmonised for WBB ECS, and therefore smaller wavelengths and antenna dimensions/spacing, it is feasible to perform beam forming with large numbers (tens) of antenna elements and to benefit from the resulting narrow beamwidths. Performing beam forming with a large number of elements in general requires the antenna array to be supplied and integrated with the base station.</w:t>
      </w:r>
    </w:p>
    <w:p w14:paraId="6873D649" w14:textId="77777777" w:rsidR="00B46BF8" w:rsidRPr="008D2A17" w:rsidRDefault="00B46BF8" w:rsidP="00B46BF8">
      <w:pPr>
        <w:pStyle w:val="ECCParagraph"/>
      </w:pPr>
      <w:r w:rsidRPr="008D2A17">
        <w:t xml:space="preserve">For instance, this can be realised by mapping a set of antenna ports into a physical antenna, where each antenna port consists of a certain number of antenna elements. Consequently, signals from the different </w:t>
      </w:r>
      <w:r w:rsidRPr="008D2A17">
        <w:lastRenderedPageBreak/>
        <w:t>antenna ports are added coherently at the receiver side to form a beam pointing in the direction of the receiver. The antenna diagram and beam characteristics will be dependent on the chosen antenna implementation, number of antenna ports, antenna elements, etc. The transmitter will in turn be able to direct the energy to different directions (i.e. following the positions of the served receivers).</w:t>
      </w:r>
    </w:p>
    <w:p w14:paraId="3EF08BCE" w14:textId="77777777" w:rsidR="00B46BF8" w:rsidRPr="008D2A17" w:rsidRDefault="00B46BF8" w:rsidP="00C2718C">
      <w:pPr>
        <w:pStyle w:val="Heading3"/>
        <w:rPr>
          <w:rStyle w:val="ECCHLbold"/>
          <w:b/>
          <w:lang w:val="en-GB"/>
        </w:rPr>
      </w:pPr>
      <w:bookmarkStart w:id="90" w:name="_Toc500247337"/>
      <w:bookmarkStart w:id="91" w:name="_Toc500931678"/>
      <w:bookmarkStart w:id="92" w:name="_Toc501012922"/>
      <w:bookmarkStart w:id="93" w:name="_Toc514428332"/>
      <w:bookmarkStart w:id="94" w:name="_Toc507766095"/>
      <w:r w:rsidRPr="008D2A17">
        <w:rPr>
          <w:rStyle w:val="ECCHLbold"/>
          <w:b/>
          <w:lang w:val="en-GB"/>
        </w:rPr>
        <w:t>Total Radiated Power (TRP)</w:t>
      </w:r>
      <w:bookmarkEnd w:id="90"/>
      <w:bookmarkEnd w:id="91"/>
      <w:bookmarkEnd w:id="92"/>
      <w:bookmarkEnd w:id="93"/>
      <w:bookmarkEnd w:id="94"/>
      <w:r w:rsidRPr="008D2A17">
        <w:rPr>
          <w:rStyle w:val="ECCHLbold"/>
          <w:b/>
          <w:lang w:val="en-GB"/>
        </w:rPr>
        <w:t xml:space="preserve"> </w:t>
      </w:r>
    </w:p>
    <w:p w14:paraId="2D303D25" w14:textId="77777777" w:rsidR="005B451A" w:rsidRPr="008D2A17" w:rsidRDefault="005B451A" w:rsidP="005B451A">
      <w:pPr>
        <w:pStyle w:val="ECCParagraph"/>
      </w:pPr>
      <w:bookmarkStart w:id="95" w:name="_Toc500826001"/>
      <w:r w:rsidRPr="008D2A17">
        <w:t>TRP is defined as the integral of the power transmitted in different directions over the entire radiation sphere as shown in the expression below.</w:t>
      </w:r>
    </w:p>
    <w:p w14:paraId="2EA69015" w14:textId="77777777" w:rsidR="005B451A" w:rsidRPr="008D2A17" w:rsidRDefault="005B451A" w:rsidP="005B451A">
      <w:pPr>
        <w:pStyle w:val="ECCParagraph"/>
        <w:jc w:val="right"/>
      </w:pPr>
      <m:oMath>
        <m:r>
          <w:rPr>
            <w:rFonts w:ascii="Cambria Math" w:hAnsi="Cambria Math"/>
          </w:rPr>
          <m:t>TRP≝</m:t>
        </m:r>
        <m:f>
          <m:fPr>
            <m:ctrlPr>
              <w:rPr>
                <w:rFonts w:ascii="Cambria Math" w:hAnsi="Cambria Math"/>
                <w:i/>
              </w:rPr>
            </m:ctrlPr>
          </m:fPr>
          <m:num>
            <m:r>
              <w:rPr>
                <w:rFonts w:ascii="Cambria Math" w:hAnsi="Cambria Math"/>
              </w:rPr>
              <m:t>1</m:t>
            </m:r>
          </m:num>
          <m:den>
            <m:r>
              <w:rPr>
                <w:rFonts w:ascii="Cambria Math" w:hAnsi="Cambria Math"/>
              </w:rPr>
              <m:t>4π</m:t>
            </m:r>
          </m:den>
        </m:f>
        <m:nary>
          <m:naryPr>
            <m:limLoc m:val="undOvr"/>
            <m:ctrlPr>
              <w:rPr>
                <w:rFonts w:ascii="Cambria Math" w:hAnsi="Cambria Math"/>
                <w:i/>
              </w:rPr>
            </m:ctrlPr>
          </m:naryPr>
          <m:sub>
            <m:r>
              <w:rPr>
                <w:rFonts w:ascii="Cambria Math" w:hAnsi="Cambria Math"/>
              </w:rPr>
              <m:t>0</m:t>
            </m:r>
          </m:sub>
          <m:sup>
            <m:r>
              <w:rPr>
                <w:rFonts w:ascii="Cambria Math" w:hAnsi="Cambria Math"/>
              </w:rPr>
              <m:t>2π</m:t>
            </m:r>
          </m:sup>
          <m:e>
            <m:nary>
              <m:naryPr>
                <m:limLoc m:val="undOvr"/>
                <m:ctrlPr>
                  <w:rPr>
                    <w:rFonts w:ascii="Cambria Math" w:hAnsi="Cambria Math"/>
                    <w:i/>
                  </w:rPr>
                </m:ctrlPr>
              </m:naryPr>
              <m:sub>
                <m:r>
                  <w:rPr>
                    <w:rFonts w:ascii="Cambria Math" w:hAnsi="Cambria Math"/>
                  </w:rPr>
                  <m:t>0</m:t>
                </m:r>
              </m:sub>
              <m:sup>
                <m:r>
                  <w:rPr>
                    <w:rFonts w:ascii="Cambria Math" w:hAnsi="Cambria Math"/>
                  </w:rPr>
                  <m:t>π</m:t>
                </m:r>
              </m:sup>
              <m:e>
                <m:r>
                  <w:rPr>
                    <w:rFonts w:ascii="Cambria Math" w:hAnsi="Cambria Math"/>
                  </w:rPr>
                  <m:t>P</m:t>
                </m:r>
                <m:d>
                  <m:dPr>
                    <m:ctrlPr>
                      <w:rPr>
                        <w:rFonts w:ascii="Cambria Math" w:hAnsi="Cambria Math"/>
                        <w:i/>
                      </w:rPr>
                    </m:ctrlPr>
                  </m:dPr>
                  <m:e>
                    <m:r>
                      <w:rPr>
                        <w:rFonts w:ascii="Cambria Math" w:hAnsi="Cambria Math"/>
                      </w:rPr>
                      <m:t>θ,φ</m:t>
                    </m:r>
                  </m:e>
                </m:d>
                <m:r>
                  <m:rPr>
                    <m:sty m:val="p"/>
                  </m:rPr>
                  <w:rPr>
                    <w:rFonts w:ascii="Cambria Math" w:hAnsi="Cambria Math"/>
                  </w:rPr>
                  <m:t>sin⁡</m:t>
                </m:r>
                <m:r>
                  <w:rPr>
                    <w:rFonts w:ascii="Cambria Math" w:hAnsi="Cambria Math"/>
                  </w:rPr>
                  <m:t>(θ)dθdφ</m:t>
                </m:r>
              </m:e>
            </m:nary>
          </m:e>
        </m:nary>
      </m:oMath>
      <w:r w:rsidRPr="008D2A17">
        <w:tab/>
      </w:r>
      <w:r w:rsidRPr="008D2A17">
        <w:tab/>
      </w:r>
      <w:r w:rsidRPr="008D2A17">
        <w:tab/>
      </w:r>
      <w:r w:rsidRPr="008D2A17">
        <w:tab/>
      </w:r>
      <w:r w:rsidRPr="008D2A17">
        <w:tab/>
        <w:t>(</w:t>
      </w:r>
      <w:fldSimple w:instr=" SEQ Equation \* ARABIC ">
        <w:r w:rsidR="00FA5407">
          <w:rPr>
            <w:noProof/>
          </w:rPr>
          <w:t>1</w:t>
        </w:r>
      </w:fldSimple>
      <w:r w:rsidRPr="008D2A17">
        <w:t>)</w:t>
      </w:r>
    </w:p>
    <w:p w14:paraId="46F22EB9" w14:textId="77777777" w:rsidR="005B451A" w:rsidRPr="008D2A17" w:rsidRDefault="005B451A" w:rsidP="005B451A">
      <w:pPr>
        <w:pStyle w:val="ECCParagraph"/>
      </w:pPr>
      <w:proofErr w:type="gramStart"/>
      <w:r w:rsidRPr="008D2A17">
        <w:t>where</w:t>
      </w:r>
      <w:proofErr w:type="gramEnd"/>
    </w:p>
    <w:p w14:paraId="53F758C8" w14:textId="77777777" w:rsidR="005B451A" w:rsidRPr="008D2A17" w:rsidRDefault="005B451A" w:rsidP="005B451A">
      <w:pPr>
        <w:pStyle w:val="ECCBulletsLv1"/>
        <w:spacing w:after="0"/>
        <w:ind w:left="340" w:hanging="340"/>
      </w:pPr>
      <m:oMath>
        <m:r>
          <w:rPr>
            <w:rFonts w:ascii="Cambria Math" w:hAnsi="Cambria Math"/>
          </w:rPr>
          <m:t>TRP</m:t>
        </m:r>
      </m:oMath>
      <w:r w:rsidRPr="008D2A17">
        <w:t xml:space="preserve"> is equal to the total conducted power input into the antenna array system less any losses in the antenna array system</w:t>
      </w:r>
      <w:r w:rsidR="00621F51" w:rsidRPr="008D2A17">
        <w:t>;</w:t>
      </w:r>
    </w:p>
    <w:p w14:paraId="5315C7DF" w14:textId="77777777" w:rsidR="005B451A" w:rsidRPr="008D2A17" w:rsidRDefault="005B451A" w:rsidP="005B451A">
      <w:pPr>
        <w:pStyle w:val="ECCBulletsLv1"/>
        <w:spacing w:after="0"/>
        <w:ind w:left="340" w:hanging="340"/>
      </w:pPr>
      <m:oMath>
        <m:r>
          <w:rPr>
            <w:rFonts w:ascii="Cambria Math" w:hAnsi="Cambria Math"/>
          </w:rPr>
          <m:t>P</m:t>
        </m:r>
        <m:d>
          <m:dPr>
            <m:ctrlPr>
              <w:rPr>
                <w:rFonts w:ascii="Cambria Math" w:hAnsi="Cambria Math"/>
                <w:i/>
              </w:rPr>
            </m:ctrlPr>
          </m:dPr>
          <m:e>
            <m:r>
              <w:rPr>
                <w:rFonts w:ascii="Cambria Math" w:hAnsi="Cambria Math"/>
              </w:rPr>
              <m:t>θ,φ</m:t>
            </m:r>
          </m:e>
        </m:d>
      </m:oMath>
      <w:r w:rsidRPr="008D2A17">
        <w:t>: power radiated by an antenna array system in direction</w:t>
      </w:r>
      <m:oMath>
        <m:r>
          <w:rPr>
            <w:rFonts w:ascii="Cambria Math" w:hAnsi="Cambria Math"/>
          </w:rPr>
          <m:t xml:space="preserve"> </m:t>
        </m:r>
        <m:d>
          <m:dPr>
            <m:ctrlPr>
              <w:rPr>
                <w:rFonts w:ascii="Cambria Math" w:hAnsi="Cambria Math"/>
                <w:i/>
              </w:rPr>
            </m:ctrlPr>
          </m:dPr>
          <m:e>
            <m:r>
              <w:rPr>
                <w:rFonts w:ascii="Cambria Math" w:hAnsi="Cambria Math"/>
              </w:rPr>
              <m:t>θ,φ</m:t>
            </m:r>
          </m:e>
        </m:d>
        <m:r>
          <w:rPr>
            <w:rFonts w:ascii="Cambria Math" w:hAnsi="Cambria Math"/>
          </w:rPr>
          <m:t>.</m:t>
        </m:r>
      </m:oMath>
    </w:p>
    <w:p w14:paraId="05A1A057" w14:textId="77777777" w:rsidR="005B451A" w:rsidRPr="008D2A17" w:rsidRDefault="005B451A" w:rsidP="005B451A">
      <w:pPr>
        <w:pStyle w:val="ECCBulletsLv1"/>
        <w:numPr>
          <w:ilvl w:val="0"/>
          <w:numId w:val="0"/>
        </w:numPr>
        <w:spacing w:after="0"/>
        <w:ind w:left="340"/>
      </w:pPr>
    </w:p>
    <w:p w14:paraId="2490D36B" w14:textId="77777777" w:rsidR="005B451A" w:rsidRPr="008D2A17" w:rsidRDefault="005B451A" w:rsidP="005B451A">
      <w:pPr>
        <w:jc w:val="right"/>
        <w:rPr>
          <w:lang w:val="en-GB"/>
        </w:rPr>
      </w:pPr>
      <m:oMath>
        <m:r>
          <w:rPr>
            <w:rFonts w:ascii="Cambria Math" w:hAnsi="Cambria Math"/>
            <w:lang w:val="en-GB"/>
          </w:rPr>
          <m:t>P</m:t>
        </m:r>
        <m:d>
          <m:dPr>
            <m:ctrlPr>
              <w:rPr>
                <w:rFonts w:ascii="Cambria Math" w:hAnsi="Cambria Math"/>
                <w:i/>
                <w:lang w:val="en-GB"/>
              </w:rPr>
            </m:ctrlPr>
          </m:dPr>
          <m:e>
            <m:r>
              <w:rPr>
                <w:rFonts w:ascii="Cambria Math" w:hAnsi="Cambria Math"/>
                <w:lang w:val="en-GB"/>
              </w:rPr>
              <m:t>θ,φ</m:t>
            </m:r>
          </m:e>
        </m:d>
        <m:r>
          <w:rPr>
            <w:rFonts w:ascii="Cambria Math" w:hAnsi="Cambria Math"/>
            <w:lang w:val="en-GB"/>
          </w:rPr>
          <m:t>=</m:t>
        </m:r>
        <m:sSub>
          <m:sSubPr>
            <m:ctrlPr>
              <w:rPr>
                <w:rFonts w:ascii="Cambria Math" w:hAnsi="Cambria Math"/>
                <w:i/>
                <w:lang w:val="en-GB"/>
              </w:rPr>
            </m:ctrlPr>
          </m:sSubPr>
          <m:e>
            <m:r>
              <w:rPr>
                <w:rFonts w:ascii="Cambria Math" w:hAnsi="Cambria Math"/>
                <w:lang w:val="en-GB"/>
              </w:rPr>
              <m:t>P</m:t>
            </m:r>
          </m:e>
          <m:sub>
            <m:r>
              <w:rPr>
                <w:rFonts w:ascii="Cambria Math" w:hAnsi="Cambria Math"/>
                <w:lang w:val="en-GB"/>
              </w:rPr>
              <m:t>Tx</m:t>
            </m:r>
          </m:sub>
        </m:sSub>
        <m:r>
          <w:rPr>
            <w:rFonts w:ascii="Cambria Math" w:hAnsi="Cambria Math"/>
            <w:lang w:val="en-GB"/>
          </w:rPr>
          <m:t>g(θ,φ)</m:t>
        </m:r>
      </m:oMath>
      <w:r w:rsidRPr="008D2A17">
        <w:rPr>
          <w:lang w:val="en-GB"/>
        </w:rPr>
        <w:t xml:space="preserve"> </w:t>
      </w:r>
      <w:r w:rsidRPr="008D2A17">
        <w:rPr>
          <w:lang w:val="en-GB"/>
        </w:rPr>
        <w:tab/>
      </w:r>
      <w:r w:rsidRPr="008D2A17">
        <w:rPr>
          <w:lang w:val="en-GB"/>
        </w:rPr>
        <w:tab/>
      </w:r>
      <w:r w:rsidRPr="008D2A17">
        <w:rPr>
          <w:lang w:val="en-GB"/>
        </w:rPr>
        <w:tab/>
      </w:r>
      <w:r w:rsidRPr="008D2A17">
        <w:rPr>
          <w:lang w:val="en-GB"/>
        </w:rPr>
        <w:tab/>
      </w:r>
      <w:r w:rsidRPr="008D2A17">
        <w:rPr>
          <w:lang w:val="en-GB"/>
        </w:rPr>
        <w:tab/>
      </w:r>
      <w:r w:rsidRPr="008D2A17">
        <w:rPr>
          <w:lang w:val="en-GB"/>
        </w:rPr>
        <w:tab/>
      </w:r>
      <w:r w:rsidRPr="008D2A17">
        <w:rPr>
          <w:lang w:val="en-GB"/>
        </w:rPr>
        <w:tab/>
        <w:t>(</w:t>
      </w:r>
      <w:r w:rsidRPr="008D2A17">
        <w:rPr>
          <w:lang w:val="en-GB"/>
        </w:rPr>
        <w:fldChar w:fldCharType="begin"/>
      </w:r>
      <w:r w:rsidRPr="008D2A17">
        <w:rPr>
          <w:lang w:val="en-GB"/>
        </w:rPr>
        <w:instrText xml:space="preserve"> SEQ Equation \* ARABIC </w:instrText>
      </w:r>
      <w:r w:rsidRPr="008D2A17">
        <w:rPr>
          <w:lang w:val="en-GB"/>
        </w:rPr>
        <w:fldChar w:fldCharType="separate"/>
      </w:r>
      <w:r w:rsidR="00FA5407">
        <w:rPr>
          <w:noProof/>
          <w:lang w:val="en-GB"/>
        </w:rPr>
        <w:t>2</w:t>
      </w:r>
      <w:r w:rsidRPr="008D2A17">
        <w:rPr>
          <w:lang w:val="en-GB"/>
        </w:rPr>
        <w:fldChar w:fldCharType="end"/>
      </w:r>
      <w:r w:rsidRPr="008D2A17">
        <w:rPr>
          <w:lang w:val="en-GB"/>
        </w:rPr>
        <w:t>)</w:t>
      </w:r>
    </w:p>
    <w:p w14:paraId="630B70FB" w14:textId="77777777" w:rsidR="005B451A" w:rsidRPr="008D2A17" w:rsidRDefault="005B451A" w:rsidP="005B451A">
      <w:pPr>
        <w:pStyle w:val="ECCParagraph"/>
      </w:pPr>
      <w:proofErr w:type="gramStart"/>
      <w:r w:rsidRPr="008D2A17">
        <w:t>where</w:t>
      </w:r>
      <w:proofErr w:type="gramEnd"/>
    </w:p>
    <w:p w14:paraId="48FA4777" w14:textId="77777777" w:rsidR="005B451A" w:rsidRPr="008D2A17" w:rsidRDefault="00297F2E" w:rsidP="005B451A">
      <w:pPr>
        <w:pStyle w:val="ECCBulletsLv1"/>
        <w:spacing w:after="0"/>
        <w:ind w:left="340" w:hanging="340"/>
      </w:pPr>
      <m:oMath>
        <m:sSub>
          <m:sSubPr>
            <m:ctrlPr>
              <w:rPr>
                <w:rFonts w:ascii="Cambria Math" w:hAnsi="Cambria Math"/>
                <w:i/>
              </w:rPr>
            </m:ctrlPr>
          </m:sSubPr>
          <m:e>
            <m:r>
              <w:rPr>
                <w:rFonts w:ascii="Cambria Math" w:hAnsi="Cambria Math"/>
              </w:rPr>
              <m:t>P</m:t>
            </m:r>
          </m:e>
          <m:sub>
            <m:r>
              <w:rPr>
                <w:rFonts w:ascii="Cambria Math" w:hAnsi="Cambria Math"/>
              </w:rPr>
              <m:t>Tx</m:t>
            </m:r>
          </m:sub>
        </m:sSub>
      </m:oMath>
      <w:r w:rsidR="005B451A" w:rsidRPr="008D2A17">
        <w:t xml:space="preserve">: </w:t>
      </w:r>
      <w:r w:rsidR="005B451A" w:rsidRPr="008D2A17">
        <w:tab/>
        <w:t>conducted power (Watts) input to the array system</w:t>
      </w:r>
      <w:r w:rsidR="00621F51" w:rsidRPr="008D2A17">
        <w:t>;</w:t>
      </w:r>
    </w:p>
    <w:p w14:paraId="44948ADA" w14:textId="77777777" w:rsidR="005B451A" w:rsidRPr="008D2A17" w:rsidRDefault="005B451A" w:rsidP="005B451A">
      <w:pPr>
        <w:pStyle w:val="ECCBulletsLv1"/>
        <w:spacing w:after="0"/>
        <w:ind w:left="340" w:hanging="340"/>
      </w:pPr>
      <m:oMath>
        <m:r>
          <w:rPr>
            <w:rFonts w:ascii="Cambria Math" w:hAnsi="Cambria Math"/>
          </w:rPr>
          <m:t>g(θ,φ)</m:t>
        </m:r>
      </m:oMath>
      <w:r w:rsidRPr="008D2A17">
        <w:t>:</w:t>
      </w:r>
      <w:r w:rsidRPr="008D2A17">
        <w:tab/>
      </w:r>
      <w:proofErr w:type="gramStart"/>
      <w:r w:rsidRPr="008D2A17">
        <w:t>array</w:t>
      </w:r>
      <w:proofErr w:type="gramEnd"/>
      <w:r w:rsidRPr="008D2A17">
        <w:t xml:space="preserve"> systems directional gain along </w:t>
      </w:r>
      <m:oMath>
        <m:d>
          <m:dPr>
            <m:ctrlPr>
              <w:rPr>
                <w:rFonts w:ascii="Cambria Math" w:hAnsi="Cambria Math"/>
                <w:i/>
              </w:rPr>
            </m:ctrlPr>
          </m:dPr>
          <m:e>
            <m:r>
              <w:rPr>
                <w:rFonts w:ascii="Cambria Math" w:hAnsi="Cambria Math"/>
              </w:rPr>
              <m:t>θ,φ</m:t>
            </m:r>
          </m:e>
        </m:d>
      </m:oMath>
      <w:r w:rsidRPr="008D2A17">
        <w:t xml:space="preserve"> direction</w:t>
      </w:r>
      <w:r w:rsidR="00621F51" w:rsidRPr="008D2A17">
        <w:t>.</w:t>
      </w:r>
    </w:p>
    <w:p w14:paraId="119FB93F" w14:textId="77777777" w:rsidR="005B451A" w:rsidRPr="008D2A17" w:rsidRDefault="005B451A" w:rsidP="005B451A">
      <w:pPr>
        <w:pStyle w:val="ECCBulletsLv1"/>
        <w:numPr>
          <w:ilvl w:val="0"/>
          <w:numId w:val="0"/>
        </w:numPr>
        <w:spacing w:after="0"/>
        <w:ind w:left="340"/>
      </w:pPr>
    </w:p>
    <w:p w14:paraId="37925684" w14:textId="19CF33F6" w:rsidR="005B451A" w:rsidRPr="008D2A17" w:rsidRDefault="005B451A" w:rsidP="005B451A">
      <w:pPr>
        <w:pStyle w:val="ECCParagraph"/>
      </w:pPr>
      <w:r w:rsidRPr="008D2A17">
        <w:t xml:space="preserve">The maximum </w:t>
      </w:r>
      <w:r w:rsidR="00187B24" w:rsidRPr="008D2A17">
        <w:t>e.i.r.p.</w:t>
      </w:r>
      <w:r w:rsidR="00A92C46" w:rsidRPr="008D2A17">
        <w:t xml:space="preserve"> </w:t>
      </w:r>
      <w:r w:rsidRPr="008D2A17">
        <w:t>for an AAS base station can be written in log domain as follows:</w:t>
      </w:r>
    </w:p>
    <w:p w14:paraId="040DDB60" w14:textId="3D091885" w:rsidR="005B451A" w:rsidRPr="008D2A17" w:rsidRDefault="00297F2E" w:rsidP="005B451A">
      <w:pPr>
        <w:pStyle w:val="ECCParagraph"/>
        <w:jc w:val="right"/>
      </w:pPr>
      <m:oMath>
        <m:sSub>
          <m:sSubPr>
            <m:ctrlPr>
              <w:rPr>
                <w:rFonts w:ascii="Cambria Math" w:hAnsi="Cambria Math"/>
              </w:rPr>
            </m:ctrlPr>
          </m:sSubPr>
          <m:e>
            <m:r>
              <m:rPr>
                <m:sty m:val="p"/>
              </m:rPr>
              <w:rPr>
                <w:rFonts w:ascii="Cambria Math" w:hAnsi="Cambria Math"/>
              </w:rPr>
              <m:t>e.i.r.p.</m:t>
            </m:r>
          </m:e>
          <m:sub>
            <m:r>
              <w:rPr>
                <w:rFonts w:ascii="Cambria Math" w:hAnsi="Cambria Math"/>
              </w:rPr>
              <m:t>max</m:t>
            </m:r>
          </m:sub>
        </m:sSub>
        <m:r>
          <m:rPr>
            <m:sty m:val="p"/>
          </m:rPr>
          <w:rPr>
            <w:rFonts w:ascii="Cambria Math" w:hAnsi="Cambria Math"/>
          </w:rPr>
          <m:t>=</m:t>
        </m:r>
        <m:r>
          <w:rPr>
            <w:rFonts w:ascii="Cambria Math" w:hAnsi="Cambria Math"/>
          </w:rPr>
          <m:t>TRP</m:t>
        </m:r>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E</m:t>
            </m:r>
          </m:sub>
        </m:sSub>
        <m:r>
          <m:rPr>
            <m:sty m:val="p"/>
          </m:rPr>
          <w:rPr>
            <w:rFonts w:ascii="Cambria Math" w:hAnsi="Cambria Math"/>
          </w:rPr>
          <m:t>+</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10log</m:t>
                </m:r>
              </m:e>
              <m:sub>
                <m:r>
                  <m:rPr>
                    <m:sty m:val="p"/>
                  </m:rPr>
                  <w:rPr>
                    <w:rFonts w:ascii="Cambria Math" w:hAnsi="Cambria Math"/>
                  </w:rPr>
                  <m:t>10</m:t>
                </m:r>
              </m:sub>
            </m:sSub>
          </m:fName>
          <m:e>
            <m:r>
              <w:rPr>
                <w:rFonts w:ascii="Cambria Math" w:hAnsi="Cambria Math"/>
              </w:rPr>
              <m:t>N</m:t>
            </m:r>
          </m:e>
        </m:func>
      </m:oMath>
      <w:r w:rsidR="005B451A" w:rsidRPr="008D2A17">
        <w:tab/>
      </w:r>
      <w:r w:rsidR="005B451A" w:rsidRPr="008D2A17">
        <w:tab/>
      </w:r>
      <w:r w:rsidR="005B451A" w:rsidRPr="008D2A17">
        <w:tab/>
      </w:r>
      <w:r w:rsidR="005B451A" w:rsidRPr="008D2A17">
        <w:tab/>
      </w:r>
      <w:r w:rsidR="005B451A" w:rsidRPr="008D2A17">
        <w:tab/>
        <w:t>(</w:t>
      </w:r>
      <w:fldSimple w:instr=" SEQ Equation \* ARABIC ">
        <w:r w:rsidR="00FA5407">
          <w:rPr>
            <w:noProof/>
          </w:rPr>
          <w:t>3</w:t>
        </w:r>
      </w:fldSimple>
      <w:r w:rsidR="005B451A" w:rsidRPr="008D2A17">
        <w:t>)</w:t>
      </w:r>
    </w:p>
    <w:p w14:paraId="22A5A80D" w14:textId="77777777" w:rsidR="00B46BF8" w:rsidRPr="008D2A17" w:rsidRDefault="005B451A" w:rsidP="005B451A">
      <w:pPr>
        <w:pStyle w:val="ECCParagraph"/>
      </w:pPr>
      <w:r w:rsidRPr="008D2A17">
        <w:t xml:space="preserve">Where </w:t>
      </w:r>
      <m:oMath>
        <m:sSub>
          <m:sSubPr>
            <m:ctrlPr>
              <w:rPr>
                <w:rFonts w:ascii="Cambria Math" w:hAnsi="Cambria Math"/>
              </w:rPr>
            </m:ctrlPr>
          </m:sSubPr>
          <m:e>
            <m:r>
              <w:rPr>
                <w:rFonts w:ascii="Cambria Math" w:hAnsi="Cambria Math"/>
              </w:rPr>
              <m:t>G</m:t>
            </m:r>
          </m:e>
          <m:sub>
            <m:r>
              <w:rPr>
                <w:rFonts w:ascii="Cambria Math" w:hAnsi="Cambria Math"/>
              </w:rPr>
              <m:t>E</m:t>
            </m:r>
          </m:sub>
        </m:sSub>
      </m:oMath>
      <w:proofErr w:type="gramStart"/>
      <w:r w:rsidRPr="008D2A17">
        <w:t xml:space="preserve"> is the antenna element</w:t>
      </w:r>
      <w:proofErr w:type="gramEnd"/>
      <w:r w:rsidRPr="008D2A17">
        <w:t xml:space="preserve"> gain in dBi, and </w:t>
      </w:r>
      <m:oMath>
        <m:r>
          <w:rPr>
            <w:rFonts w:ascii="Cambria Math" w:hAnsi="Cambria Math"/>
          </w:rPr>
          <m:t>N</m:t>
        </m:r>
      </m:oMath>
      <w:r w:rsidRPr="008D2A17">
        <w:t xml:space="preserve"> is the number of beam forming elements.</w:t>
      </w:r>
    </w:p>
    <w:p w14:paraId="482CBAB6" w14:textId="77777777" w:rsidR="00B46BF8" w:rsidRPr="008D2A17" w:rsidRDefault="00B46BF8" w:rsidP="00C2718C">
      <w:pPr>
        <w:pStyle w:val="Heading3"/>
        <w:rPr>
          <w:rStyle w:val="ECCHLbold"/>
          <w:b/>
          <w:lang w:val="en-GB"/>
        </w:rPr>
      </w:pPr>
      <w:bookmarkStart w:id="96" w:name="_Toc500931679"/>
      <w:bookmarkStart w:id="97" w:name="_Ref501007297"/>
      <w:bookmarkStart w:id="98" w:name="_Toc501012923"/>
      <w:bookmarkStart w:id="99" w:name="_Ref501020319"/>
      <w:bookmarkStart w:id="100" w:name="_Ref501020368"/>
      <w:bookmarkStart w:id="101" w:name="_Ref501020388"/>
      <w:bookmarkStart w:id="102" w:name="_Ref501028718"/>
      <w:bookmarkStart w:id="103" w:name="_Ref503440469"/>
      <w:bookmarkStart w:id="104" w:name="_Ref510584043"/>
      <w:bookmarkStart w:id="105" w:name="_Ref510585210"/>
      <w:bookmarkStart w:id="106" w:name="_Ref510585594"/>
      <w:bookmarkStart w:id="107" w:name="_Toc514428333"/>
      <w:bookmarkStart w:id="108" w:name="_Toc507766096"/>
      <w:r w:rsidRPr="008D2A17">
        <w:rPr>
          <w:rStyle w:val="ECCHLbold"/>
          <w:b/>
          <w:lang w:val="en-GB"/>
        </w:rPr>
        <w:t xml:space="preserve">Synchronisation in TDD </w:t>
      </w:r>
      <w:bookmarkEnd w:id="95"/>
      <w:r w:rsidRPr="008D2A17">
        <w:rPr>
          <w:rStyle w:val="ECCHLbold"/>
          <w:b/>
          <w:lang w:val="en-GB"/>
        </w:rPr>
        <w:t>WBB ECS</w:t>
      </w:r>
      <w:bookmarkEnd w:id="96"/>
      <w:bookmarkEnd w:id="97"/>
      <w:bookmarkEnd w:id="98"/>
      <w:bookmarkEnd w:id="99"/>
      <w:bookmarkEnd w:id="100"/>
      <w:bookmarkEnd w:id="101"/>
      <w:bookmarkEnd w:id="102"/>
      <w:bookmarkEnd w:id="103"/>
      <w:bookmarkEnd w:id="104"/>
      <w:bookmarkEnd w:id="105"/>
      <w:bookmarkEnd w:id="106"/>
      <w:bookmarkEnd w:id="107"/>
      <w:bookmarkEnd w:id="108"/>
    </w:p>
    <w:p w14:paraId="373B873D" w14:textId="6AB2A2B4" w:rsidR="00403727" w:rsidRPr="008D2A17" w:rsidRDefault="00403727" w:rsidP="00AD7F41">
      <w:pPr>
        <w:pStyle w:val="ECCParagraph"/>
        <w:rPr>
          <w:rStyle w:val="ECCHLunderlined"/>
          <w:u w:val="none"/>
        </w:rPr>
      </w:pPr>
      <w:r w:rsidRPr="008D2A17">
        <w:rPr>
          <w:rStyle w:val="ECCHLunderlined"/>
          <w:u w:val="none"/>
        </w:rPr>
        <w:t xml:space="preserve">The </w:t>
      </w:r>
      <w:r w:rsidR="005D79AC" w:rsidRPr="008D2A17">
        <w:rPr>
          <w:rStyle w:val="ECCHLunderlined"/>
          <w:u w:val="none"/>
        </w:rPr>
        <w:t>definitions</w:t>
      </w:r>
      <w:r w:rsidRPr="008D2A17">
        <w:rPr>
          <w:rStyle w:val="ECCHLunderlined"/>
          <w:u w:val="none"/>
        </w:rPr>
        <w:t xml:space="preserve"> </w:t>
      </w:r>
      <w:r w:rsidR="005D79AC" w:rsidRPr="008D2A17">
        <w:rPr>
          <w:rStyle w:val="ECCHLunderlined"/>
          <w:u w:val="none"/>
        </w:rPr>
        <w:t xml:space="preserve">below may not </w:t>
      </w:r>
      <w:r w:rsidR="008809C3" w:rsidRPr="008D2A17">
        <w:rPr>
          <w:rStyle w:val="ECCHLunderlined"/>
          <w:u w:val="none"/>
        </w:rPr>
        <w:t xml:space="preserve">necessarily </w:t>
      </w:r>
      <w:r w:rsidR="005D79AC" w:rsidRPr="008D2A17">
        <w:rPr>
          <w:rStyle w:val="ECCHLunderlined"/>
          <w:u w:val="none"/>
        </w:rPr>
        <w:t>apply to an entire network</w:t>
      </w:r>
      <w:r w:rsidRPr="008D2A17">
        <w:rPr>
          <w:rStyle w:val="ECCHLunderlined"/>
          <w:u w:val="none"/>
        </w:rPr>
        <w:t>.</w:t>
      </w:r>
      <w:r w:rsidR="005D79AC" w:rsidRPr="008D2A17">
        <w:rPr>
          <w:rStyle w:val="ECCHLunderlined"/>
          <w:u w:val="none"/>
        </w:rPr>
        <w:t xml:space="preserve"> In particular, there are use cases where different base stations within a network may be unsynchronised or semi-synchronised.</w:t>
      </w:r>
    </w:p>
    <w:p w14:paraId="7703B699" w14:textId="58F12C40" w:rsidR="00B46BF8" w:rsidRPr="008D2A17" w:rsidRDefault="00B46BF8" w:rsidP="00AD7F41">
      <w:pPr>
        <w:pStyle w:val="ECCParagraph"/>
        <w:rPr>
          <w:rStyle w:val="ECCHLunderlined"/>
        </w:rPr>
      </w:pPr>
      <w:r w:rsidRPr="008D2A17">
        <w:rPr>
          <w:rStyle w:val="ECCHLunderlined"/>
        </w:rPr>
        <w:t>Synchronised operation</w:t>
      </w:r>
    </w:p>
    <w:p w14:paraId="64810DA8" w14:textId="7F676247" w:rsidR="00B46BF8" w:rsidRPr="008D2A17" w:rsidRDefault="00B46BF8" w:rsidP="00AD7F41">
      <w:pPr>
        <w:pStyle w:val="ECCParagraph"/>
        <w:rPr>
          <w:rStyle w:val="ECCHLorange"/>
          <w:shd w:val="clear" w:color="auto" w:fill="auto"/>
        </w:rPr>
      </w:pPr>
      <w:r w:rsidRPr="008D2A17">
        <w:rPr>
          <w:rStyle w:val="ECCHLorange"/>
          <w:shd w:val="clear" w:color="auto" w:fill="auto"/>
        </w:rPr>
        <w:t xml:space="preserve">The synchronised operation in the context of this Report means operation of TDD in several different networks, where no simultaneous UL and DL transmissions occur, i.e. at any given moment in time either all networks transmit in DL or all networks transmit in UL. This requires the </w:t>
      </w:r>
      <w:r w:rsidR="00E05FBE" w:rsidRPr="008D2A17">
        <w:rPr>
          <w:rStyle w:val="ECCHLorange"/>
          <w:shd w:val="clear" w:color="auto" w:fill="auto"/>
        </w:rPr>
        <w:t>alignment</w:t>
      </w:r>
      <w:r w:rsidRPr="008D2A17">
        <w:rPr>
          <w:rStyle w:val="ECCHLorange"/>
          <w:shd w:val="clear" w:color="auto" w:fill="auto"/>
        </w:rPr>
        <w:t xml:space="preserve"> of </w:t>
      </w:r>
      <w:r w:rsidR="00E05FBE" w:rsidRPr="008D2A17">
        <w:rPr>
          <w:rStyle w:val="ECCHLorange"/>
          <w:shd w:val="clear" w:color="auto" w:fill="auto"/>
        </w:rPr>
        <w:t xml:space="preserve">all DL and </w:t>
      </w:r>
      <w:r w:rsidR="008809C3" w:rsidRPr="008D2A17">
        <w:rPr>
          <w:rStyle w:val="ECCHLorange"/>
          <w:shd w:val="clear" w:color="auto" w:fill="auto"/>
        </w:rPr>
        <w:t>UL transmissions</w:t>
      </w:r>
      <w:r w:rsidRPr="008D2A17">
        <w:rPr>
          <w:rStyle w:val="ECCHLorange"/>
          <w:shd w:val="clear" w:color="auto" w:fill="auto"/>
        </w:rPr>
        <w:t xml:space="preserve"> for all TDD networks involved as well as synchronising the beginning of the frame across all networks.</w:t>
      </w:r>
    </w:p>
    <w:p w14:paraId="01B189F6" w14:textId="77777777" w:rsidR="00B46BF8" w:rsidRPr="008D2A17" w:rsidRDefault="00B46BF8" w:rsidP="00AD7F41">
      <w:pPr>
        <w:pStyle w:val="ECCParagraph"/>
        <w:rPr>
          <w:rStyle w:val="ECCHLunderlined"/>
        </w:rPr>
      </w:pPr>
      <w:r w:rsidRPr="008D2A17">
        <w:rPr>
          <w:rStyle w:val="ECCHLunderlined"/>
        </w:rPr>
        <w:t>Unsynchronised operation</w:t>
      </w:r>
    </w:p>
    <w:p w14:paraId="13065399" w14:textId="27C6D635" w:rsidR="001C45AE" w:rsidRPr="008D2A17" w:rsidRDefault="00B46BF8" w:rsidP="0067417A">
      <w:pPr>
        <w:pStyle w:val="ECCParagraph"/>
      </w:pPr>
      <w:bookmarkStart w:id="109" w:name="_Toc500799612"/>
      <w:bookmarkStart w:id="110" w:name="_Toc500826002"/>
      <w:bookmarkStart w:id="111" w:name="_Toc500799613"/>
      <w:bookmarkStart w:id="112" w:name="_Toc500826003"/>
      <w:bookmarkStart w:id="113" w:name="_Toc500027393"/>
      <w:bookmarkStart w:id="114" w:name="_Toc500027640"/>
      <w:bookmarkStart w:id="115" w:name="_Toc500077265"/>
      <w:bookmarkStart w:id="116" w:name="_Toc500078609"/>
      <w:bookmarkStart w:id="117" w:name="_Toc500078828"/>
      <w:bookmarkStart w:id="118" w:name="_Toc500079489"/>
      <w:bookmarkStart w:id="119" w:name="_Toc500080009"/>
      <w:bookmarkStart w:id="120" w:name="_Toc500081217"/>
      <w:bookmarkStart w:id="121" w:name="_Toc500081436"/>
      <w:bookmarkStart w:id="122" w:name="_Toc500081655"/>
      <w:bookmarkStart w:id="123" w:name="_Toc500081874"/>
      <w:bookmarkStart w:id="124" w:name="_Toc500082093"/>
      <w:bookmarkStart w:id="125" w:name="_Toc500082312"/>
      <w:bookmarkStart w:id="126" w:name="_Toc500082531"/>
      <w:bookmarkStart w:id="127" w:name="_Toc500082749"/>
      <w:bookmarkStart w:id="128" w:name="_Toc500082967"/>
      <w:bookmarkStart w:id="129" w:name="_Toc500083184"/>
      <w:bookmarkStart w:id="130" w:name="_Toc500083402"/>
      <w:bookmarkStart w:id="131" w:name="_Toc500083620"/>
      <w:bookmarkStart w:id="132" w:name="_Toc500083838"/>
      <w:bookmarkStart w:id="133" w:name="_Toc500084056"/>
      <w:bookmarkStart w:id="134" w:name="_Toc500084276"/>
      <w:bookmarkStart w:id="135" w:name="_Toc500084496"/>
      <w:bookmarkStart w:id="136" w:name="_Toc500084715"/>
      <w:bookmarkStart w:id="137" w:name="_Toc500084935"/>
      <w:bookmarkStart w:id="138" w:name="_Toc500085156"/>
      <w:bookmarkStart w:id="139" w:name="_Toc500135048"/>
      <w:bookmarkStart w:id="140" w:name="_Toc500135511"/>
      <w:bookmarkStart w:id="141" w:name="_Toc500144684"/>
      <w:bookmarkStart w:id="142" w:name="_Toc500145760"/>
      <w:bookmarkStart w:id="143" w:name="_Toc500154343"/>
      <w:bookmarkStart w:id="144" w:name="_Toc500154702"/>
      <w:bookmarkStart w:id="145" w:name="_Toc500155060"/>
      <w:bookmarkStart w:id="146" w:name="_Toc500155450"/>
      <w:bookmarkStart w:id="147" w:name="_Toc500155835"/>
      <w:bookmarkStart w:id="148" w:name="_Toc500156221"/>
      <w:bookmarkStart w:id="149" w:name="_Toc500156607"/>
      <w:bookmarkStart w:id="150" w:name="_Toc500156993"/>
      <w:bookmarkStart w:id="151" w:name="_Toc500157377"/>
      <w:bookmarkStart w:id="152" w:name="_Toc500158184"/>
      <w:bookmarkStart w:id="153" w:name="_Toc500158570"/>
      <w:bookmarkStart w:id="154" w:name="_Toc500158955"/>
      <w:bookmarkStart w:id="155" w:name="_Toc500027394"/>
      <w:bookmarkStart w:id="156" w:name="_Toc500027641"/>
      <w:bookmarkStart w:id="157" w:name="_Toc500077266"/>
      <w:bookmarkStart w:id="158" w:name="_Toc500078610"/>
      <w:bookmarkStart w:id="159" w:name="_Toc500078829"/>
      <w:bookmarkStart w:id="160" w:name="_Toc500079490"/>
      <w:bookmarkStart w:id="161" w:name="_Toc500080010"/>
      <w:bookmarkStart w:id="162" w:name="_Toc500081218"/>
      <w:bookmarkStart w:id="163" w:name="_Toc500081437"/>
      <w:bookmarkStart w:id="164" w:name="_Toc500081656"/>
      <w:bookmarkStart w:id="165" w:name="_Toc500081875"/>
      <w:bookmarkStart w:id="166" w:name="_Toc500082094"/>
      <w:bookmarkStart w:id="167" w:name="_Toc500082313"/>
      <w:bookmarkStart w:id="168" w:name="_Toc500082532"/>
      <w:bookmarkStart w:id="169" w:name="_Toc500082750"/>
      <w:bookmarkStart w:id="170" w:name="_Toc500082968"/>
      <w:bookmarkStart w:id="171" w:name="_Toc500083185"/>
      <w:bookmarkStart w:id="172" w:name="_Toc500083403"/>
      <w:bookmarkStart w:id="173" w:name="_Toc500083621"/>
      <w:bookmarkStart w:id="174" w:name="_Toc500083839"/>
      <w:bookmarkStart w:id="175" w:name="_Toc500084057"/>
      <w:bookmarkStart w:id="176" w:name="_Toc500084277"/>
      <w:bookmarkStart w:id="177" w:name="_Toc500084497"/>
      <w:bookmarkStart w:id="178" w:name="_Toc500084716"/>
      <w:bookmarkStart w:id="179" w:name="_Toc500084936"/>
      <w:bookmarkStart w:id="180" w:name="_Toc500085157"/>
      <w:bookmarkStart w:id="181" w:name="_Toc500135049"/>
      <w:bookmarkStart w:id="182" w:name="_Toc500135512"/>
      <w:bookmarkStart w:id="183" w:name="_Toc500144685"/>
      <w:bookmarkStart w:id="184" w:name="_Toc500145761"/>
      <w:bookmarkStart w:id="185" w:name="_Toc500154344"/>
      <w:bookmarkStart w:id="186" w:name="_Toc500154703"/>
      <w:bookmarkStart w:id="187" w:name="_Toc500155061"/>
      <w:bookmarkStart w:id="188" w:name="_Toc500155451"/>
      <w:bookmarkStart w:id="189" w:name="_Toc500155836"/>
      <w:bookmarkStart w:id="190" w:name="_Toc500156222"/>
      <w:bookmarkStart w:id="191" w:name="_Toc500156608"/>
      <w:bookmarkStart w:id="192" w:name="_Toc500156994"/>
      <w:bookmarkStart w:id="193" w:name="_Toc500157378"/>
      <w:bookmarkStart w:id="194" w:name="_Toc500158185"/>
      <w:bookmarkStart w:id="195" w:name="_Toc500158571"/>
      <w:bookmarkStart w:id="196" w:name="_Toc500158956"/>
      <w:bookmarkStart w:id="197" w:name="_Toc500027395"/>
      <w:bookmarkStart w:id="198" w:name="_Toc500027642"/>
      <w:bookmarkStart w:id="199" w:name="_Toc500077267"/>
      <w:bookmarkStart w:id="200" w:name="_Toc500078611"/>
      <w:bookmarkStart w:id="201" w:name="_Toc500078830"/>
      <w:bookmarkStart w:id="202" w:name="_Toc500079491"/>
      <w:bookmarkStart w:id="203" w:name="_Toc500080011"/>
      <w:bookmarkStart w:id="204" w:name="_Toc500081219"/>
      <w:bookmarkStart w:id="205" w:name="_Toc500081438"/>
      <w:bookmarkStart w:id="206" w:name="_Toc500081657"/>
      <w:bookmarkStart w:id="207" w:name="_Toc500081876"/>
      <w:bookmarkStart w:id="208" w:name="_Toc500082095"/>
      <w:bookmarkStart w:id="209" w:name="_Toc500082314"/>
      <w:bookmarkStart w:id="210" w:name="_Toc500082533"/>
      <w:bookmarkStart w:id="211" w:name="_Toc500082751"/>
      <w:bookmarkStart w:id="212" w:name="_Toc500082969"/>
      <w:bookmarkStart w:id="213" w:name="_Toc500083186"/>
      <w:bookmarkStart w:id="214" w:name="_Toc500083404"/>
      <w:bookmarkStart w:id="215" w:name="_Toc500083622"/>
      <w:bookmarkStart w:id="216" w:name="_Toc500083840"/>
      <w:bookmarkStart w:id="217" w:name="_Toc500084058"/>
      <w:bookmarkStart w:id="218" w:name="_Toc500084278"/>
      <w:bookmarkStart w:id="219" w:name="_Toc500084498"/>
      <w:bookmarkStart w:id="220" w:name="_Toc500084717"/>
      <w:bookmarkStart w:id="221" w:name="_Toc500084937"/>
      <w:bookmarkStart w:id="222" w:name="_Toc500085158"/>
      <w:bookmarkStart w:id="223" w:name="_Toc500135050"/>
      <w:bookmarkStart w:id="224" w:name="_Toc500135513"/>
      <w:bookmarkStart w:id="225" w:name="_Toc500144686"/>
      <w:bookmarkStart w:id="226" w:name="_Toc500145762"/>
      <w:bookmarkStart w:id="227" w:name="_Toc500154345"/>
      <w:bookmarkStart w:id="228" w:name="_Toc500154704"/>
      <w:bookmarkStart w:id="229" w:name="_Toc500155062"/>
      <w:bookmarkStart w:id="230" w:name="_Toc500155452"/>
      <w:bookmarkStart w:id="231" w:name="_Toc500155837"/>
      <w:bookmarkStart w:id="232" w:name="_Toc500156223"/>
      <w:bookmarkStart w:id="233" w:name="_Toc500156609"/>
      <w:bookmarkStart w:id="234" w:name="_Toc500156995"/>
      <w:bookmarkStart w:id="235" w:name="_Toc500157379"/>
      <w:bookmarkStart w:id="236" w:name="_Toc500158186"/>
      <w:bookmarkStart w:id="237" w:name="_Toc500158572"/>
      <w:bookmarkStart w:id="238" w:name="_Toc500158957"/>
      <w:bookmarkStart w:id="239" w:name="_Toc500027396"/>
      <w:bookmarkStart w:id="240" w:name="_Toc500027643"/>
      <w:bookmarkStart w:id="241" w:name="_Toc500077268"/>
      <w:bookmarkStart w:id="242" w:name="_Toc500078612"/>
      <w:bookmarkStart w:id="243" w:name="_Toc500078831"/>
      <w:bookmarkStart w:id="244" w:name="_Toc500079492"/>
      <w:bookmarkStart w:id="245" w:name="_Toc500080012"/>
      <w:bookmarkStart w:id="246" w:name="_Toc500081220"/>
      <w:bookmarkStart w:id="247" w:name="_Toc500081439"/>
      <w:bookmarkStart w:id="248" w:name="_Toc500081658"/>
      <w:bookmarkStart w:id="249" w:name="_Toc500081877"/>
      <w:bookmarkStart w:id="250" w:name="_Toc500082096"/>
      <w:bookmarkStart w:id="251" w:name="_Toc500082315"/>
      <w:bookmarkStart w:id="252" w:name="_Toc500082534"/>
      <w:bookmarkStart w:id="253" w:name="_Toc500082752"/>
      <w:bookmarkStart w:id="254" w:name="_Toc500082970"/>
      <w:bookmarkStart w:id="255" w:name="_Toc500083187"/>
      <w:bookmarkStart w:id="256" w:name="_Toc500083405"/>
      <w:bookmarkStart w:id="257" w:name="_Toc500083623"/>
      <w:bookmarkStart w:id="258" w:name="_Toc500083841"/>
      <w:bookmarkStart w:id="259" w:name="_Toc500084059"/>
      <w:bookmarkStart w:id="260" w:name="_Toc500084279"/>
      <w:bookmarkStart w:id="261" w:name="_Toc500084499"/>
      <w:bookmarkStart w:id="262" w:name="_Toc500084718"/>
      <w:bookmarkStart w:id="263" w:name="_Toc500084938"/>
      <w:bookmarkStart w:id="264" w:name="_Toc500085159"/>
      <w:bookmarkStart w:id="265" w:name="_Toc500135051"/>
      <w:bookmarkStart w:id="266" w:name="_Toc500135514"/>
      <w:bookmarkStart w:id="267" w:name="_Toc500144687"/>
      <w:bookmarkStart w:id="268" w:name="_Toc500145763"/>
      <w:bookmarkStart w:id="269" w:name="_Toc500154346"/>
      <w:bookmarkStart w:id="270" w:name="_Toc500154705"/>
      <w:bookmarkStart w:id="271" w:name="_Toc500155063"/>
      <w:bookmarkStart w:id="272" w:name="_Toc500155453"/>
      <w:bookmarkStart w:id="273" w:name="_Toc500155838"/>
      <w:bookmarkStart w:id="274" w:name="_Toc500156224"/>
      <w:bookmarkStart w:id="275" w:name="_Toc500156610"/>
      <w:bookmarkStart w:id="276" w:name="_Toc500156996"/>
      <w:bookmarkStart w:id="277" w:name="_Toc500157380"/>
      <w:bookmarkStart w:id="278" w:name="_Toc500158187"/>
      <w:bookmarkStart w:id="279" w:name="_Toc500158573"/>
      <w:bookmarkStart w:id="280" w:name="_Toc500158958"/>
      <w:bookmarkStart w:id="281" w:name="_Toc500027397"/>
      <w:bookmarkStart w:id="282" w:name="_Toc500027644"/>
      <w:bookmarkStart w:id="283" w:name="_Toc500077269"/>
      <w:bookmarkStart w:id="284" w:name="_Toc500078613"/>
      <w:bookmarkStart w:id="285" w:name="_Toc500078832"/>
      <w:bookmarkStart w:id="286" w:name="_Toc500079493"/>
      <w:bookmarkStart w:id="287" w:name="_Toc500080013"/>
      <w:bookmarkStart w:id="288" w:name="_Toc500081221"/>
      <w:bookmarkStart w:id="289" w:name="_Toc500081440"/>
      <w:bookmarkStart w:id="290" w:name="_Toc500081659"/>
      <w:bookmarkStart w:id="291" w:name="_Toc500081878"/>
      <w:bookmarkStart w:id="292" w:name="_Toc500082097"/>
      <w:bookmarkStart w:id="293" w:name="_Toc500082316"/>
      <w:bookmarkStart w:id="294" w:name="_Toc500082535"/>
      <w:bookmarkStart w:id="295" w:name="_Toc500082753"/>
      <w:bookmarkStart w:id="296" w:name="_Toc500082971"/>
      <w:bookmarkStart w:id="297" w:name="_Toc500083188"/>
      <w:bookmarkStart w:id="298" w:name="_Toc500083406"/>
      <w:bookmarkStart w:id="299" w:name="_Toc500083624"/>
      <w:bookmarkStart w:id="300" w:name="_Toc500083842"/>
      <w:bookmarkStart w:id="301" w:name="_Toc500084060"/>
      <w:bookmarkStart w:id="302" w:name="_Toc500084280"/>
      <w:bookmarkStart w:id="303" w:name="_Toc500084500"/>
      <w:bookmarkStart w:id="304" w:name="_Toc500084719"/>
      <w:bookmarkStart w:id="305" w:name="_Toc500084939"/>
      <w:bookmarkStart w:id="306" w:name="_Toc500085160"/>
      <w:bookmarkStart w:id="307" w:name="_Toc500135052"/>
      <w:bookmarkStart w:id="308" w:name="_Toc500135515"/>
      <w:bookmarkStart w:id="309" w:name="_Toc500144688"/>
      <w:bookmarkStart w:id="310" w:name="_Toc500145764"/>
      <w:bookmarkStart w:id="311" w:name="_Toc500154347"/>
      <w:bookmarkStart w:id="312" w:name="_Toc500154706"/>
      <w:bookmarkStart w:id="313" w:name="_Toc500155064"/>
      <w:bookmarkStart w:id="314" w:name="_Toc500155454"/>
      <w:bookmarkStart w:id="315" w:name="_Toc500155839"/>
      <w:bookmarkStart w:id="316" w:name="_Toc500156225"/>
      <w:bookmarkStart w:id="317" w:name="_Toc500156611"/>
      <w:bookmarkStart w:id="318" w:name="_Toc500156997"/>
      <w:bookmarkStart w:id="319" w:name="_Toc500157381"/>
      <w:bookmarkStart w:id="320" w:name="_Toc500158188"/>
      <w:bookmarkStart w:id="321" w:name="_Toc500158574"/>
      <w:bookmarkStart w:id="322" w:name="_Toc500158959"/>
      <w:bookmarkStart w:id="323" w:name="_Toc500027398"/>
      <w:bookmarkStart w:id="324" w:name="_Toc500027645"/>
      <w:bookmarkStart w:id="325" w:name="_Toc500077270"/>
      <w:bookmarkStart w:id="326" w:name="_Toc500078614"/>
      <w:bookmarkStart w:id="327" w:name="_Toc500078833"/>
      <w:bookmarkStart w:id="328" w:name="_Toc500079494"/>
      <w:bookmarkStart w:id="329" w:name="_Toc500080014"/>
      <w:bookmarkStart w:id="330" w:name="_Toc500081222"/>
      <w:bookmarkStart w:id="331" w:name="_Toc500081441"/>
      <w:bookmarkStart w:id="332" w:name="_Toc500081660"/>
      <w:bookmarkStart w:id="333" w:name="_Toc500081879"/>
      <w:bookmarkStart w:id="334" w:name="_Toc500082098"/>
      <w:bookmarkStart w:id="335" w:name="_Toc500082317"/>
      <w:bookmarkStart w:id="336" w:name="_Toc500082536"/>
      <w:bookmarkStart w:id="337" w:name="_Toc500082754"/>
      <w:bookmarkStart w:id="338" w:name="_Toc500082972"/>
      <w:bookmarkStart w:id="339" w:name="_Toc500083189"/>
      <w:bookmarkStart w:id="340" w:name="_Toc500083407"/>
      <w:bookmarkStart w:id="341" w:name="_Toc500083625"/>
      <w:bookmarkStart w:id="342" w:name="_Toc500083843"/>
      <w:bookmarkStart w:id="343" w:name="_Toc500084061"/>
      <w:bookmarkStart w:id="344" w:name="_Toc500084281"/>
      <w:bookmarkStart w:id="345" w:name="_Toc500084501"/>
      <w:bookmarkStart w:id="346" w:name="_Toc500084720"/>
      <w:bookmarkStart w:id="347" w:name="_Toc500084940"/>
      <w:bookmarkStart w:id="348" w:name="_Toc500085161"/>
      <w:bookmarkStart w:id="349" w:name="_Toc500135053"/>
      <w:bookmarkStart w:id="350" w:name="_Toc500135516"/>
      <w:bookmarkStart w:id="351" w:name="_Toc500144689"/>
      <w:bookmarkStart w:id="352" w:name="_Toc500145765"/>
      <w:bookmarkStart w:id="353" w:name="_Toc500154348"/>
      <w:bookmarkStart w:id="354" w:name="_Toc500154707"/>
      <w:bookmarkStart w:id="355" w:name="_Toc500155065"/>
      <w:bookmarkStart w:id="356" w:name="_Toc500155455"/>
      <w:bookmarkStart w:id="357" w:name="_Toc500155840"/>
      <w:bookmarkStart w:id="358" w:name="_Toc500156226"/>
      <w:bookmarkStart w:id="359" w:name="_Toc500156612"/>
      <w:bookmarkStart w:id="360" w:name="_Toc500156998"/>
      <w:bookmarkStart w:id="361" w:name="_Toc500157382"/>
      <w:bookmarkStart w:id="362" w:name="_Toc500158189"/>
      <w:bookmarkStart w:id="363" w:name="_Toc500158575"/>
      <w:bookmarkStart w:id="364" w:name="_Toc500158960"/>
      <w:bookmarkStart w:id="365" w:name="_Toc500027399"/>
      <w:bookmarkStart w:id="366" w:name="_Toc500027646"/>
      <w:bookmarkStart w:id="367" w:name="_Toc500077271"/>
      <w:bookmarkStart w:id="368" w:name="_Toc500078615"/>
      <w:bookmarkStart w:id="369" w:name="_Toc500078834"/>
      <w:bookmarkStart w:id="370" w:name="_Toc500079495"/>
      <w:bookmarkStart w:id="371" w:name="_Toc500080015"/>
      <w:bookmarkStart w:id="372" w:name="_Toc500081223"/>
      <w:bookmarkStart w:id="373" w:name="_Toc500081442"/>
      <w:bookmarkStart w:id="374" w:name="_Toc500081661"/>
      <w:bookmarkStart w:id="375" w:name="_Toc500081880"/>
      <w:bookmarkStart w:id="376" w:name="_Toc500082099"/>
      <w:bookmarkStart w:id="377" w:name="_Toc500082318"/>
      <w:bookmarkStart w:id="378" w:name="_Toc500082537"/>
      <w:bookmarkStart w:id="379" w:name="_Toc500082755"/>
      <w:bookmarkStart w:id="380" w:name="_Toc500082973"/>
      <w:bookmarkStart w:id="381" w:name="_Toc500083190"/>
      <w:bookmarkStart w:id="382" w:name="_Toc500083408"/>
      <w:bookmarkStart w:id="383" w:name="_Toc500083626"/>
      <w:bookmarkStart w:id="384" w:name="_Toc500083844"/>
      <w:bookmarkStart w:id="385" w:name="_Toc500084062"/>
      <w:bookmarkStart w:id="386" w:name="_Toc500084282"/>
      <w:bookmarkStart w:id="387" w:name="_Toc500084502"/>
      <w:bookmarkStart w:id="388" w:name="_Toc500084721"/>
      <w:bookmarkStart w:id="389" w:name="_Toc500084941"/>
      <w:bookmarkStart w:id="390" w:name="_Toc500085162"/>
      <w:bookmarkStart w:id="391" w:name="_Toc500135054"/>
      <w:bookmarkStart w:id="392" w:name="_Toc500135517"/>
      <w:bookmarkStart w:id="393" w:name="_Toc500144690"/>
      <w:bookmarkStart w:id="394" w:name="_Toc500145766"/>
      <w:bookmarkStart w:id="395" w:name="_Toc500154349"/>
      <w:bookmarkStart w:id="396" w:name="_Toc500154708"/>
      <w:bookmarkStart w:id="397" w:name="_Toc500155066"/>
      <w:bookmarkStart w:id="398" w:name="_Toc500155456"/>
      <w:bookmarkStart w:id="399" w:name="_Toc500155841"/>
      <w:bookmarkStart w:id="400" w:name="_Toc500156227"/>
      <w:bookmarkStart w:id="401" w:name="_Toc500156613"/>
      <w:bookmarkStart w:id="402" w:name="_Toc500156999"/>
      <w:bookmarkStart w:id="403" w:name="_Toc500157383"/>
      <w:bookmarkStart w:id="404" w:name="_Toc500158190"/>
      <w:bookmarkStart w:id="405" w:name="_Toc500158576"/>
      <w:bookmarkStart w:id="406" w:name="_Toc500158961"/>
      <w:bookmarkStart w:id="407" w:name="_Toc500027400"/>
      <w:bookmarkStart w:id="408" w:name="_Toc500027647"/>
      <w:bookmarkStart w:id="409" w:name="_Toc500077272"/>
      <w:bookmarkStart w:id="410" w:name="_Toc500078616"/>
      <w:bookmarkStart w:id="411" w:name="_Toc500078835"/>
      <w:bookmarkStart w:id="412" w:name="_Toc500079496"/>
      <w:bookmarkStart w:id="413" w:name="_Toc500080016"/>
      <w:bookmarkStart w:id="414" w:name="_Toc500081224"/>
      <w:bookmarkStart w:id="415" w:name="_Toc500081443"/>
      <w:bookmarkStart w:id="416" w:name="_Toc500081662"/>
      <w:bookmarkStart w:id="417" w:name="_Toc500081881"/>
      <w:bookmarkStart w:id="418" w:name="_Toc500082100"/>
      <w:bookmarkStart w:id="419" w:name="_Toc500082319"/>
      <w:bookmarkStart w:id="420" w:name="_Toc500082538"/>
      <w:bookmarkStart w:id="421" w:name="_Toc500082756"/>
      <w:bookmarkStart w:id="422" w:name="_Toc500082974"/>
      <w:bookmarkStart w:id="423" w:name="_Toc500083191"/>
      <w:bookmarkStart w:id="424" w:name="_Toc500083409"/>
      <w:bookmarkStart w:id="425" w:name="_Toc500083627"/>
      <w:bookmarkStart w:id="426" w:name="_Toc500083845"/>
      <w:bookmarkStart w:id="427" w:name="_Toc500084063"/>
      <w:bookmarkStart w:id="428" w:name="_Toc500084283"/>
      <w:bookmarkStart w:id="429" w:name="_Toc500084503"/>
      <w:bookmarkStart w:id="430" w:name="_Toc500084722"/>
      <w:bookmarkStart w:id="431" w:name="_Toc500084942"/>
      <w:bookmarkStart w:id="432" w:name="_Toc500085163"/>
      <w:bookmarkStart w:id="433" w:name="_Toc500135055"/>
      <w:bookmarkStart w:id="434" w:name="_Toc500135518"/>
      <w:bookmarkStart w:id="435" w:name="_Toc500144691"/>
      <w:bookmarkStart w:id="436" w:name="_Toc500145767"/>
      <w:bookmarkStart w:id="437" w:name="_Toc500154350"/>
      <w:bookmarkStart w:id="438" w:name="_Toc500154709"/>
      <w:bookmarkStart w:id="439" w:name="_Toc500155067"/>
      <w:bookmarkStart w:id="440" w:name="_Toc500155457"/>
      <w:bookmarkStart w:id="441" w:name="_Toc500155842"/>
      <w:bookmarkStart w:id="442" w:name="_Toc500156228"/>
      <w:bookmarkStart w:id="443" w:name="_Toc500156614"/>
      <w:bookmarkStart w:id="444" w:name="_Toc500157000"/>
      <w:bookmarkStart w:id="445" w:name="_Toc500157384"/>
      <w:bookmarkStart w:id="446" w:name="_Toc500158191"/>
      <w:bookmarkStart w:id="447" w:name="_Toc500158577"/>
      <w:bookmarkStart w:id="448" w:name="_Toc500158962"/>
      <w:bookmarkStart w:id="449" w:name="_Toc500027401"/>
      <w:bookmarkStart w:id="450" w:name="_Toc500027648"/>
      <w:bookmarkStart w:id="451" w:name="_Toc500077273"/>
      <w:bookmarkStart w:id="452" w:name="_Toc500078617"/>
      <w:bookmarkStart w:id="453" w:name="_Toc500078836"/>
      <w:bookmarkStart w:id="454" w:name="_Toc500079497"/>
      <w:bookmarkStart w:id="455" w:name="_Toc500080017"/>
      <w:bookmarkStart w:id="456" w:name="_Toc500081225"/>
      <w:bookmarkStart w:id="457" w:name="_Toc500081444"/>
      <w:bookmarkStart w:id="458" w:name="_Toc500081663"/>
      <w:bookmarkStart w:id="459" w:name="_Toc500081882"/>
      <w:bookmarkStart w:id="460" w:name="_Toc500082101"/>
      <w:bookmarkStart w:id="461" w:name="_Toc500082320"/>
      <w:bookmarkStart w:id="462" w:name="_Toc500082539"/>
      <w:bookmarkStart w:id="463" w:name="_Toc500082757"/>
      <w:bookmarkStart w:id="464" w:name="_Toc500082975"/>
      <w:bookmarkStart w:id="465" w:name="_Toc500083192"/>
      <w:bookmarkStart w:id="466" w:name="_Toc500083410"/>
      <w:bookmarkStart w:id="467" w:name="_Toc500083628"/>
      <w:bookmarkStart w:id="468" w:name="_Toc500083846"/>
      <w:bookmarkStart w:id="469" w:name="_Toc500084064"/>
      <w:bookmarkStart w:id="470" w:name="_Toc500084284"/>
      <w:bookmarkStart w:id="471" w:name="_Toc500084504"/>
      <w:bookmarkStart w:id="472" w:name="_Toc500084723"/>
      <w:bookmarkStart w:id="473" w:name="_Toc500084943"/>
      <w:bookmarkStart w:id="474" w:name="_Toc500085164"/>
      <w:bookmarkStart w:id="475" w:name="_Toc500135056"/>
      <w:bookmarkStart w:id="476" w:name="_Toc500135519"/>
      <w:bookmarkStart w:id="477" w:name="_Toc500144692"/>
      <w:bookmarkStart w:id="478" w:name="_Toc500145768"/>
      <w:bookmarkStart w:id="479" w:name="_Toc500154351"/>
      <w:bookmarkStart w:id="480" w:name="_Toc500154710"/>
      <w:bookmarkStart w:id="481" w:name="_Toc500155068"/>
      <w:bookmarkStart w:id="482" w:name="_Toc500155458"/>
      <w:bookmarkStart w:id="483" w:name="_Toc500155843"/>
      <w:bookmarkStart w:id="484" w:name="_Toc500156229"/>
      <w:bookmarkStart w:id="485" w:name="_Toc500156615"/>
      <w:bookmarkStart w:id="486" w:name="_Toc500157001"/>
      <w:bookmarkStart w:id="487" w:name="_Toc500157385"/>
      <w:bookmarkStart w:id="488" w:name="_Toc500158192"/>
      <w:bookmarkStart w:id="489" w:name="_Toc500158578"/>
      <w:bookmarkStart w:id="490" w:name="_Toc500158963"/>
      <w:bookmarkStart w:id="491" w:name="_Toc500027402"/>
      <w:bookmarkStart w:id="492" w:name="_Toc500027649"/>
      <w:bookmarkStart w:id="493" w:name="_Toc500077274"/>
      <w:bookmarkStart w:id="494" w:name="_Toc500078618"/>
      <w:bookmarkStart w:id="495" w:name="_Toc500078837"/>
      <w:bookmarkStart w:id="496" w:name="_Toc500079498"/>
      <w:bookmarkStart w:id="497" w:name="_Toc500080018"/>
      <w:bookmarkStart w:id="498" w:name="_Toc500081226"/>
      <w:bookmarkStart w:id="499" w:name="_Toc500081445"/>
      <w:bookmarkStart w:id="500" w:name="_Toc500081664"/>
      <w:bookmarkStart w:id="501" w:name="_Toc500081883"/>
      <w:bookmarkStart w:id="502" w:name="_Toc500082102"/>
      <w:bookmarkStart w:id="503" w:name="_Toc500082321"/>
      <w:bookmarkStart w:id="504" w:name="_Toc500082540"/>
      <w:bookmarkStart w:id="505" w:name="_Toc500082758"/>
      <w:bookmarkStart w:id="506" w:name="_Toc500082976"/>
      <w:bookmarkStart w:id="507" w:name="_Toc500083193"/>
      <w:bookmarkStart w:id="508" w:name="_Toc500083411"/>
      <w:bookmarkStart w:id="509" w:name="_Toc500083629"/>
      <w:bookmarkStart w:id="510" w:name="_Toc500083847"/>
      <w:bookmarkStart w:id="511" w:name="_Toc500084065"/>
      <w:bookmarkStart w:id="512" w:name="_Toc500084285"/>
      <w:bookmarkStart w:id="513" w:name="_Toc500084505"/>
      <w:bookmarkStart w:id="514" w:name="_Toc500084724"/>
      <w:bookmarkStart w:id="515" w:name="_Toc500084944"/>
      <w:bookmarkStart w:id="516" w:name="_Toc500085165"/>
      <w:bookmarkStart w:id="517" w:name="_Toc500135057"/>
      <w:bookmarkStart w:id="518" w:name="_Toc500135520"/>
      <w:bookmarkStart w:id="519" w:name="_Toc500144693"/>
      <w:bookmarkStart w:id="520" w:name="_Toc500145769"/>
      <w:bookmarkStart w:id="521" w:name="_Toc500154352"/>
      <w:bookmarkStart w:id="522" w:name="_Toc500154711"/>
      <w:bookmarkStart w:id="523" w:name="_Toc500155069"/>
      <w:bookmarkStart w:id="524" w:name="_Toc500155459"/>
      <w:bookmarkStart w:id="525" w:name="_Toc500155844"/>
      <w:bookmarkStart w:id="526" w:name="_Toc500156230"/>
      <w:bookmarkStart w:id="527" w:name="_Toc500156616"/>
      <w:bookmarkStart w:id="528" w:name="_Toc500157002"/>
      <w:bookmarkStart w:id="529" w:name="_Toc500157386"/>
      <w:bookmarkStart w:id="530" w:name="_Toc500158193"/>
      <w:bookmarkStart w:id="531" w:name="_Toc500158579"/>
      <w:bookmarkStart w:id="532" w:name="_Toc500158964"/>
      <w:bookmarkStart w:id="533" w:name="_Toc500027403"/>
      <w:bookmarkStart w:id="534" w:name="_Toc500027650"/>
      <w:bookmarkStart w:id="535" w:name="_Toc500077275"/>
      <w:bookmarkStart w:id="536" w:name="_Toc500078619"/>
      <w:bookmarkStart w:id="537" w:name="_Toc500078838"/>
      <w:bookmarkStart w:id="538" w:name="_Toc500079499"/>
      <w:bookmarkStart w:id="539" w:name="_Toc500080019"/>
      <w:bookmarkStart w:id="540" w:name="_Toc500081227"/>
      <w:bookmarkStart w:id="541" w:name="_Toc500081446"/>
      <w:bookmarkStart w:id="542" w:name="_Toc500081665"/>
      <w:bookmarkStart w:id="543" w:name="_Toc500081884"/>
      <w:bookmarkStart w:id="544" w:name="_Toc500082103"/>
      <w:bookmarkStart w:id="545" w:name="_Toc500082322"/>
      <w:bookmarkStart w:id="546" w:name="_Toc500082541"/>
      <w:bookmarkStart w:id="547" w:name="_Toc500082759"/>
      <w:bookmarkStart w:id="548" w:name="_Toc500082977"/>
      <w:bookmarkStart w:id="549" w:name="_Toc500083194"/>
      <w:bookmarkStart w:id="550" w:name="_Toc500083412"/>
      <w:bookmarkStart w:id="551" w:name="_Toc500083630"/>
      <w:bookmarkStart w:id="552" w:name="_Toc500083848"/>
      <w:bookmarkStart w:id="553" w:name="_Toc500084066"/>
      <w:bookmarkStart w:id="554" w:name="_Toc500084286"/>
      <w:bookmarkStart w:id="555" w:name="_Toc500084506"/>
      <w:bookmarkStart w:id="556" w:name="_Toc500084725"/>
      <w:bookmarkStart w:id="557" w:name="_Toc500084945"/>
      <w:bookmarkStart w:id="558" w:name="_Toc500085166"/>
      <w:bookmarkStart w:id="559" w:name="_Toc500135058"/>
      <w:bookmarkStart w:id="560" w:name="_Toc500135521"/>
      <w:bookmarkStart w:id="561" w:name="_Toc500144694"/>
      <w:bookmarkStart w:id="562" w:name="_Toc500145770"/>
      <w:bookmarkStart w:id="563" w:name="_Toc500154353"/>
      <w:bookmarkStart w:id="564" w:name="_Toc500154712"/>
      <w:bookmarkStart w:id="565" w:name="_Toc500155070"/>
      <w:bookmarkStart w:id="566" w:name="_Toc500155460"/>
      <w:bookmarkStart w:id="567" w:name="_Toc500155845"/>
      <w:bookmarkStart w:id="568" w:name="_Toc500156231"/>
      <w:bookmarkStart w:id="569" w:name="_Toc500156617"/>
      <w:bookmarkStart w:id="570" w:name="_Toc500157003"/>
      <w:bookmarkStart w:id="571" w:name="_Toc500157387"/>
      <w:bookmarkStart w:id="572" w:name="_Toc500158194"/>
      <w:bookmarkStart w:id="573" w:name="_Toc500158580"/>
      <w:bookmarkStart w:id="574" w:name="_Toc500158965"/>
      <w:bookmarkStart w:id="575" w:name="_Toc500027404"/>
      <w:bookmarkStart w:id="576" w:name="_Toc500027651"/>
      <w:bookmarkStart w:id="577" w:name="_Toc500077276"/>
      <w:bookmarkStart w:id="578" w:name="_Toc500078620"/>
      <w:bookmarkStart w:id="579" w:name="_Toc500078839"/>
      <w:bookmarkStart w:id="580" w:name="_Toc500079500"/>
      <w:bookmarkStart w:id="581" w:name="_Toc500080020"/>
      <w:bookmarkStart w:id="582" w:name="_Toc500081228"/>
      <w:bookmarkStart w:id="583" w:name="_Toc500081447"/>
      <w:bookmarkStart w:id="584" w:name="_Toc500081666"/>
      <w:bookmarkStart w:id="585" w:name="_Toc500081885"/>
      <w:bookmarkStart w:id="586" w:name="_Toc500082104"/>
      <w:bookmarkStart w:id="587" w:name="_Toc500082323"/>
      <w:bookmarkStart w:id="588" w:name="_Toc500082542"/>
      <w:bookmarkStart w:id="589" w:name="_Toc500082760"/>
      <w:bookmarkStart w:id="590" w:name="_Toc500082978"/>
      <w:bookmarkStart w:id="591" w:name="_Toc500083195"/>
      <w:bookmarkStart w:id="592" w:name="_Toc500083413"/>
      <w:bookmarkStart w:id="593" w:name="_Toc500083631"/>
      <w:bookmarkStart w:id="594" w:name="_Toc500083849"/>
      <w:bookmarkStart w:id="595" w:name="_Toc500084067"/>
      <w:bookmarkStart w:id="596" w:name="_Toc500084287"/>
      <w:bookmarkStart w:id="597" w:name="_Toc500084507"/>
      <w:bookmarkStart w:id="598" w:name="_Toc500084726"/>
      <w:bookmarkStart w:id="599" w:name="_Toc500084946"/>
      <w:bookmarkStart w:id="600" w:name="_Toc500085167"/>
      <w:bookmarkStart w:id="601" w:name="_Toc500135059"/>
      <w:bookmarkStart w:id="602" w:name="_Toc500135522"/>
      <w:bookmarkStart w:id="603" w:name="_Toc500144695"/>
      <w:bookmarkStart w:id="604" w:name="_Toc500145771"/>
      <w:bookmarkStart w:id="605" w:name="_Toc500154354"/>
      <w:bookmarkStart w:id="606" w:name="_Toc500154713"/>
      <w:bookmarkStart w:id="607" w:name="_Toc500155071"/>
      <w:bookmarkStart w:id="608" w:name="_Toc500155461"/>
      <w:bookmarkStart w:id="609" w:name="_Toc500155846"/>
      <w:bookmarkStart w:id="610" w:name="_Toc500156232"/>
      <w:bookmarkStart w:id="611" w:name="_Toc500156618"/>
      <w:bookmarkStart w:id="612" w:name="_Toc500157004"/>
      <w:bookmarkStart w:id="613" w:name="_Toc500157388"/>
      <w:bookmarkStart w:id="614" w:name="_Toc500158195"/>
      <w:bookmarkStart w:id="615" w:name="_Toc500158581"/>
      <w:bookmarkStart w:id="616" w:name="_Toc500158966"/>
      <w:bookmarkStart w:id="617" w:name="_Toc492558845"/>
      <w:bookmarkStart w:id="618" w:name="_Toc492559795"/>
      <w:bookmarkStart w:id="619" w:name="_Toc492558846"/>
      <w:bookmarkStart w:id="620" w:name="_Toc492559796"/>
      <w:bookmarkStart w:id="621" w:name="_Toc492558847"/>
      <w:bookmarkStart w:id="622" w:name="_Toc492559797"/>
      <w:bookmarkStart w:id="623" w:name="_Toc492558848"/>
      <w:bookmarkStart w:id="624" w:name="_Toc492559798"/>
      <w:bookmarkStart w:id="625" w:name="_Toc489012249"/>
      <w:bookmarkStart w:id="626" w:name="_Toc500826004"/>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r w:rsidRPr="008D2A17">
        <w:t xml:space="preserve">The unsynchronised operation in the context of this Report means operation of TDD in several different networks, where at any given moment in time </w:t>
      </w:r>
      <w:r w:rsidR="00AD3D7C" w:rsidRPr="008D2A17">
        <w:t xml:space="preserve">at least one </w:t>
      </w:r>
      <w:r w:rsidRPr="008D2A17">
        <w:t>network transmit</w:t>
      </w:r>
      <w:r w:rsidR="00AD3D7C" w:rsidRPr="008D2A17">
        <w:t>s</w:t>
      </w:r>
      <w:r w:rsidRPr="008D2A17">
        <w:t xml:space="preserve"> in DL </w:t>
      </w:r>
      <w:r w:rsidR="00C805EB" w:rsidRPr="008D2A17">
        <w:t>while at least one</w:t>
      </w:r>
      <w:r w:rsidRPr="008D2A17">
        <w:t xml:space="preserve"> network transmit</w:t>
      </w:r>
      <w:r w:rsidR="00E54960" w:rsidRPr="008D2A17">
        <w:t>s</w:t>
      </w:r>
      <w:r w:rsidRPr="008D2A17">
        <w:t xml:space="preserve"> in UL. This might happen if the TDD networks either do not </w:t>
      </w:r>
      <w:r w:rsidR="000F3CB7" w:rsidRPr="008D2A17">
        <w:rPr>
          <w:rStyle w:val="ECCHLorange"/>
          <w:shd w:val="clear" w:color="auto" w:fill="auto"/>
        </w:rPr>
        <w:t>align all DL and UL transmissions</w:t>
      </w:r>
      <w:r w:rsidR="000F3CB7" w:rsidRPr="00BE123F">
        <w:rPr>
          <w:rStyle w:val="ECCHLorange"/>
          <w:shd w:val="clear" w:color="auto" w:fill="auto"/>
        </w:rPr>
        <w:t xml:space="preserve"> </w:t>
      </w:r>
      <w:r w:rsidRPr="008D2A17">
        <w:t xml:space="preserve">or do not synchronise at the beginning of the frame. </w:t>
      </w:r>
    </w:p>
    <w:p w14:paraId="74C1D505" w14:textId="77777777" w:rsidR="00B46BF8" w:rsidRPr="008D2A17" w:rsidRDefault="00B46BF8" w:rsidP="0067417A">
      <w:pPr>
        <w:pStyle w:val="ECCParagraph"/>
        <w:rPr>
          <w:rStyle w:val="ECCHLunderlined"/>
        </w:rPr>
      </w:pPr>
      <w:r w:rsidRPr="008D2A17">
        <w:rPr>
          <w:rStyle w:val="ECCHLunderlined"/>
        </w:rPr>
        <w:t>Semi-synchronised operation</w:t>
      </w:r>
    </w:p>
    <w:p w14:paraId="4B1619C0" w14:textId="12148068" w:rsidR="00B46BF8" w:rsidRPr="008D2A17" w:rsidRDefault="00B46BF8" w:rsidP="00AB36DE">
      <w:pPr>
        <w:spacing w:after="240"/>
        <w:rPr>
          <w:lang w:val="en-GB"/>
        </w:rPr>
      </w:pPr>
      <w:r w:rsidRPr="008D2A17">
        <w:rPr>
          <w:lang w:val="en-GB"/>
        </w:rPr>
        <w:t>The semi-synchronised operation corresponds to the case where part of the frame is consistent with synchronised operation as described above, while the remaining portion of the frame is consistent with unsynchronised operation as described above. This requires the adoption of a frame structure for all TDD networks involved, including slots w</w:t>
      </w:r>
      <w:r w:rsidR="00777395" w:rsidRPr="008D2A17">
        <w:rPr>
          <w:lang w:val="en-GB"/>
        </w:rPr>
        <w:t>h</w:t>
      </w:r>
      <w:r w:rsidRPr="008D2A17">
        <w:rPr>
          <w:lang w:val="en-GB"/>
        </w:rPr>
        <w:t>ere the UL/DL direction is not specified, as well as synchronising the beginning of the frame across all networks.</w:t>
      </w:r>
    </w:p>
    <w:p w14:paraId="29E6BB2F" w14:textId="378EBE65" w:rsidR="00CF420C" w:rsidRPr="008D2A17" w:rsidRDefault="00584E39" w:rsidP="00B46BF8">
      <w:pPr>
        <w:rPr>
          <w:lang w:val="en-GB"/>
        </w:rPr>
      </w:pPr>
      <w:r w:rsidRPr="008D2A17">
        <w:rPr>
          <w:lang w:val="en-GB"/>
        </w:rPr>
        <w:lastRenderedPageBreak/>
        <w:t xml:space="preserve">The semi-synchronised operation </w:t>
      </w:r>
      <w:r w:rsidR="008809C3" w:rsidRPr="008D2A17">
        <w:rPr>
          <w:lang w:val="en-GB"/>
        </w:rPr>
        <w:t xml:space="preserve">can be </w:t>
      </w:r>
      <w:r w:rsidRPr="008D2A17">
        <w:rPr>
          <w:lang w:val="en-GB"/>
        </w:rPr>
        <w:t>beneficial for small-cells. The interference mitigation techniques necessary for semi-synchroni</w:t>
      </w:r>
      <w:r w:rsidR="00742FCD" w:rsidRPr="008D2A17">
        <w:rPr>
          <w:lang w:val="en-GB"/>
        </w:rPr>
        <w:t>s</w:t>
      </w:r>
      <w:r w:rsidRPr="008D2A17">
        <w:rPr>
          <w:lang w:val="en-GB"/>
        </w:rPr>
        <w:t>ation would be studied at the earliest in 3GPP Release 16. It is expected that not all User Equipment will be able to support this type of operation.</w:t>
      </w:r>
    </w:p>
    <w:p w14:paraId="13A7CB26" w14:textId="7A2AED66" w:rsidR="00B46BF8" w:rsidRPr="008D2A17" w:rsidRDefault="00B46BF8" w:rsidP="00AD7F41">
      <w:pPr>
        <w:pStyle w:val="Heading2"/>
      </w:pPr>
      <w:bookmarkStart w:id="627" w:name="_Toc500931680"/>
      <w:bookmarkStart w:id="628" w:name="_Toc501012924"/>
      <w:bookmarkStart w:id="629" w:name="_Toc514428334"/>
      <w:bookmarkStart w:id="630" w:name="_Toc507766097"/>
      <w:r w:rsidRPr="008D2A17">
        <w:t>Suitability for non</w:t>
      </w:r>
      <w:r w:rsidR="00444A5C" w:rsidRPr="008D2A17">
        <w:t>-</w:t>
      </w:r>
      <w:r w:rsidRPr="008D2A17">
        <w:t>AAS WBB ECS</w:t>
      </w:r>
      <w:bookmarkEnd w:id="625"/>
      <w:bookmarkEnd w:id="626"/>
      <w:bookmarkEnd w:id="627"/>
      <w:bookmarkEnd w:id="628"/>
      <w:bookmarkEnd w:id="629"/>
      <w:bookmarkEnd w:id="630"/>
    </w:p>
    <w:p w14:paraId="272938D0" w14:textId="4AD2698E" w:rsidR="00B46BF8" w:rsidRPr="008D2A17" w:rsidRDefault="00B46BF8" w:rsidP="00B46BF8">
      <w:pPr>
        <w:pStyle w:val="ECCParagraph"/>
      </w:pPr>
      <w:r w:rsidRPr="008D2A17">
        <w:t xml:space="preserve">As described in ECC Report </w:t>
      </w:r>
      <w:r w:rsidR="00EC01E6" w:rsidRPr="008D2A17">
        <w:t xml:space="preserve">281 </w:t>
      </w:r>
      <w:r w:rsidR="0094535F" w:rsidRPr="008D2A17">
        <w:fldChar w:fldCharType="begin"/>
      </w:r>
      <w:r w:rsidR="0094535F" w:rsidRPr="008D2A17">
        <w:instrText xml:space="preserve"> REF _Ref505354114 \r \h </w:instrText>
      </w:r>
      <w:r w:rsidR="00CE0DB1" w:rsidRPr="008D2A17">
        <w:instrText xml:space="preserve"> \* MERGEFORMAT </w:instrText>
      </w:r>
      <w:r w:rsidR="0094535F" w:rsidRPr="008D2A17">
        <w:fldChar w:fldCharType="separate"/>
      </w:r>
      <w:r w:rsidR="00FA5407">
        <w:t>[14]</w:t>
      </w:r>
      <w:r w:rsidR="0094535F" w:rsidRPr="008D2A17">
        <w:fldChar w:fldCharType="end"/>
      </w:r>
      <w:r w:rsidRPr="008D2A17">
        <w:t xml:space="preserve">, the existing baseline and transitional </w:t>
      </w:r>
      <w:r w:rsidR="0075525E" w:rsidRPr="008D2A17">
        <w:t>out-of-block</w:t>
      </w:r>
      <w:r w:rsidRPr="008D2A17">
        <w:t xml:space="preserve"> power limits in the context of interference between adjacent WBB ECS networks are derived from 3GPP specification </w:t>
      </w:r>
      <w:r w:rsidR="001C45AE" w:rsidRPr="008D2A17">
        <w:t xml:space="preserve">TS </w:t>
      </w:r>
      <w:r w:rsidRPr="008D2A17">
        <w:t>37.104</w:t>
      </w:r>
      <w:r w:rsidR="001C45AE" w:rsidRPr="008D2A17">
        <w:t xml:space="preserve"> </w:t>
      </w:r>
      <w:r w:rsidR="001C45AE" w:rsidRPr="008D2A17">
        <w:fldChar w:fldCharType="begin"/>
      </w:r>
      <w:r w:rsidR="001C45AE" w:rsidRPr="008D2A17">
        <w:instrText xml:space="preserve"> REF _Ref505354167 \r \h </w:instrText>
      </w:r>
      <w:r w:rsidR="00CE0DB1" w:rsidRPr="008D2A17">
        <w:instrText xml:space="preserve"> \* MERGEFORMAT </w:instrText>
      </w:r>
      <w:r w:rsidR="001C45AE" w:rsidRPr="008D2A17">
        <w:fldChar w:fldCharType="separate"/>
      </w:r>
      <w:r w:rsidR="00FA5407">
        <w:t>[15]</w:t>
      </w:r>
      <w:r w:rsidR="001C45AE" w:rsidRPr="008D2A17">
        <w:fldChar w:fldCharType="end"/>
      </w:r>
      <w:r w:rsidRPr="008D2A17">
        <w:t>, where unwanted emission requirements are applied per antenna connector. The antenna connector would most likely be connected to a passive antenna array, meaning that the resulting antenna gain is fairly invariant (between different implementations and between wanted and unwanted signals). Hence, using e.i.r.p. as a metric for setting requirements was considered to be suitable, given the passive nature of the antenna array.</w:t>
      </w:r>
    </w:p>
    <w:p w14:paraId="73754C64" w14:textId="77DA35F8" w:rsidR="00B46BF8" w:rsidRPr="008D2A17" w:rsidRDefault="00B46BF8" w:rsidP="00AD7F41">
      <w:pPr>
        <w:pStyle w:val="ECCParagraph"/>
        <w:rPr>
          <w:rStyle w:val="italic"/>
        </w:rPr>
      </w:pPr>
      <w:r w:rsidRPr="008D2A17">
        <w:rPr>
          <w:rStyle w:val="ECCHLorange"/>
          <w:shd w:val="clear" w:color="auto" w:fill="auto"/>
        </w:rPr>
        <w:t>Based on the need to avoid disrupting the usage rights that have been already assigned for non-AAS WBB ECS in the 3400-3800</w:t>
      </w:r>
      <w:r w:rsidR="00AB2111" w:rsidRPr="008D2A17">
        <w:rPr>
          <w:rStyle w:val="ECCHLorange"/>
          <w:shd w:val="clear" w:color="auto" w:fill="auto"/>
        </w:rPr>
        <w:t> MHz</w:t>
      </w:r>
      <w:r w:rsidRPr="008D2A17">
        <w:rPr>
          <w:rStyle w:val="ECCHLorange"/>
          <w:shd w:val="clear" w:color="auto" w:fill="auto"/>
        </w:rPr>
        <w:t xml:space="preserve"> range, it is proposed to maintain the existing in-block and out of block e.i.r.p. limits as specified in EC Decision 2014/276/EU</w:t>
      </w:r>
      <w:r w:rsidR="0094535F" w:rsidRPr="008D2A17">
        <w:rPr>
          <w:rStyle w:val="ECCHLorange"/>
          <w:shd w:val="clear" w:color="auto" w:fill="auto"/>
        </w:rPr>
        <w:t xml:space="preserve"> </w:t>
      </w:r>
      <w:r w:rsidR="00CB2C51">
        <w:fldChar w:fldCharType="begin"/>
      </w:r>
      <w:r w:rsidR="00CB2C51">
        <w:instrText xml:space="preserve"> REF _Ref514428317 \r \h </w:instrText>
      </w:r>
      <w:r w:rsidR="00CB2C51">
        <w:fldChar w:fldCharType="separate"/>
      </w:r>
      <w:r w:rsidR="00FA5407">
        <w:t>[1]</w:t>
      </w:r>
      <w:r w:rsidR="00CB2C51">
        <w:fldChar w:fldCharType="end"/>
      </w:r>
      <w:r w:rsidRPr="008D2A17">
        <w:rPr>
          <w:rStyle w:val="ECCHLorange"/>
          <w:shd w:val="clear" w:color="auto" w:fill="auto"/>
        </w:rPr>
        <w:t>. Therefore</w:t>
      </w:r>
      <w:r w:rsidR="00AF5E3B" w:rsidRPr="008D2A17">
        <w:rPr>
          <w:rStyle w:val="ECCHLorange"/>
          <w:shd w:val="clear" w:color="auto" w:fill="auto"/>
        </w:rPr>
        <w:t>,</w:t>
      </w:r>
      <w:r w:rsidRPr="008D2A17">
        <w:rPr>
          <w:rStyle w:val="ECCHLorange"/>
          <w:shd w:val="clear" w:color="auto" w:fill="auto"/>
        </w:rPr>
        <w:t xml:space="preserve"> all the existing base station requirements are proposed to continue to apply for non-AAS WBB ECS</w:t>
      </w:r>
      <w:r w:rsidR="00AD35F6" w:rsidRPr="008D2A17">
        <w:rPr>
          <w:rStyle w:val="ECCHLorange"/>
          <w:shd w:val="clear" w:color="auto" w:fill="auto"/>
        </w:rPr>
        <w:t>.</w:t>
      </w:r>
    </w:p>
    <w:p w14:paraId="76008772" w14:textId="77777777" w:rsidR="00B46BF8" w:rsidRPr="008D2A17" w:rsidRDefault="00B46BF8" w:rsidP="00AD7F41">
      <w:pPr>
        <w:pStyle w:val="Heading2"/>
      </w:pPr>
      <w:bookmarkStart w:id="631" w:name="_Toc501009251"/>
      <w:bookmarkStart w:id="632" w:name="_Toc501010140"/>
      <w:bookmarkStart w:id="633" w:name="_Toc501009252"/>
      <w:bookmarkStart w:id="634" w:name="_Toc501010141"/>
      <w:bookmarkStart w:id="635" w:name="_Toc501009253"/>
      <w:bookmarkStart w:id="636" w:name="_Toc501010142"/>
      <w:bookmarkStart w:id="637" w:name="_Toc501009254"/>
      <w:bookmarkStart w:id="638" w:name="_Toc501010143"/>
      <w:bookmarkStart w:id="639" w:name="_Toc500965548"/>
      <w:bookmarkStart w:id="640" w:name="_Toc501009255"/>
      <w:bookmarkStart w:id="641" w:name="_Toc501010144"/>
      <w:bookmarkStart w:id="642" w:name="_Toc500135524"/>
      <w:bookmarkStart w:id="643" w:name="_Toc500144697"/>
      <w:bookmarkStart w:id="644" w:name="_Toc500145773"/>
      <w:bookmarkStart w:id="645" w:name="_Toc500154356"/>
      <w:bookmarkStart w:id="646" w:name="_Toc500154715"/>
      <w:bookmarkStart w:id="647" w:name="_Toc500155073"/>
      <w:bookmarkStart w:id="648" w:name="_Toc500155463"/>
      <w:bookmarkStart w:id="649" w:name="_Toc500155848"/>
      <w:bookmarkStart w:id="650" w:name="_Toc500156234"/>
      <w:bookmarkStart w:id="651" w:name="_Toc500156620"/>
      <w:bookmarkStart w:id="652" w:name="_Toc500157006"/>
      <w:bookmarkStart w:id="653" w:name="_Toc500157390"/>
      <w:bookmarkStart w:id="654" w:name="_Toc500158197"/>
      <w:bookmarkStart w:id="655" w:name="_Toc500158583"/>
      <w:bookmarkStart w:id="656" w:name="_Toc500158968"/>
      <w:bookmarkStart w:id="657" w:name="_Toc500135525"/>
      <w:bookmarkStart w:id="658" w:name="_Toc500144698"/>
      <w:bookmarkStart w:id="659" w:name="_Toc500145774"/>
      <w:bookmarkStart w:id="660" w:name="_Toc500154357"/>
      <w:bookmarkStart w:id="661" w:name="_Toc500154716"/>
      <w:bookmarkStart w:id="662" w:name="_Toc500155074"/>
      <w:bookmarkStart w:id="663" w:name="_Toc500155464"/>
      <w:bookmarkStart w:id="664" w:name="_Toc500155849"/>
      <w:bookmarkStart w:id="665" w:name="_Toc500156235"/>
      <w:bookmarkStart w:id="666" w:name="_Toc500156621"/>
      <w:bookmarkStart w:id="667" w:name="_Toc500157007"/>
      <w:bookmarkStart w:id="668" w:name="_Toc500157391"/>
      <w:bookmarkStart w:id="669" w:name="_Toc500158198"/>
      <w:bookmarkStart w:id="670" w:name="_Toc500158584"/>
      <w:bookmarkStart w:id="671" w:name="_Toc500158969"/>
      <w:bookmarkStart w:id="672" w:name="_Toc500135526"/>
      <w:bookmarkStart w:id="673" w:name="_Toc500144699"/>
      <w:bookmarkStart w:id="674" w:name="_Toc500145775"/>
      <w:bookmarkStart w:id="675" w:name="_Toc500154358"/>
      <w:bookmarkStart w:id="676" w:name="_Toc500154717"/>
      <w:bookmarkStart w:id="677" w:name="_Toc500155075"/>
      <w:bookmarkStart w:id="678" w:name="_Toc500155465"/>
      <w:bookmarkStart w:id="679" w:name="_Toc500155850"/>
      <w:bookmarkStart w:id="680" w:name="_Toc500156236"/>
      <w:bookmarkStart w:id="681" w:name="_Toc500156622"/>
      <w:bookmarkStart w:id="682" w:name="_Toc500157008"/>
      <w:bookmarkStart w:id="683" w:name="_Toc500157392"/>
      <w:bookmarkStart w:id="684" w:name="_Toc500158199"/>
      <w:bookmarkStart w:id="685" w:name="_Toc500158585"/>
      <w:bookmarkStart w:id="686" w:name="_Toc500158970"/>
      <w:bookmarkStart w:id="687" w:name="_Toc500135527"/>
      <w:bookmarkStart w:id="688" w:name="_Toc500144700"/>
      <w:bookmarkStart w:id="689" w:name="_Toc500145776"/>
      <w:bookmarkStart w:id="690" w:name="_Toc500154359"/>
      <w:bookmarkStart w:id="691" w:name="_Toc500154718"/>
      <w:bookmarkStart w:id="692" w:name="_Toc500155076"/>
      <w:bookmarkStart w:id="693" w:name="_Toc500155466"/>
      <w:bookmarkStart w:id="694" w:name="_Toc500155851"/>
      <w:bookmarkStart w:id="695" w:name="_Toc500156237"/>
      <w:bookmarkStart w:id="696" w:name="_Toc500156623"/>
      <w:bookmarkStart w:id="697" w:name="_Toc500157009"/>
      <w:bookmarkStart w:id="698" w:name="_Toc500157393"/>
      <w:bookmarkStart w:id="699" w:name="_Toc500158200"/>
      <w:bookmarkStart w:id="700" w:name="_Toc500158586"/>
      <w:bookmarkStart w:id="701" w:name="_Toc500158971"/>
      <w:bookmarkStart w:id="702" w:name="_Toc500135528"/>
      <w:bookmarkStart w:id="703" w:name="_Toc500144701"/>
      <w:bookmarkStart w:id="704" w:name="_Toc500145777"/>
      <w:bookmarkStart w:id="705" w:name="_Toc500154360"/>
      <w:bookmarkStart w:id="706" w:name="_Toc500154719"/>
      <w:bookmarkStart w:id="707" w:name="_Toc500155077"/>
      <w:bookmarkStart w:id="708" w:name="_Toc500155467"/>
      <w:bookmarkStart w:id="709" w:name="_Toc500155852"/>
      <w:bookmarkStart w:id="710" w:name="_Toc500156238"/>
      <w:bookmarkStart w:id="711" w:name="_Toc500156624"/>
      <w:bookmarkStart w:id="712" w:name="_Toc500157010"/>
      <w:bookmarkStart w:id="713" w:name="_Toc500157394"/>
      <w:bookmarkStart w:id="714" w:name="_Toc500158201"/>
      <w:bookmarkStart w:id="715" w:name="_Toc500158587"/>
      <w:bookmarkStart w:id="716" w:name="_Toc500158972"/>
      <w:bookmarkStart w:id="717" w:name="_Toc492558850"/>
      <w:bookmarkStart w:id="718" w:name="_Toc492559800"/>
      <w:bookmarkStart w:id="719" w:name="_Toc489012250"/>
      <w:bookmarkStart w:id="720" w:name="_Ref500822389"/>
      <w:bookmarkStart w:id="721" w:name="_Toc500826005"/>
      <w:bookmarkStart w:id="722" w:name="_Toc500931681"/>
      <w:bookmarkStart w:id="723" w:name="_Toc501012925"/>
      <w:bookmarkStart w:id="724" w:name="_Toc514428335"/>
      <w:bookmarkStart w:id="725" w:name="_Toc507766098"/>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r w:rsidRPr="008D2A17">
        <w:t>Suitability for AAS WBB ECS</w:t>
      </w:r>
      <w:bookmarkEnd w:id="719"/>
      <w:bookmarkEnd w:id="720"/>
      <w:bookmarkEnd w:id="721"/>
      <w:bookmarkEnd w:id="722"/>
      <w:bookmarkEnd w:id="723"/>
      <w:bookmarkEnd w:id="724"/>
      <w:bookmarkEnd w:id="725"/>
    </w:p>
    <w:p w14:paraId="0D5908A5" w14:textId="77777777" w:rsidR="00B46BF8" w:rsidRPr="008D2A17" w:rsidRDefault="00B46BF8" w:rsidP="00C2718C">
      <w:pPr>
        <w:pStyle w:val="Heading3"/>
        <w:rPr>
          <w:rStyle w:val="ECCHLorange"/>
          <w:shd w:val="clear" w:color="auto" w:fill="auto"/>
          <w:lang w:val="en-GB"/>
        </w:rPr>
      </w:pPr>
      <w:bookmarkStart w:id="726" w:name="_Toc500826006"/>
      <w:bookmarkStart w:id="727" w:name="_Toc500931682"/>
      <w:bookmarkStart w:id="728" w:name="_Toc501012926"/>
      <w:bookmarkStart w:id="729" w:name="_Toc514428336"/>
      <w:bookmarkStart w:id="730" w:name="_Toc507766099"/>
      <w:r w:rsidRPr="008D2A17">
        <w:rPr>
          <w:rStyle w:val="ECCHLorange"/>
          <w:shd w:val="clear" w:color="auto" w:fill="auto"/>
          <w:lang w:val="en-GB"/>
        </w:rPr>
        <w:t>Implications from the AAS architecture</w:t>
      </w:r>
      <w:bookmarkEnd w:id="726"/>
      <w:bookmarkEnd w:id="727"/>
      <w:bookmarkEnd w:id="728"/>
      <w:bookmarkEnd w:id="729"/>
      <w:bookmarkEnd w:id="730"/>
    </w:p>
    <w:p w14:paraId="2BAD4888" w14:textId="55B3D975" w:rsidR="00B46BF8" w:rsidRPr="008D2A17" w:rsidRDefault="00B46BF8" w:rsidP="00AD7F41">
      <w:pPr>
        <w:pStyle w:val="ECCParagraph"/>
        <w:rPr>
          <w:rStyle w:val="ECCHLorange"/>
          <w:shd w:val="clear" w:color="auto" w:fill="auto"/>
        </w:rPr>
      </w:pPr>
      <w:r w:rsidRPr="008D2A17">
        <w:rPr>
          <w:rStyle w:val="ECCHLorange"/>
          <w:shd w:val="clear" w:color="auto" w:fill="auto"/>
        </w:rPr>
        <w:t xml:space="preserve">The existing BEM requirements for WBB ECS, including IMT-2000 and IMT-advanced technologies, are described in terms of </w:t>
      </w:r>
      <w:r w:rsidR="007F1AB6">
        <w:rPr>
          <w:rStyle w:val="ECCHLorange"/>
          <w:shd w:val="clear" w:color="auto" w:fill="auto"/>
        </w:rPr>
        <w:t>e.i.r.p.</w:t>
      </w:r>
      <w:r w:rsidRPr="008D2A17">
        <w:rPr>
          <w:rStyle w:val="ECCHLorange"/>
          <w:shd w:val="clear" w:color="auto" w:fill="auto"/>
        </w:rPr>
        <w:t xml:space="preserve"> limits at the spectrum block edge. Some of these requirements (i.e. the restricted </w:t>
      </w:r>
      <w:r w:rsidR="004F5EC3" w:rsidRPr="008D2A17">
        <w:rPr>
          <w:rStyle w:val="ECCHLorange"/>
          <w:shd w:val="clear" w:color="auto" w:fill="auto"/>
        </w:rPr>
        <w:t xml:space="preserve">baseline </w:t>
      </w:r>
      <w:r w:rsidRPr="008D2A17">
        <w:rPr>
          <w:rStyle w:val="ECCHLorange"/>
          <w:shd w:val="clear" w:color="auto" w:fill="auto"/>
        </w:rPr>
        <w:t xml:space="preserve">power limit applying to the </w:t>
      </w:r>
      <w:r w:rsidR="00F638BA" w:rsidRPr="008D2A17">
        <w:rPr>
          <w:rStyle w:val="ECCHLorange"/>
          <w:shd w:val="clear" w:color="auto" w:fill="auto"/>
        </w:rPr>
        <w:t>un</w:t>
      </w:r>
      <w:r w:rsidRPr="008D2A17">
        <w:rPr>
          <w:rStyle w:val="ECCHLorange"/>
          <w:shd w:val="clear" w:color="auto" w:fill="auto"/>
        </w:rPr>
        <w:t xml:space="preserve">synchronised WBB ECSs and the additional </w:t>
      </w:r>
      <w:r w:rsidR="000F6D23" w:rsidRPr="008D2A17">
        <w:rPr>
          <w:rStyle w:val="ECCHLorange"/>
          <w:shd w:val="clear" w:color="auto" w:fill="auto"/>
        </w:rPr>
        <w:t xml:space="preserve">baseline </w:t>
      </w:r>
      <w:r w:rsidRPr="008D2A17">
        <w:rPr>
          <w:rStyle w:val="ECCHLorange"/>
          <w:shd w:val="clear" w:color="auto" w:fill="auto"/>
        </w:rPr>
        <w:t>power limit</w:t>
      </w:r>
      <w:r w:rsidR="000F6D23" w:rsidRPr="008D2A17">
        <w:rPr>
          <w:rStyle w:val="ECCHLorange"/>
          <w:shd w:val="clear" w:color="auto" w:fill="auto"/>
        </w:rPr>
        <w:t>s</w:t>
      </w:r>
      <w:r w:rsidRPr="008D2A17">
        <w:rPr>
          <w:rStyle w:val="ECCHLorange"/>
          <w:shd w:val="clear" w:color="auto" w:fill="auto"/>
        </w:rPr>
        <w:t xml:space="preserve"> defined to protect radar systems below 3400</w:t>
      </w:r>
      <w:r w:rsidR="00AB2111" w:rsidRPr="008D2A17">
        <w:rPr>
          <w:rStyle w:val="ECCHLorange"/>
          <w:shd w:val="clear" w:color="auto" w:fill="auto"/>
        </w:rPr>
        <w:t> MHz</w:t>
      </w:r>
      <w:r w:rsidRPr="008D2A17">
        <w:rPr>
          <w:rStyle w:val="ECCHLorange"/>
          <w:shd w:val="clear" w:color="auto" w:fill="auto"/>
        </w:rPr>
        <w:t>) are not specified in the equipment standard and are used by national regulators as part of WBB ECS license condition</w:t>
      </w:r>
      <w:r w:rsidR="0036528B" w:rsidRPr="008D2A17">
        <w:rPr>
          <w:rStyle w:val="ECCHLorange"/>
          <w:shd w:val="clear" w:color="auto" w:fill="auto"/>
        </w:rPr>
        <w:t>,</w:t>
      </w:r>
      <w:r w:rsidRPr="008D2A17">
        <w:rPr>
          <w:rStyle w:val="ECCHLorange"/>
          <w:shd w:val="clear" w:color="auto" w:fill="auto"/>
        </w:rPr>
        <w:t xml:space="preserve"> therefore representing a regulatory obligation for mobile operators. To respect such regulatory limits</w:t>
      </w:r>
      <w:r w:rsidR="00524103" w:rsidRPr="008D2A17">
        <w:rPr>
          <w:rStyle w:val="ECCHLorange"/>
          <w:shd w:val="clear" w:color="auto" w:fill="auto"/>
        </w:rPr>
        <w:t xml:space="preserve"> in non</w:t>
      </w:r>
      <w:r w:rsidR="00AD35F6" w:rsidRPr="008D2A17">
        <w:rPr>
          <w:rStyle w:val="ECCHLorange"/>
          <w:shd w:val="clear" w:color="auto" w:fill="auto"/>
        </w:rPr>
        <w:t>-</w:t>
      </w:r>
      <w:r w:rsidR="00524103" w:rsidRPr="008D2A17">
        <w:rPr>
          <w:rStyle w:val="ECCHLorange"/>
          <w:shd w:val="clear" w:color="auto" w:fill="auto"/>
        </w:rPr>
        <w:t>AAS</w:t>
      </w:r>
      <w:r w:rsidR="00A66221" w:rsidRPr="008D2A17">
        <w:rPr>
          <w:rStyle w:val="ECCHLorange"/>
          <w:shd w:val="clear" w:color="auto" w:fill="auto"/>
        </w:rPr>
        <w:t xml:space="preserve"> WBB ECS base stations</w:t>
      </w:r>
      <w:r w:rsidRPr="008D2A17">
        <w:rPr>
          <w:rStyle w:val="ECCHLorange"/>
          <w:shd w:val="clear" w:color="auto" w:fill="auto"/>
        </w:rPr>
        <w:t xml:space="preserve">, if needed, mobile operators have the possibility </w:t>
      </w:r>
      <w:r w:rsidR="00A66221" w:rsidRPr="008D2A17">
        <w:rPr>
          <w:rStyle w:val="ECCHLorange"/>
          <w:shd w:val="clear" w:color="auto" w:fill="auto"/>
        </w:rPr>
        <w:t xml:space="preserve">of </w:t>
      </w:r>
      <w:r w:rsidRPr="008D2A17">
        <w:rPr>
          <w:rStyle w:val="ECCHLorange"/>
          <w:shd w:val="clear" w:color="auto" w:fill="auto"/>
        </w:rPr>
        <w:t>install</w:t>
      </w:r>
      <w:r w:rsidR="00A66221" w:rsidRPr="008D2A17">
        <w:rPr>
          <w:rStyle w:val="ECCHLorange"/>
          <w:shd w:val="clear" w:color="auto" w:fill="auto"/>
        </w:rPr>
        <w:t>ing</w:t>
      </w:r>
      <w:r w:rsidRPr="008D2A17">
        <w:rPr>
          <w:rStyle w:val="ECCHLorange"/>
          <w:shd w:val="clear" w:color="auto" w:fill="auto"/>
        </w:rPr>
        <w:t xml:space="preserve"> additional external filter</w:t>
      </w:r>
      <w:r w:rsidR="00A66221" w:rsidRPr="008D2A17">
        <w:rPr>
          <w:rStyle w:val="ECCHLorange"/>
          <w:shd w:val="clear" w:color="auto" w:fill="auto"/>
        </w:rPr>
        <w:t>s</w:t>
      </w:r>
      <w:r w:rsidRPr="008D2A17">
        <w:rPr>
          <w:rStyle w:val="ECCHLorange"/>
          <w:shd w:val="clear" w:color="auto" w:fill="auto"/>
        </w:rPr>
        <w:t xml:space="preserve"> between the base station antenna connector and the antenna.</w:t>
      </w:r>
    </w:p>
    <w:p w14:paraId="31C451CA" w14:textId="77777777" w:rsidR="00B46BF8" w:rsidRPr="008D2A17" w:rsidRDefault="005B451A" w:rsidP="005B451A">
      <w:pPr>
        <w:pStyle w:val="ECCParagraph"/>
        <w:jc w:val="right"/>
        <w:rPr>
          <w:rStyle w:val="ECCHLorange"/>
          <w:shd w:val="clear" w:color="auto" w:fill="auto"/>
        </w:rPr>
      </w:pPr>
      <m:oMath>
        <m:r>
          <m:rPr>
            <m:sty m:val="p"/>
          </m:rPr>
          <w:rPr>
            <w:rStyle w:val="ECCHLorange"/>
            <w:rFonts w:ascii="Cambria Math" w:hAnsi="Cambria Math"/>
            <w:shd w:val="clear" w:color="auto" w:fill="auto"/>
          </w:rPr>
          <m:t>e.i.r.p.  BEM = SEM - Feeder_Loss + Antenna_Gain - Filter_Rejection</m:t>
        </m:r>
      </m:oMath>
      <w:r w:rsidRPr="008D2A17">
        <w:rPr>
          <w:rStyle w:val="ECCHLorange"/>
          <w:shd w:val="clear" w:color="auto" w:fill="auto"/>
        </w:rPr>
        <w:t xml:space="preserve"> </w:t>
      </w:r>
      <w:r w:rsidRPr="008D2A17">
        <w:rPr>
          <w:rStyle w:val="ECCHLorange"/>
          <w:shd w:val="clear" w:color="auto" w:fill="auto"/>
        </w:rPr>
        <w:tab/>
      </w:r>
      <w:r w:rsidRPr="008D2A17">
        <w:rPr>
          <w:rStyle w:val="ECCHLorange"/>
          <w:shd w:val="clear" w:color="auto" w:fill="auto"/>
        </w:rPr>
        <w:tab/>
      </w:r>
      <w:r w:rsidRPr="008D2A17">
        <w:rPr>
          <w:rStyle w:val="ECCHLorange"/>
          <w:shd w:val="clear" w:color="auto" w:fill="auto"/>
        </w:rPr>
        <w:tab/>
        <w:t>(4)</w:t>
      </w:r>
    </w:p>
    <w:p w14:paraId="538277B1" w14:textId="00564B59" w:rsidR="00B46BF8" w:rsidRPr="008D2A17" w:rsidRDefault="00B46BF8" w:rsidP="00AD7F41">
      <w:pPr>
        <w:pStyle w:val="ECCParagraph"/>
        <w:rPr>
          <w:rStyle w:val="ECCHLorange"/>
          <w:shd w:val="clear" w:color="auto" w:fill="auto"/>
        </w:rPr>
      </w:pPr>
      <w:r w:rsidRPr="008D2A17">
        <w:rPr>
          <w:rStyle w:val="ECCHLorange"/>
          <w:shd w:val="clear" w:color="auto" w:fill="auto"/>
        </w:rPr>
        <w:t>In case of AAS base stations, as illustrated below, the antenna arrays are included in the base station without an accessible interface between the AAS system and the base station. Differently from non</w:t>
      </w:r>
      <w:r w:rsidR="00444A5C" w:rsidRPr="008D2A17">
        <w:rPr>
          <w:rStyle w:val="ECCHLorange"/>
          <w:shd w:val="clear" w:color="auto" w:fill="auto"/>
        </w:rPr>
        <w:t>-</w:t>
      </w:r>
      <w:r w:rsidRPr="008D2A17">
        <w:rPr>
          <w:rStyle w:val="ECCHLorange"/>
          <w:shd w:val="clear" w:color="auto" w:fill="auto"/>
        </w:rPr>
        <w:t xml:space="preserve">AAS base stations, </w:t>
      </w:r>
      <w:r w:rsidR="00D033FA" w:rsidRPr="008D2A17">
        <w:rPr>
          <w:rStyle w:val="ECCHLorange"/>
          <w:shd w:val="clear" w:color="auto" w:fill="auto"/>
        </w:rPr>
        <w:t>i</w:t>
      </w:r>
      <w:r w:rsidR="004F72E6" w:rsidRPr="008D2A17">
        <w:rPr>
          <w:rStyle w:val="ECCHLorange"/>
          <w:shd w:val="clear" w:color="auto" w:fill="auto"/>
        </w:rPr>
        <w:t>t is</w:t>
      </w:r>
      <w:r w:rsidRPr="008D2A17">
        <w:rPr>
          <w:rStyle w:val="ECCHLorange"/>
          <w:shd w:val="clear" w:color="auto" w:fill="auto"/>
        </w:rPr>
        <w:t xml:space="preserve"> not </w:t>
      </w:r>
      <w:r w:rsidR="004F72E6" w:rsidRPr="008D2A17">
        <w:rPr>
          <w:rStyle w:val="ECCHLorange"/>
          <w:shd w:val="clear" w:color="auto" w:fill="auto"/>
        </w:rPr>
        <w:t xml:space="preserve">possible </w:t>
      </w:r>
      <w:r w:rsidRPr="008D2A17">
        <w:rPr>
          <w:rStyle w:val="ECCHLorange"/>
          <w:shd w:val="clear" w:color="auto" w:fill="auto"/>
        </w:rPr>
        <w:t>to meet the BEM regulatory limits through the installation of external filters anymore</w:t>
      </w:r>
      <w:r w:rsidR="005B451A" w:rsidRPr="008D2A17">
        <w:rPr>
          <w:rStyle w:val="ECCHLorange"/>
          <w:shd w:val="clear" w:color="auto" w:fill="auto"/>
        </w:rPr>
        <w:t>;</w:t>
      </w:r>
      <w:r w:rsidRPr="008D2A17">
        <w:rPr>
          <w:rStyle w:val="ECCHLorange"/>
          <w:shd w:val="clear" w:color="auto" w:fill="auto"/>
        </w:rPr>
        <w:t xml:space="preserve"> the BEM regulatory requirements must therefore be met by product design. </w:t>
      </w:r>
    </w:p>
    <w:p w14:paraId="4F369BD0" w14:textId="09954105" w:rsidR="00B46BF8" w:rsidRPr="008D2A17" w:rsidRDefault="00B46BF8" w:rsidP="00B46BF8">
      <w:pPr>
        <w:pStyle w:val="Caption"/>
        <w:rPr>
          <w:rStyle w:val="ECCHLorange"/>
          <w:lang w:val="en-GB"/>
        </w:rPr>
      </w:pPr>
      <w:r w:rsidRPr="008D2A17">
        <w:rPr>
          <w:noProof/>
          <w:lang w:eastAsia="da-DK"/>
        </w:rPr>
        <w:drawing>
          <wp:inline distT="0" distB="0" distL="0" distR="0" wp14:anchorId="4AB5808F" wp14:editId="4068ADBD">
            <wp:extent cx="3118113" cy="2234077"/>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46932" cy="2254726"/>
                    </a:xfrm>
                    <a:prstGeom prst="rect">
                      <a:avLst/>
                    </a:prstGeom>
                  </pic:spPr>
                </pic:pic>
              </a:graphicData>
            </a:graphic>
          </wp:inline>
        </w:drawing>
      </w:r>
      <w:r w:rsidRPr="008D2A17">
        <w:rPr>
          <w:lang w:val="en-GB"/>
        </w:rPr>
        <w:br w:type="textWrapping" w:clear="all"/>
        <w:t xml:space="preserve">Figure </w:t>
      </w:r>
      <w:r w:rsidRPr="008D2A17">
        <w:rPr>
          <w:lang w:val="en-GB"/>
        </w:rPr>
        <w:fldChar w:fldCharType="begin"/>
      </w:r>
      <w:r w:rsidRPr="008D2A17">
        <w:rPr>
          <w:lang w:val="en-GB"/>
        </w:rPr>
        <w:instrText xml:space="preserve"> SEQ Figure \* ARABIC </w:instrText>
      </w:r>
      <w:r w:rsidRPr="008D2A17">
        <w:rPr>
          <w:lang w:val="en-GB"/>
        </w:rPr>
        <w:fldChar w:fldCharType="separate"/>
      </w:r>
      <w:r w:rsidR="00FA5407">
        <w:rPr>
          <w:noProof/>
          <w:lang w:val="en-GB"/>
        </w:rPr>
        <w:t>3</w:t>
      </w:r>
      <w:r w:rsidRPr="008D2A17">
        <w:rPr>
          <w:lang w:val="en-GB"/>
        </w:rPr>
        <w:fldChar w:fldCharType="end"/>
      </w:r>
      <w:r w:rsidRPr="008D2A17">
        <w:rPr>
          <w:lang w:val="en-GB"/>
        </w:rPr>
        <w:t>: Reference point for non</w:t>
      </w:r>
      <w:r w:rsidR="00444A5C" w:rsidRPr="008D2A17">
        <w:rPr>
          <w:lang w:val="en-GB"/>
        </w:rPr>
        <w:t>-</w:t>
      </w:r>
      <w:r w:rsidRPr="008D2A17">
        <w:rPr>
          <w:lang w:val="en-GB"/>
        </w:rPr>
        <w:t>AAS vs AAS base station</w:t>
      </w:r>
    </w:p>
    <w:p w14:paraId="7D046495" w14:textId="7EEF1D04" w:rsidR="00B46BF8" w:rsidRPr="00BE123F" w:rsidRDefault="00B46BF8" w:rsidP="00AD7F41">
      <w:pPr>
        <w:pStyle w:val="ECCParagraph"/>
        <w:rPr>
          <w:rStyle w:val="ECCHLorange"/>
          <w:shd w:val="clear" w:color="auto" w:fill="auto"/>
        </w:rPr>
      </w:pPr>
      <w:r w:rsidRPr="008D2A17">
        <w:rPr>
          <w:rStyle w:val="ECCHLorange"/>
          <w:shd w:val="clear" w:color="auto" w:fill="auto"/>
        </w:rPr>
        <w:lastRenderedPageBreak/>
        <w:t xml:space="preserve">Given the need to implement any additional filtering inside the AAS base station itself the additional baseline power limits need to be harmonised across </w:t>
      </w:r>
      <w:r w:rsidR="001C45AE" w:rsidRPr="008D2A17">
        <w:rPr>
          <w:rStyle w:val="ECCHLorange"/>
          <w:shd w:val="clear" w:color="auto" w:fill="auto"/>
        </w:rPr>
        <w:t xml:space="preserve">Member States </w:t>
      </w:r>
      <w:r w:rsidRPr="008D2A17">
        <w:rPr>
          <w:rStyle w:val="ECCHLorange"/>
          <w:shd w:val="clear" w:color="auto" w:fill="auto"/>
        </w:rPr>
        <w:t>as much as possible in order to avoid country-specific or even operator-specific implementations which would not be able to rely on significant economies of scale and would therefore not be commercially viable.</w:t>
      </w:r>
    </w:p>
    <w:p w14:paraId="478D1939" w14:textId="0012E409" w:rsidR="008809C3" w:rsidRPr="008D2A17" w:rsidRDefault="008809C3" w:rsidP="00BE123F">
      <w:pPr>
        <w:pStyle w:val="Heading3"/>
        <w:rPr>
          <w:rStyle w:val="ECCHLorange"/>
          <w:rFonts w:cs="Times New Roman"/>
          <w:bCs w:val="0"/>
          <w:szCs w:val="24"/>
          <w:shd w:val="clear" w:color="auto" w:fill="auto"/>
          <w:lang w:val="en-GB"/>
        </w:rPr>
      </w:pPr>
      <w:bookmarkStart w:id="731" w:name="_Toc514428337"/>
      <w:bookmarkStart w:id="732" w:name="_Toc500851051"/>
      <w:bookmarkStart w:id="733" w:name="_Toc500826014"/>
      <w:bookmarkStart w:id="734" w:name="_Toc500931685"/>
      <w:bookmarkStart w:id="735" w:name="_Toc501012929"/>
      <w:bookmarkStart w:id="736" w:name="_Toc507766101"/>
      <w:r w:rsidRPr="008D2A17">
        <w:rPr>
          <w:rStyle w:val="ECCHLorange"/>
          <w:shd w:val="clear" w:color="auto" w:fill="auto"/>
          <w:lang w:val="en-GB"/>
        </w:rPr>
        <w:t>TRP metric vs. e.i.r.p. metric</w:t>
      </w:r>
      <w:bookmarkEnd w:id="731"/>
      <w:bookmarkEnd w:id="732"/>
      <w:bookmarkEnd w:id="733"/>
      <w:bookmarkEnd w:id="734"/>
      <w:bookmarkEnd w:id="735"/>
      <w:bookmarkEnd w:id="736"/>
    </w:p>
    <w:p w14:paraId="0B0D81A4" w14:textId="77777777" w:rsidR="008809C3" w:rsidRPr="008D2A17" w:rsidRDefault="008809C3" w:rsidP="008809C3">
      <w:pPr>
        <w:pStyle w:val="ECCParagraph"/>
      </w:pPr>
      <w:r w:rsidRPr="008D2A17">
        <w:t>A second item to be addressed is related to the most appropriate metric to characterise the unwanted emissions from AAS.</w:t>
      </w:r>
    </w:p>
    <w:p w14:paraId="20333391" w14:textId="72BC5514" w:rsidR="008809C3" w:rsidRPr="008D2A17" w:rsidRDefault="008809C3" w:rsidP="008809C3">
      <w:pPr>
        <w:pStyle w:val="ECCParagraph"/>
      </w:pPr>
      <w:r w:rsidRPr="008D2A17">
        <w:t xml:space="preserve">The use of TRP for specification of emission limits is illustrated in </w:t>
      </w:r>
      <w:r w:rsidR="00CB2C51">
        <w:fldChar w:fldCharType="begin"/>
      </w:r>
      <w:r w:rsidR="00CB2C51">
        <w:instrText xml:space="preserve"> REF _Ref514428405 \h </w:instrText>
      </w:r>
      <w:r w:rsidR="00CB2C51">
        <w:fldChar w:fldCharType="separate"/>
      </w:r>
      <w:r w:rsidR="00CB2C51" w:rsidRPr="008D2A17">
        <w:t xml:space="preserve">Figure </w:t>
      </w:r>
      <w:r w:rsidR="00CB2C51">
        <w:rPr>
          <w:noProof/>
        </w:rPr>
        <w:t>4</w:t>
      </w:r>
      <w:r w:rsidR="00CB2C51">
        <w:fldChar w:fldCharType="end"/>
      </w:r>
      <w:r w:rsidR="00CB2C51">
        <w:t xml:space="preserve"> </w:t>
      </w:r>
      <w:r w:rsidRPr="008D2A17">
        <w:t>below. Each of the depicted examples of radiation patterns correspond to the same TRP (i.e. each example is associated with the same area in the two-dimensional diagram).</w:t>
      </w:r>
    </w:p>
    <w:p w14:paraId="674E03FC" w14:textId="2BB7C3A4" w:rsidR="008809C3" w:rsidRPr="008D2A17" w:rsidRDefault="008809C3" w:rsidP="008809C3">
      <w:pPr>
        <w:pStyle w:val="Caption"/>
        <w:rPr>
          <w:lang w:val="en-GB"/>
        </w:rPr>
      </w:pPr>
      <w:bookmarkStart w:id="737" w:name="_Ref500244538"/>
      <w:r w:rsidRPr="008D2A17">
        <w:rPr>
          <w:noProof/>
          <w:lang w:eastAsia="da-DK"/>
        </w:rPr>
        <w:drawing>
          <wp:inline distT="0" distB="0" distL="0" distR="0" wp14:anchorId="5562B7BF" wp14:editId="6CCD00E7">
            <wp:extent cx="3101340" cy="2472369"/>
            <wp:effectExtent l="0" t="0" r="381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104640" cy="2475000"/>
                    </a:xfrm>
                    <a:prstGeom prst="rect">
                      <a:avLst/>
                    </a:prstGeom>
                  </pic:spPr>
                </pic:pic>
              </a:graphicData>
            </a:graphic>
          </wp:inline>
        </w:drawing>
      </w:r>
      <w:bookmarkStart w:id="738" w:name="_Ref505352943"/>
    </w:p>
    <w:p w14:paraId="36FBD13C" w14:textId="77777777" w:rsidR="008809C3" w:rsidRPr="008D2A17" w:rsidRDefault="008809C3" w:rsidP="008809C3">
      <w:pPr>
        <w:pStyle w:val="Caption"/>
        <w:rPr>
          <w:lang w:val="en-GB"/>
        </w:rPr>
      </w:pPr>
      <w:bookmarkStart w:id="739" w:name="_Ref514428405"/>
      <w:bookmarkStart w:id="740" w:name="_Ref505353002"/>
      <w:r w:rsidRPr="008D2A17">
        <w:rPr>
          <w:lang w:val="en-GB"/>
        </w:rPr>
        <w:t xml:space="preserve">Figure </w:t>
      </w:r>
      <w:r w:rsidRPr="008D2A17">
        <w:rPr>
          <w:lang w:val="en-GB"/>
        </w:rPr>
        <w:fldChar w:fldCharType="begin"/>
      </w:r>
      <w:r w:rsidRPr="008D2A17">
        <w:rPr>
          <w:lang w:val="en-GB"/>
        </w:rPr>
        <w:instrText xml:space="preserve"> SEQ Figure \* ARABIC </w:instrText>
      </w:r>
      <w:r w:rsidRPr="008D2A17">
        <w:rPr>
          <w:lang w:val="en-GB"/>
        </w:rPr>
        <w:fldChar w:fldCharType="separate"/>
      </w:r>
      <w:r w:rsidR="00FA5407">
        <w:rPr>
          <w:noProof/>
          <w:lang w:val="en-GB"/>
        </w:rPr>
        <w:t>4</w:t>
      </w:r>
      <w:r w:rsidRPr="008D2A17">
        <w:rPr>
          <w:noProof/>
          <w:lang w:val="en-GB"/>
        </w:rPr>
        <w:fldChar w:fldCharType="end"/>
      </w:r>
      <w:bookmarkEnd w:id="737"/>
      <w:bookmarkEnd w:id="738"/>
      <w:bookmarkEnd w:id="739"/>
      <w:bookmarkEnd w:id="740"/>
      <w:r w:rsidRPr="008D2A17">
        <w:rPr>
          <w:lang w:val="en-GB"/>
        </w:rPr>
        <w:t>: An illustration of the use of TRP for specification of emission limits</w:t>
      </w:r>
    </w:p>
    <w:p w14:paraId="7596B9D8" w14:textId="77777777" w:rsidR="008809C3" w:rsidRPr="008D2A17" w:rsidRDefault="008809C3" w:rsidP="008809C3">
      <w:pPr>
        <w:pStyle w:val="ECCParagraph"/>
      </w:pPr>
      <w:r w:rsidRPr="008D2A17">
        <w:t>As illustrated above, in terms of impact to adjacent systems (base station downlink direction), for the same total maximum conducted power, adopting a larger number of base station antennas may lead to high values of peak e.i.r.p., although the total radiated power (TRP) will remain unchanged. Least restrictive regulatory technical conditions for AAS WBB ECS base stations should account for this behaviour.</w:t>
      </w:r>
    </w:p>
    <w:p w14:paraId="36391937" w14:textId="43D92360" w:rsidR="008809C3" w:rsidRPr="00BE123F" w:rsidRDefault="008809C3" w:rsidP="00AD7F41">
      <w:pPr>
        <w:pStyle w:val="ECCParagraph"/>
        <w:rPr>
          <w:rStyle w:val="ECCHLcyan"/>
          <w:shd w:val="solid" w:color="FFC000" w:fill="auto"/>
        </w:rPr>
      </w:pPr>
      <w:r w:rsidRPr="008D2A17">
        <w:t xml:space="preserve">ECC </w:t>
      </w:r>
      <w:r w:rsidR="00B4183D">
        <w:t>R</w:t>
      </w:r>
      <w:r w:rsidRPr="008D2A17">
        <w:t xml:space="preserve">eport 281 </w:t>
      </w:r>
      <w:r w:rsidR="00B4183D">
        <w:fldChar w:fldCharType="begin"/>
      </w:r>
      <w:r w:rsidR="00B4183D">
        <w:instrText xml:space="preserve"> REF _Ref505354114 \r \h </w:instrText>
      </w:r>
      <w:r w:rsidR="00B4183D">
        <w:fldChar w:fldCharType="separate"/>
      </w:r>
      <w:r w:rsidR="00FA5407">
        <w:t>[14]</w:t>
      </w:r>
      <w:r w:rsidR="00B4183D">
        <w:fldChar w:fldCharType="end"/>
      </w:r>
      <w:r w:rsidR="00B4183D">
        <w:t xml:space="preserve"> </w:t>
      </w:r>
      <w:r w:rsidRPr="008D2A17">
        <w:t>explains why, in the context of AAS base stations, it would be appropriate to specify any amended regulatory limits as TRP.</w:t>
      </w:r>
    </w:p>
    <w:p w14:paraId="2C93A928" w14:textId="77777777" w:rsidR="00B46BF8" w:rsidRPr="008D2A17" w:rsidRDefault="00B46BF8" w:rsidP="00C2718C">
      <w:pPr>
        <w:pStyle w:val="Heading3"/>
        <w:rPr>
          <w:lang w:val="en-GB"/>
        </w:rPr>
      </w:pPr>
      <w:bookmarkStart w:id="741" w:name="_Toc492558854"/>
      <w:bookmarkStart w:id="742" w:name="_Toc492559805"/>
      <w:bookmarkStart w:id="743" w:name="_Toc492558855"/>
      <w:bookmarkStart w:id="744" w:name="_Toc492559806"/>
      <w:bookmarkStart w:id="745" w:name="_Toc492558856"/>
      <w:bookmarkStart w:id="746" w:name="_Toc492559807"/>
      <w:bookmarkStart w:id="747" w:name="_Toc492558857"/>
      <w:bookmarkStart w:id="748" w:name="_Toc492559808"/>
      <w:bookmarkStart w:id="749" w:name="_Toc492558858"/>
      <w:bookmarkStart w:id="750" w:name="_Toc492559809"/>
      <w:bookmarkStart w:id="751" w:name="_Toc492558859"/>
      <w:bookmarkStart w:id="752" w:name="_Toc492559810"/>
      <w:bookmarkStart w:id="753" w:name="_Toc492558860"/>
      <w:bookmarkStart w:id="754" w:name="_Toc492559811"/>
      <w:bookmarkStart w:id="755" w:name="_Toc492558861"/>
      <w:bookmarkStart w:id="756" w:name="_Toc492559812"/>
      <w:bookmarkStart w:id="757" w:name="_Toc492558862"/>
      <w:bookmarkStart w:id="758" w:name="_Toc492559813"/>
      <w:bookmarkStart w:id="759" w:name="_Toc492558863"/>
      <w:bookmarkStart w:id="760" w:name="_Toc492559814"/>
      <w:bookmarkStart w:id="761" w:name="_Toc492558864"/>
      <w:bookmarkStart w:id="762" w:name="_Toc492559815"/>
      <w:bookmarkStart w:id="763" w:name="_Toc492558865"/>
      <w:bookmarkStart w:id="764" w:name="_Toc492559816"/>
      <w:bookmarkStart w:id="765" w:name="_Toc492558866"/>
      <w:bookmarkStart w:id="766" w:name="_Toc492559817"/>
      <w:bookmarkStart w:id="767" w:name="_Toc492558867"/>
      <w:bookmarkStart w:id="768" w:name="_Toc492559818"/>
      <w:bookmarkStart w:id="769" w:name="_Toc492558868"/>
      <w:bookmarkStart w:id="770" w:name="_Toc492559819"/>
      <w:bookmarkStart w:id="771" w:name="_Toc492558869"/>
      <w:bookmarkStart w:id="772" w:name="_Toc492559820"/>
      <w:bookmarkStart w:id="773" w:name="_Toc492558870"/>
      <w:bookmarkStart w:id="774" w:name="_Toc492559821"/>
      <w:bookmarkStart w:id="775" w:name="_Toc492558871"/>
      <w:bookmarkStart w:id="776" w:name="_Toc492559822"/>
      <w:bookmarkStart w:id="777" w:name="_Toc492558872"/>
      <w:bookmarkStart w:id="778" w:name="_Toc492559823"/>
      <w:bookmarkStart w:id="779" w:name="_Toc492558873"/>
      <w:bookmarkStart w:id="780" w:name="_Toc492559824"/>
      <w:bookmarkStart w:id="781" w:name="_Toc492558874"/>
      <w:bookmarkStart w:id="782" w:name="_Toc492559825"/>
      <w:bookmarkStart w:id="783" w:name="_Toc492558875"/>
      <w:bookmarkStart w:id="784" w:name="_Toc492559826"/>
      <w:bookmarkStart w:id="785" w:name="_Toc492558876"/>
      <w:bookmarkStart w:id="786" w:name="_Toc492559827"/>
      <w:bookmarkStart w:id="787" w:name="_Toc492558877"/>
      <w:bookmarkStart w:id="788" w:name="_Toc492559828"/>
      <w:bookmarkStart w:id="789" w:name="_Toc492558878"/>
      <w:bookmarkStart w:id="790" w:name="_Toc492559829"/>
      <w:bookmarkStart w:id="791" w:name="_Toc492558879"/>
      <w:bookmarkStart w:id="792" w:name="_Toc492559830"/>
      <w:bookmarkStart w:id="793" w:name="_Toc492558880"/>
      <w:bookmarkStart w:id="794" w:name="_Toc492559831"/>
      <w:bookmarkStart w:id="795" w:name="_Toc492558881"/>
      <w:bookmarkStart w:id="796" w:name="_Toc492559832"/>
      <w:bookmarkStart w:id="797" w:name="_Toc492558882"/>
      <w:bookmarkStart w:id="798" w:name="_Toc492559833"/>
      <w:bookmarkStart w:id="799" w:name="_Toc492558883"/>
      <w:bookmarkStart w:id="800" w:name="_Toc492559834"/>
      <w:bookmarkStart w:id="801" w:name="_Toc492558884"/>
      <w:bookmarkStart w:id="802" w:name="_Toc492559835"/>
      <w:bookmarkStart w:id="803" w:name="_Toc492558885"/>
      <w:bookmarkStart w:id="804" w:name="_Toc492559836"/>
      <w:bookmarkStart w:id="805" w:name="_Toc492558886"/>
      <w:bookmarkStart w:id="806" w:name="_Toc492559837"/>
      <w:bookmarkStart w:id="807" w:name="_Toc492558887"/>
      <w:bookmarkStart w:id="808" w:name="_Toc492559838"/>
      <w:bookmarkStart w:id="809" w:name="_Toc492558888"/>
      <w:bookmarkStart w:id="810" w:name="_Toc492559839"/>
      <w:bookmarkStart w:id="811" w:name="_Toc492558889"/>
      <w:bookmarkStart w:id="812" w:name="_Toc492559840"/>
      <w:bookmarkStart w:id="813" w:name="_Toc492558890"/>
      <w:bookmarkStart w:id="814" w:name="_Toc492559841"/>
      <w:bookmarkStart w:id="815" w:name="_Toc492558891"/>
      <w:bookmarkStart w:id="816" w:name="_Toc492559842"/>
      <w:bookmarkStart w:id="817" w:name="_Toc492558892"/>
      <w:bookmarkStart w:id="818" w:name="_Toc492559843"/>
      <w:bookmarkStart w:id="819" w:name="_Toc492558893"/>
      <w:bookmarkStart w:id="820" w:name="_Toc492559844"/>
      <w:bookmarkStart w:id="821" w:name="_Toc492558894"/>
      <w:bookmarkStart w:id="822" w:name="_Toc492559845"/>
      <w:bookmarkStart w:id="823" w:name="_Toc492558895"/>
      <w:bookmarkStart w:id="824" w:name="_Toc492559846"/>
      <w:bookmarkStart w:id="825" w:name="_Toc492558896"/>
      <w:bookmarkStart w:id="826" w:name="_Toc492559847"/>
      <w:bookmarkStart w:id="827" w:name="_Toc492558897"/>
      <w:bookmarkStart w:id="828" w:name="_Toc492559848"/>
      <w:bookmarkStart w:id="829" w:name="_Toc492558898"/>
      <w:bookmarkStart w:id="830" w:name="_Toc492559849"/>
      <w:bookmarkStart w:id="831" w:name="_Toc492558899"/>
      <w:bookmarkStart w:id="832" w:name="_Toc492559850"/>
      <w:bookmarkStart w:id="833" w:name="_Toc492558900"/>
      <w:bookmarkStart w:id="834" w:name="_Toc492559851"/>
      <w:bookmarkStart w:id="835" w:name="_Toc492558901"/>
      <w:bookmarkStart w:id="836" w:name="_Toc492559852"/>
      <w:bookmarkStart w:id="837" w:name="_Toc492558902"/>
      <w:bookmarkStart w:id="838" w:name="_Toc492559853"/>
      <w:bookmarkStart w:id="839" w:name="_Toc492558903"/>
      <w:bookmarkStart w:id="840" w:name="_Toc492559854"/>
      <w:bookmarkStart w:id="841" w:name="_Toc492558904"/>
      <w:bookmarkStart w:id="842" w:name="_Toc492559855"/>
      <w:bookmarkStart w:id="843" w:name="_Toc492558905"/>
      <w:bookmarkStart w:id="844" w:name="_Toc492559856"/>
      <w:bookmarkStart w:id="845" w:name="_Toc492558906"/>
      <w:bookmarkStart w:id="846" w:name="_Toc492559857"/>
      <w:bookmarkStart w:id="847" w:name="_Toc492558907"/>
      <w:bookmarkStart w:id="848" w:name="_Toc492559858"/>
      <w:bookmarkStart w:id="849" w:name="_Toc492558908"/>
      <w:bookmarkStart w:id="850" w:name="_Toc492559859"/>
      <w:bookmarkStart w:id="851" w:name="_Toc492558909"/>
      <w:bookmarkStart w:id="852" w:name="_Toc492559860"/>
      <w:bookmarkStart w:id="853" w:name="_Toc489010390"/>
      <w:bookmarkStart w:id="854" w:name="_Toc489010694"/>
      <w:bookmarkStart w:id="855" w:name="_Toc489011764"/>
      <w:bookmarkStart w:id="856" w:name="_Toc489012087"/>
      <w:bookmarkStart w:id="857" w:name="_Toc489012403"/>
      <w:bookmarkStart w:id="858" w:name="_Toc489012251"/>
      <w:bookmarkStart w:id="859" w:name="_Toc500851049"/>
      <w:bookmarkStart w:id="860" w:name="_Toc500826012"/>
      <w:bookmarkStart w:id="861" w:name="_Toc500931683"/>
      <w:bookmarkStart w:id="862" w:name="_Toc501012927"/>
      <w:bookmarkStart w:id="863" w:name="_Toc514428338"/>
      <w:bookmarkStart w:id="864" w:name="_Toc489012404"/>
      <w:bookmarkStart w:id="865" w:name="_Toc500247352"/>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r w:rsidRPr="008D2A17">
        <w:rPr>
          <w:lang w:val="en-GB"/>
        </w:rPr>
        <w:t xml:space="preserve">Out-of-block power limits: Interference between synchronised </w:t>
      </w:r>
      <w:r w:rsidR="008A1679" w:rsidRPr="008D2A17">
        <w:rPr>
          <w:lang w:val="en-GB"/>
        </w:rPr>
        <w:t>WBB ECS</w:t>
      </w:r>
      <w:bookmarkEnd w:id="858"/>
      <w:bookmarkEnd w:id="859"/>
      <w:bookmarkEnd w:id="860"/>
      <w:bookmarkEnd w:id="861"/>
      <w:bookmarkEnd w:id="862"/>
      <w:bookmarkEnd w:id="863"/>
    </w:p>
    <w:p w14:paraId="5681C526" w14:textId="46FBD7AA" w:rsidR="00B46BF8" w:rsidRPr="008D2A17" w:rsidRDefault="00B46BF8" w:rsidP="00AD7F41">
      <w:pPr>
        <w:pStyle w:val="ECCParagraph"/>
      </w:pPr>
      <w:r w:rsidRPr="008D2A17">
        <w:t xml:space="preserve">EC Decision 2014/276/EU </w:t>
      </w:r>
      <w:r w:rsidR="00CB2C51">
        <w:fldChar w:fldCharType="begin"/>
      </w:r>
      <w:r w:rsidR="00CB2C51">
        <w:instrText xml:space="preserve"> REF _Ref514428317 \r \h </w:instrText>
      </w:r>
      <w:r w:rsidR="00CB2C51">
        <w:fldChar w:fldCharType="separate"/>
      </w:r>
      <w:r w:rsidR="00FA5407">
        <w:t>[1]</w:t>
      </w:r>
      <w:r w:rsidR="00CB2C51">
        <w:fldChar w:fldCharType="end"/>
      </w:r>
      <w:r w:rsidR="0094535F" w:rsidRPr="008D2A17">
        <w:t xml:space="preserve"> </w:t>
      </w:r>
      <w:r w:rsidRPr="008D2A17">
        <w:t xml:space="preserve">proposes two different BEMs for coexistence of </w:t>
      </w:r>
      <w:r w:rsidR="008A1679" w:rsidRPr="008D2A17">
        <w:t>WBB ECS</w:t>
      </w:r>
      <w:r w:rsidRPr="008D2A17">
        <w:t xml:space="preserve"> network in adjacent blocks:</w:t>
      </w:r>
      <w:r w:rsidR="0036528B" w:rsidRPr="008D2A17">
        <w:t xml:space="preserve"> o</w:t>
      </w:r>
      <w:r w:rsidRPr="008D2A17">
        <w:t>ne power limit (the "baseline" power limit) applies to the coexistence of networks in synchroni</w:t>
      </w:r>
      <w:r w:rsidR="00742FCD" w:rsidRPr="008D2A17">
        <w:t>s</w:t>
      </w:r>
      <w:r w:rsidRPr="008D2A17">
        <w:t xml:space="preserve">ed operation, while a more stringent power limit (the "restricted baseline" power limit) is defined for </w:t>
      </w:r>
      <w:r w:rsidR="00AD35F6" w:rsidRPr="008D2A17">
        <w:rPr>
          <w:rStyle w:val="ECCHLorange"/>
          <w:shd w:val="clear" w:color="auto" w:fill="auto"/>
        </w:rPr>
        <w:t>un</w:t>
      </w:r>
      <w:r w:rsidRPr="008D2A17">
        <w:rPr>
          <w:rStyle w:val="ECCHLorange"/>
          <w:shd w:val="clear" w:color="auto" w:fill="auto"/>
        </w:rPr>
        <w:t>synchronised</w:t>
      </w:r>
      <w:r w:rsidRPr="008D2A17">
        <w:t xml:space="preserve"> </w:t>
      </w:r>
      <w:r w:rsidR="009546F9" w:rsidRPr="008D2A17">
        <w:t xml:space="preserve">and semi-synchronised </w:t>
      </w:r>
      <w:r w:rsidRPr="008D2A17">
        <w:t xml:space="preserve">networks coexistence (see definition in section </w:t>
      </w:r>
      <w:r w:rsidRPr="008D2A17">
        <w:fldChar w:fldCharType="begin"/>
      </w:r>
      <w:r w:rsidRPr="008D2A17">
        <w:instrText xml:space="preserve"> REF _Ref501007297 \r \h </w:instrText>
      </w:r>
      <w:r w:rsidR="00AD7F41" w:rsidRPr="008D2A17">
        <w:instrText xml:space="preserve"> \* MERGEFORMAT </w:instrText>
      </w:r>
      <w:r w:rsidRPr="008D2A17">
        <w:fldChar w:fldCharType="separate"/>
      </w:r>
      <w:r w:rsidR="00FA5407">
        <w:t>4.2.4</w:t>
      </w:r>
      <w:r w:rsidRPr="008D2A17">
        <w:fldChar w:fldCharType="end"/>
      </w:r>
      <w:r w:rsidRPr="008D2A17">
        <w:t>).</w:t>
      </w:r>
    </w:p>
    <w:p w14:paraId="4B753346" w14:textId="77777777" w:rsidR="00B46BF8" w:rsidRPr="008D2A17" w:rsidRDefault="00B46BF8" w:rsidP="00AD7F41">
      <w:pPr>
        <w:pStyle w:val="ECCParagraph"/>
      </w:pPr>
      <w:r w:rsidRPr="008D2A17">
        <w:t xml:space="preserve">In this section, we address the suitability of the two “transitional region” power limits and the “baseline” power limit, which apply to synchronised TDD base stations. </w:t>
      </w:r>
    </w:p>
    <w:p w14:paraId="6A3CD08E" w14:textId="026F7A85" w:rsidR="00B46BF8" w:rsidRPr="00BE123F" w:rsidRDefault="00B46BF8" w:rsidP="00BE123F">
      <w:pPr>
        <w:pStyle w:val="ECCParagraph"/>
      </w:pPr>
      <w:r w:rsidRPr="00BF1CA6">
        <w:t xml:space="preserve">ECC Report </w:t>
      </w:r>
      <w:r w:rsidR="00EC01E6" w:rsidRPr="00BF1CA6">
        <w:t xml:space="preserve">281 </w:t>
      </w:r>
      <w:r w:rsidR="0094535F" w:rsidRPr="008D2A17">
        <w:rPr>
          <w:rFonts w:eastAsia="Calibri"/>
          <w:szCs w:val="22"/>
          <w:lang w:val="da-DK" w:eastAsia="de-DE"/>
        </w:rPr>
        <w:fldChar w:fldCharType="begin"/>
      </w:r>
      <w:r w:rsidR="0094535F" w:rsidRPr="00BF1CA6">
        <w:instrText xml:space="preserve"> REF _Ref505354114 \r \h </w:instrText>
      </w:r>
      <w:r w:rsidR="00EC01E6" w:rsidRPr="00BF1CA6">
        <w:instrText xml:space="preserve"> \* MERGEFORMAT </w:instrText>
      </w:r>
      <w:r w:rsidR="0094535F" w:rsidRPr="008D2A17">
        <w:rPr>
          <w:rFonts w:eastAsia="Calibri"/>
          <w:szCs w:val="22"/>
          <w:lang w:val="da-DK" w:eastAsia="de-DE"/>
        </w:rPr>
      </w:r>
      <w:r w:rsidR="0094535F" w:rsidRPr="008D2A17">
        <w:rPr>
          <w:rFonts w:eastAsia="Calibri"/>
          <w:szCs w:val="22"/>
          <w:lang w:val="da-DK" w:eastAsia="de-DE"/>
        </w:rPr>
        <w:fldChar w:fldCharType="separate"/>
      </w:r>
      <w:r w:rsidR="00FA5407">
        <w:t>[14]</w:t>
      </w:r>
      <w:r w:rsidR="0094535F" w:rsidRPr="008D2A17">
        <w:rPr>
          <w:rFonts w:eastAsia="Calibri"/>
          <w:szCs w:val="22"/>
          <w:lang w:val="da-DK" w:eastAsia="de-DE"/>
        </w:rPr>
        <w:fldChar w:fldCharType="end"/>
      </w:r>
      <w:r w:rsidR="0094535F" w:rsidRPr="00BF1CA6">
        <w:t xml:space="preserve"> </w:t>
      </w:r>
      <w:r w:rsidRPr="00BF1CA6">
        <w:t>described the relationship between the 3GPP MSR E-UTRA wide area base station unwanted emission mask and the baseline and transitional regulatory limits in EC Decision 2014/276/EU</w:t>
      </w:r>
      <w:r w:rsidR="0094535F" w:rsidRPr="00BF1CA6">
        <w:t xml:space="preserve"> </w:t>
      </w:r>
      <w:r w:rsidR="00CB2C51">
        <w:rPr>
          <w:rFonts w:eastAsia="Calibri"/>
          <w:szCs w:val="22"/>
          <w:lang w:val="da-DK" w:eastAsia="de-DE"/>
        </w:rPr>
        <w:fldChar w:fldCharType="begin"/>
      </w:r>
      <w:r w:rsidR="00CB2C51" w:rsidRPr="00BF1CA6">
        <w:instrText xml:space="preserve"> REF _Ref514428317 \r \h </w:instrText>
      </w:r>
      <w:r w:rsidR="00CB2C51">
        <w:rPr>
          <w:rFonts w:eastAsia="Calibri"/>
          <w:szCs w:val="22"/>
          <w:lang w:val="da-DK" w:eastAsia="de-DE"/>
        </w:rPr>
      </w:r>
      <w:r w:rsidR="00CB2C51">
        <w:rPr>
          <w:rFonts w:eastAsia="Calibri"/>
          <w:szCs w:val="22"/>
          <w:lang w:val="da-DK" w:eastAsia="de-DE"/>
        </w:rPr>
        <w:fldChar w:fldCharType="separate"/>
      </w:r>
      <w:r w:rsidR="00FA5407">
        <w:t>[1]</w:t>
      </w:r>
      <w:r w:rsidR="00CB2C51">
        <w:rPr>
          <w:rFonts w:eastAsia="Calibri"/>
          <w:szCs w:val="22"/>
          <w:lang w:val="da-DK" w:eastAsia="de-DE"/>
        </w:rPr>
        <w:fldChar w:fldCharType="end"/>
      </w:r>
      <w:r w:rsidRPr="00BF1CA6">
        <w:t xml:space="preserve">. </w:t>
      </w:r>
      <w:r w:rsidRPr="00205579">
        <w:rPr>
          <w:rFonts w:eastAsia="Calibri"/>
          <w:szCs w:val="22"/>
          <w:lang w:eastAsia="de-DE"/>
        </w:rPr>
        <w:t xml:space="preserve">3GPP </w:t>
      </w:r>
      <w:r w:rsidRPr="008D2A17">
        <w:t xml:space="preserve">TS 37.104 </w:t>
      </w:r>
      <w:r w:rsidR="0094535F" w:rsidRPr="008D2A17">
        <w:rPr>
          <w:rFonts w:eastAsia="Calibri"/>
          <w:szCs w:val="22"/>
        </w:rPr>
        <w:fldChar w:fldCharType="begin"/>
      </w:r>
      <w:r w:rsidR="0094535F" w:rsidRPr="008D2A17">
        <w:instrText xml:space="preserve"> REF _Ref505354167 \r \h </w:instrText>
      </w:r>
      <w:r w:rsidR="00CE0DB1" w:rsidRPr="008D2A17">
        <w:instrText xml:space="preserve"> \* MERGEFORMAT </w:instrText>
      </w:r>
      <w:r w:rsidR="0094535F" w:rsidRPr="008D2A17">
        <w:rPr>
          <w:rFonts w:eastAsia="Calibri"/>
          <w:szCs w:val="22"/>
        </w:rPr>
      </w:r>
      <w:r w:rsidR="0094535F" w:rsidRPr="008D2A17">
        <w:rPr>
          <w:rFonts w:eastAsia="Calibri"/>
          <w:szCs w:val="22"/>
        </w:rPr>
        <w:fldChar w:fldCharType="separate"/>
      </w:r>
      <w:r w:rsidR="00FA5407">
        <w:t>[15]</w:t>
      </w:r>
      <w:r w:rsidR="0094535F" w:rsidRPr="008D2A17">
        <w:rPr>
          <w:rFonts w:eastAsia="Calibri"/>
          <w:szCs w:val="22"/>
        </w:rPr>
        <w:fldChar w:fldCharType="end"/>
      </w:r>
      <w:r w:rsidR="0094535F" w:rsidRPr="008D2A17">
        <w:t xml:space="preserve"> </w:t>
      </w:r>
      <w:r w:rsidRPr="008D2A17">
        <w:t xml:space="preserve">specified the relevant </w:t>
      </w:r>
      <w:r w:rsidRPr="00BE123F">
        <w:t xml:space="preserve">unwanted emission mask </w:t>
      </w:r>
      <w:r w:rsidRPr="008D2A17">
        <w:t>in the form of conducted power limits</w:t>
      </w:r>
      <w:r w:rsidRPr="00BE123F">
        <w:t xml:space="preserve"> measured </w:t>
      </w:r>
      <w:r w:rsidRPr="008D2A17">
        <w:t xml:space="preserve">at the antenna connector. </w:t>
      </w:r>
    </w:p>
    <w:p w14:paraId="571880DA" w14:textId="7ECF8209" w:rsidR="00B46BF8" w:rsidRPr="008D2A17" w:rsidRDefault="00B46BF8" w:rsidP="00C2718C">
      <w:pPr>
        <w:pStyle w:val="Heading3"/>
        <w:rPr>
          <w:lang w:val="en-GB"/>
        </w:rPr>
      </w:pPr>
      <w:bookmarkStart w:id="866" w:name="_Toc497467391"/>
      <w:bookmarkStart w:id="867" w:name="_Toc489012252"/>
      <w:bookmarkStart w:id="868" w:name="_Toc500851053"/>
      <w:bookmarkStart w:id="869" w:name="_Toc500826016"/>
      <w:bookmarkStart w:id="870" w:name="_Toc500931687"/>
      <w:bookmarkStart w:id="871" w:name="_Toc501012931"/>
      <w:bookmarkStart w:id="872" w:name="_Toc514428339"/>
      <w:bookmarkStart w:id="873" w:name="_Toc507766103"/>
      <w:bookmarkEnd w:id="866"/>
      <w:r w:rsidRPr="008D2A17">
        <w:rPr>
          <w:lang w:val="en-GB"/>
        </w:rPr>
        <w:lastRenderedPageBreak/>
        <w:t xml:space="preserve">Out-of-block power limits: Interference between </w:t>
      </w:r>
      <w:r w:rsidR="00F638BA" w:rsidRPr="008D2A17">
        <w:rPr>
          <w:lang w:val="en-GB"/>
        </w:rPr>
        <w:t>un</w:t>
      </w:r>
      <w:r w:rsidRPr="008D2A17">
        <w:rPr>
          <w:lang w:val="en-GB"/>
        </w:rPr>
        <w:t xml:space="preserve">synchronised </w:t>
      </w:r>
      <w:bookmarkEnd w:id="867"/>
      <w:bookmarkEnd w:id="868"/>
      <w:bookmarkEnd w:id="869"/>
      <w:r w:rsidRPr="008D2A17">
        <w:rPr>
          <w:lang w:val="en-GB"/>
        </w:rPr>
        <w:t>WBB ECS</w:t>
      </w:r>
      <w:bookmarkEnd w:id="870"/>
      <w:bookmarkEnd w:id="871"/>
      <w:bookmarkEnd w:id="872"/>
      <w:bookmarkEnd w:id="873"/>
    </w:p>
    <w:p w14:paraId="62140AA7" w14:textId="79BC7EB7" w:rsidR="00B46BF8" w:rsidRPr="008D2A17" w:rsidRDefault="00B46BF8" w:rsidP="00AD7F41">
      <w:pPr>
        <w:pStyle w:val="ECCParagraph"/>
        <w:rPr>
          <w:rStyle w:val="ECCHLorange"/>
          <w:shd w:val="clear" w:color="auto" w:fill="auto"/>
        </w:rPr>
      </w:pPr>
      <w:r w:rsidRPr="008D2A17">
        <w:rPr>
          <w:rStyle w:val="ECCHLorange"/>
          <w:shd w:val="clear" w:color="auto" w:fill="auto"/>
        </w:rPr>
        <w:t xml:space="preserve">Simulations were carried out in ECC Report </w:t>
      </w:r>
      <w:r w:rsidR="00EC01E6" w:rsidRPr="008D2A17">
        <w:rPr>
          <w:rStyle w:val="ECCHLorange"/>
          <w:shd w:val="clear" w:color="auto" w:fill="auto"/>
        </w:rPr>
        <w:t xml:space="preserve">281 </w:t>
      </w:r>
      <w:r w:rsidR="0094535F" w:rsidRPr="008D2A17">
        <w:rPr>
          <w:rStyle w:val="ECCHLorange"/>
          <w:shd w:val="clear" w:color="auto" w:fill="auto"/>
        </w:rPr>
        <w:fldChar w:fldCharType="begin"/>
      </w:r>
      <w:r w:rsidR="0094535F" w:rsidRPr="008D2A17">
        <w:rPr>
          <w:rStyle w:val="ECCHLorange"/>
          <w:shd w:val="clear" w:color="auto" w:fill="auto"/>
        </w:rPr>
        <w:instrText xml:space="preserve"> REF _Ref505354114 \r \h </w:instrText>
      </w:r>
      <w:r w:rsidR="00CE0DB1" w:rsidRPr="008D2A17">
        <w:rPr>
          <w:rStyle w:val="ECCHLorange"/>
          <w:shd w:val="clear" w:color="auto" w:fill="auto"/>
        </w:rPr>
        <w:instrText xml:space="preserve"> \* MERGEFORMAT </w:instrText>
      </w:r>
      <w:r w:rsidR="0094535F" w:rsidRPr="008D2A17">
        <w:rPr>
          <w:rStyle w:val="ECCHLorange"/>
          <w:shd w:val="clear" w:color="auto" w:fill="auto"/>
        </w:rPr>
      </w:r>
      <w:r w:rsidR="0094535F" w:rsidRPr="008D2A17">
        <w:rPr>
          <w:rStyle w:val="ECCHLorange"/>
          <w:shd w:val="clear" w:color="auto" w:fill="auto"/>
        </w:rPr>
        <w:fldChar w:fldCharType="separate"/>
      </w:r>
      <w:r w:rsidR="00FA5407">
        <w:rPr>
          <w:rStyle w:val="ECCHLorange"/>
          <w:shd w:val="clear" w:color="auto" w:fill="auto"/>
        </w:rPr>
        <w:t>[14]</w:t>
      </w:r>
      <w:r w:rsidR="0094535F" w:rsidRPr="008D2A17">
        <w:rPr>
          <w:rStyle w:val="ECCHLorange"/>
          <w:shd w:val="clear" w:color="auto" w:fill="auto"/>
        </w:rPr>
        <w:fldChar w:fldCharType="end"/>
      </w:r>
      <w:r w:rsidRPr="008D2A17">
        <w:rPr>
          <w:rStyle w:val="ECCHLorange"/>
          <w:shd w:val="clear" w:color="auto" w:fill="auto"/>
        </w:rPr>
        <w:t xml:space="preserve"> for the coexistence between unsynchronised WBB ECS at 3400-3800</w:t>
      </w:r>
      <w:r w:rsidR="00AB2111" w:rsidRPr="008D2A17">
        <w:rPr>
          <w:rStyle w:val="ECCHLorange"/>
          <w:shd w:val="clear" w:color="auto" w:fill="auto"/>
        </w:rPr>
        <w:t> MHz</w:t>
      </w:r>
      <w:r w:rsidRPr="008D2A17">
        <w:rPr>
          <w:rStyle w:val="ECCHLorange"/>
          <w:shd w:val="clear" w:color="auto" w:fill="auto"/>
        </w:rPr>
        <w:t>, leading to the definition of restricted power limits which would apply to AAS base stations. Specifically, the following two scenarios have been considered:</w:t>
      </w:r>
    </w:p>
    <w:p w14:paraId="35E9923E" w14:textId="77777777" w:rsidR="00B46BF8" w:rsidRPr="008D2A17" w:rsidRDefault="00B46BF8" w:rsidP="008A1679">
      <w:pPr>
        <w:pStyle w:val="ECCBulletsLv1"/>
        <w:rPr>
          <w:rStyle w:val="ECCHLorange"/>
          <w:shd w:val="clear" w:color="auto" w:fill="auto"/>
        </w:rPr>
      </w:pPr>
      <w:r w:rsidRPr="008D2A17">
        <w:rPr>
          <w:rStyle w:val="ECCHLorange"/>
          <w:shd w:val="clear" w:color="auto" w:fill="auto"/>
        </w:rPr>
        <w:t>Interference from AAS base stations to non-AAS base stations</w:t>
      </w:r>
      <w:r w:rsidR="00621F51" w:rsidRPr="008D2A17">
        <w:rPr>
          <w:rStyle w:val="ECCHLorange"/>
          <w:shd w:val="clear" w:color="auto" w:fill="auto"/>
        </w:rPr>
        <w:t>;</w:t>
      </w:r>
    </w:p>
    <w:p w14:paraId="5C9C2BBD" w14:textId="77777777" w:rsidR="00B46BF8" w:rsidRPr="008D2A17" w:rsidRDefault="00B46BF8" w:rsidP="008A1679">
      <w:pPr>
        <w:pStyle w:val="ECCBulletsLv1"/>
        <w:rPr>
          <w:rStyle w:val="ECCHLorange"/>
          <w:shd w:val="clear" w:color="auto" w:fill="auto"/>
        </w:rPr>
      </w:pPr>
      <w:r w:rsidRPr="008D2A17">
        <w:rPr>
          <w:rStyle w:val="ECCHLorange"/>
          <w:shd w:val="clear" w:color="auto" w:fill="auto"/>
        </w:rPr>
        <w:t>Interference from AAS base stations to AAS base stations</w:t>
      </w:r>
      <w:r w:rsidR="00621F51" w:rsidRPr="008D2A17">
        <w:rPr>
          <w:rStyle w:val="ECCHLorange"/>
          <w:shd w:val="clear" w:color="auto" w:fill="auto"/>
        </w:rPr>
        <w:t>.</w:t>
      </w:r>
    </w:p>
    <w:p w14:paraId="6E46DBFB" w14:textId="77777777" w:rsidR="00B46BF8" w:rsidRPr="008D2A17" w:rsidRDefault="00B46BF8" w:rsidP="00AD7F41">
      <w:pPr>
        <w:pStyle w:val="ECCParagraph"/>
      </w:pPr>
      <w:r w:rsidRPr="008D2A17">
        <w:rPr>
          <w:rStyle w:val="ECCHLorange"/>
          <w:shd w:val="clear" w:color="auto" w:fill="auto"/>
        </w:rPr>
        <w:t xml:space="preserve">The impact of interference was assessed by evaluating the degradation in the mean uplink throughput of the victim </w:t>
      </w:r>
      <w:r w:rsidR="008A1679" w:rsidRPr="008D2A17">
        <w:rPr>
          <w:rStyle w:val="ECCHLorange"/>
          <w:shd w:val="clear" w:color="auto" w:fill="auto"/>
        </w:rPr>
        <w:t>WBB ECS</w:t>
      </w:r>
      <w:r w:rsidRPr="008D2A17">
        <w:rPr>
          <w:rStyle w:val="ECCHLorange"/>
          <w:shd w:val="clear" w:color="auto" w:fill="auto"/>
        </w:rPr>
        <w:t>.</w:t>
      </w:r>
    </w:p>
    <w:p w14:paraId="2F7222B9" w14:textId="77777777" w:rsidR="00B46BF8" w:rsidRPr="008D2A17" w:rsidRDefault="00B46BF8" w:rsidP="00C2718C">
      <w:pPr>
        <w:pStyle w:val="Heading3"/>
        <w:rPr>
          <w:lang w:val="en-GB"/>
        </w:rPr>
      </w:pPr>
      <w:bookmarkStart w:id="874" w:name="_Ref500153137"/>
      <w:bookmarkStart w:id="875" w:name="_Toc500851054"/>
      <w:bookmarkStart w:id="876" w:name="_Toc500826017"/>
      <w:bookmarkStart w:id="877" w:name="_Toc500931688"/>
      <w:bookmarkStart w:id="878" w:name="_Toc501012932"/>
      <w:bookmarkStart w:id="879" w:name="_Toc514428340"/>
      <w:bookmarkStart w:id="880" w:name="_Toc507766104"/>
      <w:r w:rsidRPr="008D2A17">
        <w:rPr>
          <w:lang w:val="en-GB"/>
        </w:rPr>
        <w:t xml:space="preserve">Out-of-block power limits: Interference between LTE and 5G NR </w:t>
      </w:r>
      <w:bookmarkEnd w:id="874"/>
      <w:bookmarkEnd w:id="875"/>
      <w:bookmarkEnd w:id="876"/>
      <w:r w:rsidRPr="008D2A17">
        <w:rPr>
          <w:lang w:val="en-GB"/>
        </w:rPr>
        <w:t>WBB ECS</w:t>
      </w:r>
      <w:bookmarkEnd w:id="877"/>
      <w:bookmarkEnd w:id="878"/>
      <w:bookmarkEnd w:id="879"/>
      <w:bookmarkEnd w:id="880"/>
    </w:p>
    <w:p w14:paraId="48AAD478" w14:textId="35E0D7FB" w:rsidR="00B46BF8" w:rsidRPr="008D2A17" w:rsidRDefault="00B46BF8" w:rsidP="00AD7F41">
      <w:pPr>
        <w:pStyle w:val="ECCParagraph"/>
      </w:pPr>
      <w:r w:rsidRPr="008D2A17">
        <w:t>Coexistence between LTE and 5G NR in adjacent frequencies is ensured when:</w:t>
      </w:r>
    </w:p>
    <w:p w14:paraId="216FA37B" w14:textId="2F146492" w:rsidR="00BF11D6" w:rsidRPr="008D2A17" w:rsidRDefault="00B725B6" w:rsidP="00BF11D6">
      <w:pPr>
        <w:pStyle w:val="ECCBulletsLv1"/>
      </w:pPr>
      <w:r w:rsidRPr="008D2A17">
        <w:t>Each system r</w:t>
      </w:r>
      <w:r w:rsidR="00B46BF8" w:rsidRPr="008D2A17">
        <w:t>espect</w:t>
      </w:r>
      <w:r w:rsidRPr="008D2A17">
        <w:t>s</w:t>
      </w:r>
      <w:r w:rsidR="00B46BF8" w:rsidRPr="008D2A17">
        <w:t xml:space="preserve"> </w:t>
      </w:r>
      <w:r w:rsidR="00EC01E6" w:rsidRPr="008D2A17">
        <w:t>the</w:t>
      </w:r>
      <w:r w:rsidRPr="008D2A17">
        <w:t xml:space="preserve"> relevant applicable</w:t>
      </w:r>
      <w:r w:rsidR="00EC01E6" w:rsidRPr="008D2A17">
        <w:t xml:space="preserve"> </w:t>
      </w:r>
      <w:r w:rsidR="00B46BF8" w:rsidRPr="008D2A17">
        <w:t>baseline level in case of synchronised operation</w:t>
      </w:r>
      <w:r w:rsidR="00326526" w:rsidRPr="008D2A17">
        <w:t xml:space="preserve"> for AAS</w:t>
      </w:r>
      <w:r w:rsidR="00095ACC" w:rsidRPr="008D2A17">
        <w:t xml:space="preserve"> or</w:t>
      </w:r>
      <w:r w:rsidR="00326526" w:rsidRPr="008D2A17">
        <w:t xml:space="preserve"> non</w:t>
      </w:r>
      <w:r w:rsidR="00444A5C" w:rsidRPr="008D2A17">
        <w:t>-</w:t>
      </w:r>
      <w:r w:rsidR="00326526" w:rsidRPr="008D2A17">
        <w:t>AAS systems</w:t>
      </w:r>
      <w:r w:rsidR="00621F51" w:rsidRPr="008D2A17">
        <w:t>;</w:t>
      </w:r>
      <w:r w:rsidR="002204B4" w:rsidRPr="008D2A17">
        <w:t xml:space="preserve"> or</w:t>
      </w:r>
      <w:r w:rsidR="00D23DF5" w:rsidRPr="008D2A17">
        <w:t xml:space="preserve"> </w:t>
      </w:r>
    </w:p>
    <w:p w14:paraId="782ACC48" w14:textId="3AE63176" w:rsidR="00BF11D6" w:rsidRPr="008D2A17" w:rsidRDefault="00BF11D6" w:rsidP="00BF11D6">
      <w:pPr>
        <w:pStyle w:val="ECCBulletsLv1"/>
      </w:pPr>
      <w:r w:rsidRPr="008D2A17">
        <w:t xml:space="preserve">Each system respects the relevant applicable restricted baseline level in case of unsynchronised </w:t>
      </w:r>
      <w:r w:rsidR="008809C3" w:rsidRPr="008D2A17">
        <w:t>operation</w:t>
      </w:r>
      <w:r w:rsidRPr="008D2A17">
        <w:t xml:space="preserve"> for AAS or non-AAS systems.</w:t>
      </w:r>
    </w:p>
    <w:p w14:paraId="01D27A55" w14:textId="2C0444D9" w:rsidR="00B46BF8" w:rsidRPr="008D2A17" w:rsidRDefault="00B46BF8" w:rsidP="00AD7F41">
      <w:pPr>
        <w:pStyle w:val="ECCParagraph"/>
        <w:rPr>
          <w:rStyle w:val="ECCHLorange"/>
          <w:shd w:val="clear" w:color="auto" w:fill="auto"/>
        </w:rPr>
      </w:pPr>
      <w:r w:rsidRPr="008D2A17">
        <w:rPr>
          <w:rStyle w:val="ECCHLorange"/>
          <w:shd w:val="clear" w:color="auto" w:fill="auto"/>
        </w:rPr>
        <w:t xml:space="preserve">The two approaches are assessed in more details in </w:t>
      </w:r>
      <w:r w:rsidR="000D7E83" w:rsidRPr="008D2A17">
        <w:rPr>
          <w:rStyle w:val="ECCHLorange"/>
          <w:shd w:val="clear" w:color="auto" w:fill="auto"/>
        </w:rPr>
        <w:t>ECC Report 281</w:t>
      </w:r>
      <w:r w:rsidRPr="008D2A17">
        <w:rPr>
          <w:rStyle w:val="ECCHLorange"/>
          <w:shd w:val="clear" w:color="auto" w:fill="auto"/>
        </w:rPr>
        <w:t xml:space="preserve"> leading to the following conclusions:</w:t>
      </w:r>
    </w:p>
    <w:p w14:paraId="6480F602" w14:textId="49CB9B9A" w:rsidR="000D7E83" w:rsidRPr="008D2A17" w:rsidRDefault="00B46BF8" w:rsidP="00AD7F41">
      <w:pPr>
        <w:pStyle w:val="ECCParagraph"/>
      </w:pPr>
      <w:r w:rsidRPr="008D2A17">
        <w:rPr>
          <w:rStyle w:val="ECCHLorange"/>
          <w:shd w:val="clear" w:color="auto" w:fill="auto"/>
        </w:rPr>
        <w:t>Synchronised operation between 5G NR and LTE is technically feasible but reduce</w:t>
      </w:r>
      <w:r w:rsidR="007D385A" w:rsidRPr="008D2A17">
        <w:rPr>
          <w:rStyle w:val="ECCHLorange"/>
          <w:shd w:val="clear" w:color="auto" w:fill="auto"/>
        </w:rPr>
        <w:t>s</w:t>
      </w:r>
      <w:r w:rsidRPr="008D2A17">
        <w:rPr>
          <w:rStyle w:val="ECCHLorange"/>
          <w:shd w:val="clear" w:color="auto" w:fill="auto"/>
        </w:rPr>
        <w:t xml:space="preserve"> flexibility</w:t>
      </w:r>
      <w:r w:rsidR="007D385A" w:rsidRPr="008D2A17">
        <w:rPr>
          <w:rStyle w:val="ECCHLorange"/>
          <w:shd w:val="clear" w:color="auto" w:fill="auto"/>
        </w:rPr>
        <w:t>.</w:t>
      </w:r>
      <w:r w:rsidR="007D385A" w:rsidRPr="008D2A17">
        <w:t xml:space="preserve"> </w:t>
      </w:r>
      <w:r w:rsidR="000D7E83" w:rsidRPr="008D2A17">
        <w:t xml:space="preserve">Although complete alignment of UL/DL transmissions between LTE and NR can be achieved, this would have implications on the minimum latency achievable by 5G NR. Full synchronisation of the NR slot structure and LTE TDD configuration brings significant drawback to the NR implementation. Many of the benefits of NR are linked precisely to the frame structure. Reverting to the LTE structure would imply higher latency, higher UE memory cost, TCP performance loss, mobility performance loss and spectral efficiency loss, although networks could be designed to overcome some of these drawbacks. This does not impact the technical conditions but degrades 5G QoS. </w:t>
      </w:r>
    </w:p>
    <w:p w14:paraId="3A00925F" w14:textId="4DD282B3" w:rsidR="006433EE" w:rsidRPr="008D2A17" w:rsidRDefault="00B46BF8" w:rsidP="006433EE">
      <w:pPr>
        <w:pStyle w:val="ECCParagraph"/>
      </w:pPr>
      <w:bookmarkStart w:id="881" w:name="_Toc500851056"/>
      <w:bookmarkStart w:id="882" w:name="_Toc500826019"/>
      <w:bookmarkStart w:id="883" w:name="_Toc500931690"/>
      <w:bookmarkStart w:id="884" w:name="_Toc501012934"/>
      <w:bookmarkStart w:id="885" w:name="_Toc507766106"/>
      <w:r w:rsidRPr="008D2A17">
        <w:t xml:space="preserve">In case of unsynchronised operation of </w:t>
      </w:r>
      <w:r w:rsidRPr="008E4FD6">
        <w:rPr>
          <w:rFonts w:cs="Arial"/>
          <w:szCs w:val="26"/>
          <w:lang w:val="it-IT"/>
        </w:rPr>
        <w:t>5G NR</w:t>
      </w:r>
      <w:bookmarkEnd w:id="881"/>
      <w:bookmarkEnd w:id="882"/>
      <w:bookmarkEnd w:id="883"/>
      <w:bookmarkEnd w:id="884"/>
      <w:bookmarkEnd w:id="885"/>
      <w:r w:rsidRPr="00FA5407">
        <w:t xml:space="preserve"> </w:t>
      </w:r>
      <w:r w:rsidRPr="008D2A17">
        <w:t>and LTE networks,</w:t>
      </w:r>
      <w:r w:rsidRPr="00BE123F">
        <w:t xml:space="preserve"> respecting the restricted baseline</w:t>
      </w:r>
      <w:r w:rsidR="00AD7F41" w:rsidRPr="00BE123F">
        <w:t xml:space="preserve"> </w:t>
      </w:r>
      <w:r w:rsidRPr="00BE123F">
        <w:t xml:space="preserve">level for </w:t>
      </w:r>
      <w:r w:rsidRPr="008D2A17">
        <w:t xml:space="preserve">unsynchronised </w:t>
      </w:r>
      <w:r w:rsidR="008A1679" w:rsidRPr="00BE123F">
        <w:t>WBB ECS</w:t>
      </w:r>
      <w:r w:rsidRPr="00BE123F">
        <w:t xml:space="preserve"> </w:t>
      </w:r>
      <w:r w:rsidR="008809C3" w:rsidRPr="008D2A17">
        <w:t xml:space="preserve">BSs </w:t>
      </w:r>
      <w:r w:rsidRPr="00BE123F">
        <w:t>coexistence</w:t>
      </w:r>
      <w:r w:rsidRPr="008D2A17">
        <w:t xml:space="preserve"> would be challenging to implement as </w:t>
      </w:r>
      <w:r w:rsidRPr="00BE123F">
        <w:t xml:space="preserve">AAS </w:t>
      </w:r>
      <w:r w:rsidRPr="008D2A17">
        <w:t>systems cannot be fitted with</w:t>
      </w:r>
      <w:r w:rsidRPr="00BE123F">
        <w:t xml:space="preserve"> additional </w:t>
      </w:r>
      <w:r w:rsidRPr="008D2A17">
        <w:t>external filters</w:t>
      </w:r>
      <w:r w:rsidR="007D385A" w:rsidRPr="008D2A17">
        <w:t>, unlike non-</w:t>
      </w:r>
      <w:r w:rsidR="007D385A" w:rsidRPr="00BE123F">
        <w:t xml:space="preserve">AAS </w:t>
      </w:r>
      <w:r w:rsidR="007D385A" w:rsidRPr="008D2A17">
        <w:t>BSs</w:t>
      </w:r>
      <w:r w:rsidRPr="008D2A17">
        <w:t xml:space="preserve">. </w:t>
      </w:r>
      <w:r w:rsidR="007D385A" w:rsidRPr="008D2A17">
        <w:rPr>
          <w:rStyle w:val="ECCHLorange"/>
          <w:shd w:val="clear" w:color="auto" w:fill="auto"/>
        </w:rPr>
        <w:t xml:space="preserve">The implementation of internal filters for AAS BSs would depend on the operator's spectrum specific </w:t>
      </w:r>
      <w:proofErr w:type="gramStart"/>
      <w:r w:rsidR="007D385A" w:rsidRPr="008D2A17">
        <w:rPr>
          <w:rStyle w:val="ECCHLorange"/>
          <w:shd w:val="clear" w:color="auto" w:fill="auto"/>
        </w:rPr>
        <w:t>assignment,</w:t>
      </w:r>
      <w:proofErr w:type="gramEnd"/>
      <w:r w:rsidR="007D385A" w:rsidRPr="008D2A17">
        <w:rPr>
          <w:rStyle w:val="ECCHLorange"/>
          <w:shd w:val="clear" w:color="auto" w:fill="auto"/>
        </w:rPr>
        <w:t xml:space="preserve"> the filter (and the AAS base stations) would become operator-specific which would not be sustainable in terms of effort. </w:t>
      </w:r>
      <w:r w:rsidRPr="008D2A17">
        <w:t>Assuming it would be economically feasibl</w:t>
      </w:r>
      <w:r w:rsidR="008A1679" w:rsidRPr="008D2A17">
        <w:t>e to</w:t>
      </w:r>
      <w:r w:rsidR="008A1679" w:rsidRPr="008D2A17">
        <w:rPr>
          <w:rStyle w:val="ECCHLorange"/>
          <w:shd w:val="clear" w:color="auto" w:fill="auto"/>
        </w:rPr>
        <w:t xml:space="preserve"> </w:t>
      </w:r>
      <w:r w:rsidR="009C1A27" w:rsidRPr="008D2A17">
        <w:rPr>
          <w:rStyle w:val="ECCHLorange"/>
          <w:shd w:val="clear" w:color="auto" w:fill="auto"/>
        </w:rPr>
        <w:t>implement the required additional filters, in addition,</w:t>
      </w:r>
      <w:r w:rsidR="008A1679" w:rsidRPr="008D2A17">
        <w:rPr>
          <w:rStyle w:val="ECCHLorange"/>
          <w:shd w:val="clear" w:color="auto" w:fill="auto"/>
        </w:rPr>
        <w:t xml:space="preserve"> </w:t>
      </w:r>
      <w:r w:rsidRPr="008D2A17">
        <w:rPr>
          <w:rStyle w:val="ECCHLorange"/>
          <w:shd w:val="clear" w:color="auto" w:fill="auto"/>
        </w:rPr>
        <w:t xml:space="preserve">a frequency separation is likely to be required and studies should be conducted to </w:t>
      </w:r>
      <w:r w:rsidR="009C1A27" w:rsidRPr="008D2A17">
        <w:rPr>
          <w:rStyle w:val="ECCHLorange"/>
          <w:shd w:val="clear" w:color="auto" w:fill="auto"/>
        </w:rPr>
        <w:t>confirm the need for such separat</w:t>
      </w:r>
      <w:r w:rsidR="00B4183D">
        <w:rPr>
          <w:rStyle w:val="ECCHLorange"/>
          <w:shd w:val="clear" w:color="auto" w:fill="auto"/>
        </w:rPr>
        <w:t>ion and</w:t>
      </w:r>
      <w:r w:rsidRPr="008D2A17">
        <w:t xml:space="preserve"> to determine the width of such a frequency separation</w:t>
      </w:r>
      <w:r w:rsidR="00B36C81" w:rsidRPr="008D2A17">
        <w:t xml:space="preserve"> </w:t>
      </w:r>
      <w:r w:rsidR="00B36C81" w:rsidRPr="008D2A17">
        <w:rPr>
          <w:rStyle w:val="ECCHLorange"/>
          <w:shd w:val="clear" w:color="auto" w:fill="auto"/>
        </w:rPr>
        <w:t xml:space="preserve">(simulations that were carried out </w:t>
      </w:r>
      <w:r w:rsidR="00B36C81" w:rsidRPr="008D2A17">
        <w:rPr>
          <w:rStyle w:val="ECCHLorange"/>
          <w:shd w:val="clear" w:color="auto" w:fill="auto"/>
        </w:rPr>
        <w:fldChar w:fldCharType="begin"/>
      </w:r>
      <w:r w:rsidR="00B36C81" w:rsidRPr="008D2A17">
        <w:rPr>
          <w:rStyle w:val="ECCHLorange"/>
          <w:shd w:val="clear" w:color="auto" w:fill="auto"/>
        </w:rPr>
        <w:instrText xml:space="preserve"> REF _Ref505354114 \r \h  \* MERGEFORMAT </w:instrText>
      </w:r>
      <w:r w:rsidR="00B36C81" w:rsidRPr="008D2A17">
        <w:rPr>
          <w:rStyle w:val="ECCHLorange"/>
          <w:shd w:val="clear" w:color="auto" w:fill="auto"/>
        </w:rPr>
      </w:r>
      <w:r w:rsidR="00B36C81" w:rsidRPr="008D2A17">
        <w:rPr>
          <w:rStyle w:val="ECCHLorange"/>
          <w:shd w:val="clear" w:color="auto" w:fill="auto"/>
        </w:rPr>
        <w:fldChar w:fldCharType="separate"/>
      </w:r>
      <w:r w:rsidR="00FA5407">
        <w:rPr>
          <w:rStyle w:val="ECCHLorange"/>
          <w:shd w:val="clear" w:color="auto" w:fill="auto"/>
        </w:rPr>
        <w:t>[14]</w:t>
      </w:r>
      <w:r w:rsidR="00B36C81" w:rsidRPr="008D2A17">
        <w:rPr>
          <w:rStyle w:val="ECCHLorange"/>
          <w:shd w:val="clear" w:color="auto" w:fill="auto"/>
        </w:rPr>
        <w:fldChar w:fldCharType="end"/>
      </w:r>
      <w:r w:rsidR="00B36C81" w:rsidRPr="008D2A17">
        <w:rPr>
          <w:rStyle w:val="ECCHLorange"/>
          <w:shd w:val="clear" w:color="auto" w:fill="auto"/>
        </w:rPr>
        <w:t xml:space="preserve"> for the coexistence between unsynchronised MFCNs at 3400-3800 MHz may provide valuable reference</w:t>
      </w:r>
      <w:r w:rsidR="00170126" w:rsidRPr="008D2A17">
        <w:rPr>
          <w:rStyle w:val="ECCHLorange"/>
          <w:shd w:val="clear" w:color="auto" w:fill="auto"/>
        </w:rPr>
        <w:t xml:space="preserve"> about the ACIR/ACLR requirements</w:t>
      </w:r>
      <w:r w:rsidR="00B36C81" w:rsidRPr="008D2A17">
        <w:rPr>
          <w:rStyle w:val="ECCHLorange"/>
          <w:shd w:val="clear" w:color="auto" w:fill="auto"/>
        </w:rPr>
        <w:t>).</w:t>
      </w:r>
      <w:r w:rsidR="006433EE" w:rsidRPr="008D2A17">
        <w:t xml:space="preserve">Relaxed restricted baseline limits can be defined at national level. </w:t>
      </w:r>
    </w:p>
    <w:p w14:paraId="433CB96F" w14:textId="4C57DB7E" w:rsidR="00B33692" w:rsidRPr="008D2A17" w:rsidRDefault="006C5C2A" w:rsidP="00B33692">
      <w:pPr>
        <w:pStyle w:val="ECCParagraph"/>
      </w:pPr>
      <w:r w:rsidRPr="008D2A17">
        <w:t xml:space="preserve">CEPT is developing a </w:t>
      </w:r>
      <w:r w:rsidR="002C5AB9" w:rsidRPr="008D2A17">
        <w:rPr>
          <w:rFonts w:eastAsia="Calibri"/>
        </w:rPr>
        <w:t>toolbox for the most appropriate synchroni</w:t>
      </w:r>
      <w:r w:rsidR="000714BA" w:rsidRPr="008D2A17">
        <w:rPr>
          <w:rFonts w:eastAsia="Calibri"/>
        </w:rPr>
        <w:t>s</w:t>
      </w:r>
      <w:r w:rsidR="002C5AB9" w:rsidRPr="008D2A17">
        <w:rPr>
          <w:rFonts w:eastAsia="Calibri"/>
        </w:rPr>
        <w:t>ation regulatory framework</w:t>
      </w:r>
      <w:r w:rsidRPr="008D2A17">
        <w:t xml:space="preserve"> to help either network operators or </w:t>
      </w:r>
      <w:r w:rsidR="00EA1D94" w:rsidRPr="008D2A17">
        <w:t>A</w:t>
      </w:r>
      <w:r w:rsidRPr="008D2A17">
        <w:t>dministrations to address relevant coexistence</w:t>
      </w:r>
      <w:r w:rsidR="00B33692" w:rsidRPr="008D2A17">
        <w:t xml:space="preserve"> </w:t>
      </w:r>
      <w:r w:rsidRPr="008D2A17">
        <w:t>issues.</w:t>
      </w:r>
    </w:p>
    <w:p w14:paraId="2467A5EE" w14:textId="77777777" w:rsidR="00B46BF8" w:rsidRPr="008D2A17" w:rsidRDefault="00B46BF8" w:rsidP="00BE123F">
      <w:pPr>
        <w:pStyle w:val="Heading3"/>
        <w:rPr>
          <w:lang w:val="en-GB"/>
        </w:rPr>
      </w:pPr>
      <w:bookmarkStart w:id="886" w:name="_Toc500154368"/>
      <w:bookmarkStart w:id="887" w:name="_Toc500154727"/>
      <w:bookmarkStart w:id="888" w:name="_Toc500155085"/>
      <w:bookmarkStart w:id="889" w:name="_Toc500155475"/>
      <w:bookmarkStart w:id="890" w:name="_Toc500155860"/>
      <w:bookmarkStart w:id="891" w:name="_Toc500156246"/>
      <w:bookmarkStart w:id="892" w:name="_Toc500156632"/>
      <w:bookmarkStart w:id="893" w:name="_Toc500157018"/>
      <w:bookmarkStart w:id="894" w:name="_Toc500157402"/>
      <w:bookmarkStart w:id="895" w:name="_Toc500158209"/>
      <w:bookmarkStart w:id="896" w:name="_Toc500158595"/>
      <w:bookmarkStart w:id="897" w:name="_Toc500158980"/>
      <w:bookmarkStart w:id="898" w:name="_Toc500135069"/>
      <w:bookmarkStart w:id="899" w:name="_Toc500135537"/>
      <w:bookmarkStart w:id="900" w:name="_Toc500144710"/>
      <w:bookmarkStart w:id="901" w:name="_Toc500145786"/>
      <w:bookmarkStart w:id="902" w:name="_Toc500154386"/>
      <w:bookmarkStart w:id="903" w:name="_Toc500154745"/>
      <w:bookmarkStart w:id="904" w:name="_Toc500155103"/>
      <w:bookmarkStart w:id="905" w:name="_Toc500155493"/>
      <w:bookmarkStart w:id="906" w:name="_Toc500155878"/>
      <w:bookmarkStart w:id="907" w:name="_Toc500156264"/>
      <w:bookmarkStart w:id="908" w:name="_Toc500156650"/>
      <w:bookmarkStart w:id="909" w:name="_Toc500157036"/>
      <w:bookmarkStart w:id="910" w:name="_Toc500157420"/>
      <w:bookmarkStart w:id="911" w:name="_Toc500158227"/>
      <w:bookmarkStart w:id="912" w:name="_Toc500158613"/>
      <w:bookmarkStart w:id="913" w:name="_Toc500158998"/>
      <w:bookmarkStart w:id="914" w:name="_Toc500246412"/>
      <w:bookmarkStart w:id="915" w:name="_Toc500247349"/>
      <w:bookmarkStart w:id="916" w:name="_Toc492558911"/>
      <w:bookmarkStart w:id="917" w:name="_Toc492559862"/>
      <w:bookmarkStart w:id="918" w:name="_Toc500946711"/>
      <w:bookmarkStart w:id="919" w:name="_Toc501012935"/>
      <w:bookmarkStart w:id="920" w:name="_Toc514428341"/>
      <w:bookmarkStart w:id="921" w:name="_Toc507766107"/>
      <w:bookmarkStart w:id="922" w:name="_Toc489012253"/>
      <w:bookmarkStart w:id="923" w:name="_Toc500851057"/>
      <w:bookmarkStart w:id="924" w:name="_Toc500826020"/>
      <w:bookmarkStart w:id="925" w:name="_Toc500931691"/>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r w:rsidRPr="008D2A17">
        <w:rPr>
          <w:lang w:val="en-GB"/>
        </w:rPr>
        <w:t>Out-of-band power limits: Interference towards radars below 3400</w:t>
      </w:r>
      <w:r w:rsidR="00AB2111" w:rsidRPr="008D2A17">
        <w:rPr>
          <w:lang w:val="en-GB"/>
        </w:rPr>
        <w:t> MHz</w:t>
      </w:r>
      <w:bookmarkEnd w:id="918"/>
      <w:bookmarkEnd w:id="919"/>
      <w:bookmarkEnd w:id="920"/>
      <w:bookmarkEnd w:id="921"/>
    </w:p>
    <w:p w14:paraId="37555741" w14:textId="77777777" w:rsidR="00B46BF8" w:rsidRPr="008D2A17" w:rsidRDefault="00B46BF8" w:rsidP="00AD7F41">
      <w:pPr>
        <w:pStyle w:val="ECCParagraph"/>
      </w:pPr>
      <w:r w:rsidRPr="008D2A17">
        <w:t>The existing regulatory requirements for the protection of radiolocation systems below 3400</w:t>
      </w:r>
      <w:r w:rsidR="00AB2111" w:rsidRPr="008D2A17">
        <w:t> MHz</w:t>
      </w:r>
      <w:r w:rsidRPr="008D2A17">
        <w:t xml:space="preserve"> from </w:t>
      </w:r>
      <w:r w:rsidR="008A1679" w:rsidRPr="008D2A17">
        <w:t>WBB ECS</w:t>
      </w:r>
      <w:r w:rsidRPr="008D2A17">
        <w:t xml:space="preserve"> </w:t>
      </w:r>
      <w:r w:rsidR="00A97F40" w:rsidRPr="008D2A17">
        <w:t>non-</w:t>
      </w:r>
      <w:r w:rsidRPr="008D2A17">
        <w:t>AAS base stations (-50 dBm/MHz or -59 dBm/MHz e.i.r.p. applied below 3400</w:t>
      </w:r>
      <w:r w:rsidR="00AB2111" w:rsidRPr="008D2A17">
        <w:t> MHz</w:t>
      </w:r>
      <w:r w:rsidRPr="008D2A17">
        <w:t xml:space="preserve">) introduce implementation challenges in </w:t>
      </w:r>
      <w:r w:rsidR="008A1679" w:rsidRPr="008D2A17">
        <w:t>WBB ECS</w:t>
      </w:r>
      <w:r w:rsidRPr="008D2A17">
        <w:t xml:space="preserve"> base stations. </w:t>
      </w:r>
    </w:p>
    <w:p w14:paraId="60013081" w14:textId="098C14A2" w:rsidR="00B46BF8" w:rsidRPr="008D2A17" w:rsidRDefault="00B46BF8" w:rsidP="00AD7F41">
      <w:pPr>
        <w:pStyle w:val="ECCParagraph"/>
      </w:pPr>
      <w:r w:rsidRPr="008D2A17">
        <w:t>Adjacent band protection requirements for radiolocation systems below 3400</w:t>
      </w:r>
      <w:r w:rsidR="00AB2111" w:rsidRPr="008D2A17">
        <w:t> MHz</w:t>
      </w:r>
      <w:r w:rsidRPr="008D2A17">
        <w:t xml:space="preserve"> were therefore carefully studied for AAS base stations.</w:t>
      </w:r>
    </w:p>
    <w:p w14:paraId="28AEA12D" w14:textId="4D1133FD" w:rsidR="00B46BF8" w:rsidRPr="008D2A17" w:rsidRDefault="007D313B" w:rsidP="00AD7F41">
      <w:pPr>
        <w:pStyle w:val="ECCParagraph"/>
      </w:pPr>
      <w:r w:rsidRPr="008D2A17">
        <w:t>Unlike</w:t>
      </w:r>
      <w:r w:rsidR="00B46BF8" w:rsidRPr="008D2A17">
        <w:t xml:space="preserve"> the derivation of current additional baseline e.i.r.p. limits</w:t>
      </w:r>
      <w:r w:rsidRPr="008D2A17">
        <w:t xml:space="preserve"> which relied on MCL</w:t>
      </w:r>
      <w:r w:rsidR="00B46BF8" w:rsidRPr="008D2A17">
        <w:t xml:space="preserve">, </w:t>
      </w:r>
      <w:r w:rsidR="00106AD7" w:rsidRPr="008D2A17">
        <w:t xml:space="preserve">some of </w:t>
      </w:r>
      <w:r w:rsidR="00B46BF8" w:rsidRPr="008D2A17">
        <w:t xml:space="preserve">the studies </w:t>
      </w:r>
      <w:r w:rsidR="00B4183D">
        <w:t xml:space="preserve">in </w:t>
      </w:r>
      <w:r w:rsidR="00106AD7" w:rsidRPr="008D2A17">
        <w:t xml:space="preserve">ECC Report 281 </w:t>
      </w:r>
      <w:r w:rsidR="00106AD7" w:rsidRPr="008D2A17">
        <w:fldChar w:fldCharType="begin"/>
      </w:r>
      <w:r w:rsidR="00106AD7" w:rsidRPr="008D2A17">
        <w:instrText xml:space="preserve"> REF _Ref505354114 \r \h  \* MERGEFORMAT </w:instrText>
      </w:r>
      <w:r w:rsidR="00106AD7" w:rsidRPr="008D2A17">
        <w:fldChar w:fldCharType="separate"/>
      </w:r>
      <w:r w:rsidR="00FA5407">
        <w:t>[14]</w:t>
      </w:r>
      <w:r w:rsidR="00106AD7" w:rsidRPr="008D2A17">
        <w:fldChar w:fldCharType="end"/>
      </w:r>
      <w:r w:rsidR="00B46BF8" w:rsidRPr="008D2A17">
        <w:t xml:space="preserve"> took into account </w:t>
      </w:r>
      <w:r w:rsidR="00B4183D">
        <w:t>the time-</w:t>
      </w:r>
      <w:r w:rsidR="00A528EA" w:rsidRPr="008D2A17">
        <w:t xml:space="preserve">varying </w:t>
      </w:r>
      <w:r w:rsidR="00B46BF8" w:rsidRPr="008D2A17">
        <w:t xml:space="preserve">directional antenna patterns at the mobile network base station transmitter. </w:t>
      </w:r>
    </w:p>
    <w:p w14:paraId="4E6A0CCB" w14:textId="3FDF141E" w:rsidR="00B46BF8" w:rsidRPr="008D2A17" w:rsidRDefault="00B46BF8" w:rsidP="00AD7F41">
      <w:pPr>
        <w:pStyle w:val="ECCParagraph"/>
      </w:pPr>
      <w:r w:rsidRPr="008D2A17">
        <w:lastRenderedPageBreak/>
        <w:t xml:space="preserve">ECC Report </w:t>
      </w:r>
      <w:r w:rsidR="000A0C85" w:rsidRPr="008D2A17">
        <w:t xml:space="preserve">281 </w:t>
      </w:r>
      <w:r w:rsidRPr="008D2A17">
        <w:t>describe</w:t>
      </w:r>
      <w:r w:rsidR="00126D3F" w:rsidRPr="008D2A17">
        <w:t xml:space="preserve">s five studies that </w:t>
      </w:r>
      <w:r w:rsidR="00C776CB" w:rsidRPr="008D2A17">
        <w:t>looked at interference into ground based or airborne radars</w:t>
      </w:r>
      <w:r w:rsidR="00EE3F25" w:rsidRPr="008D2A17">
        <w:t>, including one study that focussed on the likelihood of blocking the radar receiver</w:t>
      </w:r>
      <w:r w:rsidR="00E46549" w:rsidRPr="008D2A17">
        <w:t xml:space="preserve"> f</w:t>
      </w:r>
      <w:r w:rsidR="00240556" w:rsidRPr="008D2A17">
        <w:t xml:space="preserve">or a number </w:t>
      </w:r>
      <w:r w:rsidRPr="008D2A17">
        <w:t xml:space="preserve">of </w:t>
      </w:r>
      <w:r w:rsidR="008A1679" w:rsidRPr="008D2A17">
        <w:t>WBB ECS</w:t>
      </w:r>
      <w:r w:rsidRPr="008D2A17">
        <w:t xml:space="preserve"> base station out-of-block radiations for a number of scenarios. </w:t>
      </w:r>
    </w:p>
    <w:p w14:paraId="5579B298" w14:textId="62C3C50F" w:rsidR="00B46BF8" w:rsidRPr="008D2A17" w:rsidRDefault="00B46BF8" w:rsidP="00AD7F41">
      <w:pPr>
        <w:pStyle w:val="ECCParagraph"/>
      </w:pPr>
      <w:r w:rsidRPr="008D2A17">
        <w:t xml:space="preserve">Considering the outcomes from the studies in ECC Report </w:t>
      </w:r>
      <w:r w:rsidR="000A0C85" w:rsidRPr="008D2A17">
        <w:t>281</w:t>
      </w:r>
      <w:r w:rsidRPr="008D2A17">
        <w:t xml:space="preserve">, </w:t>
      </w:r>
      <w:r w:rsidR="000A0C85" w:rsidRPr="008D2A17">
        <w:t xml:space="preserve">a value of </w:t>
      </w:r>
      <w:r w:rsidR="00B87126" w:rsidRPr="008D2A17">
        <w:rPr>
          <w:rFonts w:cs="Arial"/>
        </w:rPr>
        <w:t>−</w:t>
      </w:r>
      <w:r w:rsidR="000A0C85" w:rsidRPr="008D2A17">
        <w:t>52 dBm/MHz is considered as an appropriate TRP value to be adopted to ensure protection of radiolocation systems below 3400</w:t>
      </w:r>
      <w:r w:rsidR="00EE19B3" w:rsidRPr="008D2A17">
        <w:t> </w:t>
      </w:r>
      <w:r w:rsidR="00AB2111" w:rsidRPr="008D2A17">
        <w:t>MHz</w:t>
      </w:r>
      <w:r w:rsidR="000A0C85" w:rsidRPr="008D2A17">
        <w:t>.</w:t>
      </w:r>
    </w:p>
    <w:p w14:paraId="4165B7F1" w14:textId="23C6C3F9" w:rsidR="00B46BF8" w:rsidRPr="008D2A17" w:rsidRDefault="00B46BF8" w:rsidP="00C2718C">
      <w:pPr>
        <w:pStyle w:val="Heading3"/>
        <w:rPr>
          <w:lang w:val="en-GB"/>
        </w:rPr>
      </w:pPr>
      <w:bookmarkStart w:id="926" w:name="_Ref500842971"/>
      <w:bookmarkStart w:id="927" w:name="_Toc500851058"/>
      <w:bookmarkStart w:id="928" w:name="_Toc500931692"/>
      <w:bookmarkStart w:id="929" w:name="_Toc501012936"/>
      <w:bookmarkStart w:id="930" w:name="_Toc514428342"/>
      <w:bookmarkStart w:id="931" w:name="_Toc507766108"/>
      <w:bookmarkEnd w:id="922"/>
      <w:bookmarkEnd w:id="923"/>
      <w:bookmarkEnd w:id="924"/>
      <w:bookmarkEnd w:id="925"/>
      <w:r w:rsidRPr="008D2A17">
        <w:rPr>
          <w:lang w:val="en-GB"/>
        </w:rPr>
        <w:t>Out-of-band power limits: coexistence with FSS/FS above 3800</w:t>
      </w:r>
      <w:r w:rsidR="00AB2111" w:rsidRPr="008D2A17">
        <w:rPr>
          <w:lang w:val="en-GB"/>
        </w:rPr>
        <w:t> MHz</w:t>
      </w:r>
      <w:bookmarkEnd w:id="926"/>
      <w:bookmarkEnd w:id="927"/>
      <w:bookmarkEnd w:id="928"/>
      <w:bookmarkEnd w:id="929"/>
      <w:bookmarkEnd w:id="930"/>
      <w:bookmarkEnd w:id="931"/>
    </w:p>
    <w:p w14:paraId="764E7AB4" w14:textId="3F6E5F79" w:rsidR="00B46BF8" w:rsidRPr="008D2A17" w:rsidRDefault="00B46BF8" w:rsidP="00B46BF8">
      <w:pPr>
        <w:pStyle w:val="ECCParagraph"/>
      </w:pPr>
      <w:r w:rsidRPr="008D2A17">
        <w:t xml:space="preserve">ECC Decision (11)06 </w:t>
      </w:r>
      <w:r w:rsidRPr="008D2A17">
        <w:fldChar w:fldCharType="begin"/>
      </w:r>
      <w:r w:rsidRPr="008D2A17">
        <w:instrText xml:space="preserve"> REF _Ref500928586 \r \h  \* MERGEFORMAT </w:instrText>
      </w:r>
      <w:r w:rsidRPr="008D2A17">
        <w:fldChar w:fldCharType="separate"/>
      </w:r>
      <w:r w:rsidR="00E3495E">
        <w:t>[1]</w:t>
      </w:r>
      <w:r w:rsidRPr="008D2A17">
        <w:fldChar w:fldCharType="end"/>
      </w:r>
      <w:r w:rsidRPr="008D2A17">
        <w:t xml:space="preserve"> states that coordination</w:t>
      </w:r>
      <w:r w:rsidRPr="008D2A17">
        <w:rPr>
          <w:rStyle w:val="FootnoteReference"/>
        </w:rPr>
        <w:footnoteReference w:id="10"/>
      </w:r>
      <w:r w:rsidRPr="008D2A17">
        <w:t xml:space="preserve"> between </w:t>
      </w:r>
      <w:r w:rsidR="008A1679" w:rsidRPr="008D2A17">
        <w:t>WBB ECS</w:t>
      </w:r>
      <w:r w:rsidRPr="008D2A17">
        <w:t xml:space="preserve"> and FSS or FS should be carried out on a case-by-case basis, since no single separation distance, frequency separation or signal strength limit can be provided. </w:t>
      </w:r>
      <w:r w:rsidR="00E820EA" w:rsidRPr="008D2A17">
        <w:t xml:space="preserve">That </w:t>
      </w:r>
      <w:r w:rsidRPr="008D2A17">
        <w:t xml:space="preserve">Decision (in its Annex 5) provides the key principles the </w:t>
      </w:r>
      <w:r w:rsidR="00EA1D94" w:rsidRPr="008D2A17">
        <w:t>A</w:t>
      </w:r>
      <w:r w:rsidRPr="008D2A17">
        <w:t xml:space="preserve">dministrations should implement in relation to the coexistence with other services than </w:t>
      </w:r>
      <w:r w:rsidR="008A1679" w:rsidRPr="008D2A17">
        <w:t>WBB ECS</w:t>
      </w:r>
      <w:r w:rsidRPr="008D2A17">
        <w:t xml:space="preserve"> in the 3400-3800</w:t>
      </w:r>
      <w:r w:rsidR="00AB2111" w:rsidRPr="008D2A17">
        <w:t> MHz</w:t>
      </w:r>
      <w:r w:rsidRPr="008D2A17">
        <w:t xml:space="preserve"> range.</w:t>
      </w:r>
    </w:p>
    <w:p w14:paraId="3BC649A5" w14:textId="3929AD67" w:rsidR="00B46BF8" w:rsidRPr="008D2A17" w:rsidRDefault="00B46BF8" w:rsidP="00AD7F41">
      <w:pPr>
        <w:pStyle w:val="ECCParagraph"/>
      </w:pPr>
      <w:r w:rsidRPr="008D2A17">
        <w:t xml:space="preserve">More recently, the ECC published ECC Report 254 </w:t>
      </w:r>
      <w:r w:rsidR="0094535F" w:rsidRPr="008D2A17">
        <w:fldChar w:fldCharType="begin"/>
      </w:r>
      <w:r w:rsidR="0094535F" w:rsidRPr="008D2A17">
        <w:instrText xml:space="preserve"> REF _Ref500264610 \r \h </w:instrText>
      </w:r>
      <w:r w:rsidR="00CE0DB1" w:rsidRPr="008D2A17">
        <w:instrText xml:space="preserve"> \* MERGEFORMAT </w:instrText>
      </w:r>
      <w:r w:rsidR="0094535F" w:rsidRPr="008D2A17">
        <w:fldChar w:fldCharType="separate"/>
      </w:r>
      <w:r w:rsidR="00FA5407">
        <w:t>[2]</w:t>
      </w:r>
      <w:r w:rsidR="0094535F" w:rsidRPr="008D2A17">
        <w:fldChar w:fldCharType="end"/>
      </w:r>
      <w:r w:rsidR="0094535F" w:rsidRPr="008D2A17">
        <w:t xml:space="preserve"> </w:t>
      </w:r>
      <w:r w:rsidRPr="008D2A17">
        <w:t>containing operational guidelines to support the implementation of the current ECC framework for Mobile/Fixed Communications Networks (MFCN) in the 3600-3800</w:t>
      </w:r>
      <w:r w:rsidR="00AB2111" w:rsidRPr="008D2A17">
        <w:t> MHz</w:t>
      </w:r>
      <w:r w:rsidRPr="008D2A17">
        <w:t xml:space="preserve"> range. The Report outlines optional procedures to enable </w:t>
      </w:r>
      <w:r w:rsidR="00EA1D94" w:rsidRPr="008D2A17">
        <w:t>A</w:t>
      </w:r>
      <w:r w:rsidRPr="008D2A17">
        <w:t xml:space="preserve">dministrations to allow sharing between MFCN </w:t>
      </w:r>
      <w:r w:rsidR="008A1679" w:rsidRPr="008D2A17">
        <w:t xml:space="preserve">(WBB ECS) </w:t>
      </w:r>
      <w:r w:rsidRPr="008D2A17">
        <w:t>and Fixed Satellite Service and Fixed Service in this band. Based on national circumstances an administration might apply the most suitable procedures to set up its national sharing framework.</w:t>
      </w:r>
      <w:r w:rsidR="00DD7F9D" w:rsidRPr="008D2A17">
        <w:rPr>
          <w:rStyle w:val="ECCHLorange"/>
          <w:shd w:val="clear" w:color="auto" w:fill="auto"/>
        </w:rPr>
        <w:t xml:space="preserve"> ECC report 254 does not address AAS systems.</w:t>
      </w:r>
    </w:p>
    <w:p w14:paraId="41041B54" w14:textId="5AC958E9" w:rsidR="00B46BF8" w:rsidRPr="008D2A17" w:rsidRDefault="00B46BF8" w:rsidP="00AD7F41">
      <w:pPr>
        <w:pStyle w:val="ECCParagraph"/>
        <w:rPr>
          <w:rStyle w:val="ECCHLpetrol"/>
          <w:color w:val="auto"/>
          <w:shd w:val="clear" w:color="auto" w:fill="auto"/>
        </w:rPr>
      </w:pPr>
      <w:r w:rsidRPr="008D2A17">
        <w:rPr>
          <w:rStyle w:val="ECCHLpetrol"/>
          <w:color w:val="auto"/>
          <w:shd w:val="clear" w:color="auto" w:fill="auto"/>
        </w:rPr>
        <w:t>Given the fact that the 3400-3800</w:t>
      </w:r>
      <w:r w:rsidR="00AB2111" w:rsidRPr="008D2A17">
        <w:rPr>
          <w:rStyle w:val="ECCHLpetrol"/>
          <w:color w:val="auto"/>
          <w:shd w:val="clear" w:color="auto" w:fill="auto"/>
        </w:rPr>
        <w:t> MHz</w:t>
      </w:r>
      <w:r w:rsidRPr="008D2A17">
        <w:rPr>
          <w:rStyle w:val="ECCHLpetrol"/>
          <w:color w:val="auto"/>
          <w:shd w:val="clear" w:color="auto" w:fill="auto"/>
        </w:rPr>
        <w:t xml:space="preserve"> range is considered as a 5G primary band suitable for the introduction of 5G-based services in Europe even before 2020, </w:t>
      </w:r>
      <w:r w:rsidR="00EA1D94" w:rsidRPr="008D2A17">
        <w:rPr>
          <w:rStyle w:val="ECCHLpetrol"/>
          <w:color w:val="auto"/>
          <w:shd w:val="clear" w:color="auto" w:fill="auto"/>
        </w:rPr>
        <w:t>Member States</w:t>
      </w:r>
      <w:r w:rsidRPr="008D2A17">
        <w:rPr>
          <w:rStyle w:val="ECCHLpetrol"/>
          <w:color w:val="auto"/>
          <w:shd w:val="clear" w:color="auto" w:fill="auto"/>
        </w:rPr>
        <w:t xml:space="preserve"> will carefully assess the usage of spectrum within 3400-</w:t>
      </w:r>
      <w:r w:rsidR="00651A76" w:rsidRPr="008D2A17">
        <w:rPr>
          <w:rStyle w:val="ECCHLpetrol"/>
          <w:color w:val="auto"/>
          <w:shd w:val="clear" w:color="auto" w:fill="auto"/>
        </w:rPr>
        <w:t>3800</w:t>
      </w:r>
      <w:r w:rsidR="00AB2111" w:rsidRPr="008D2A17">
        <w:rPr>
          <w:rStyle w:val="ECCHLpetrol"/>
          <w:color w:val="auto"/>
          <w:shd w:val="clear" w:color="auto" w:fill="auto"/>
        </w:rPr>
        <w:t> MHz</w:t>
      </w:r>
      <w:r w:rsidRPr="008D2A17">
        <w:rPr>
          <w:rStyle w:val="ECCHLpetrol"/>
          <w:color w:val="auto"/>
          <w:shd w:val="clear" w:color="auto" w:fill="auto"/>
        </w:rPr>
        <w:t xml:space="preserve"> with an option of clearing the band, as much as possible, from incumbent services. Where appropriate</w:t>
      </w:r>
      <w:r w:rsidR="00293A15" w:rsidRPr="008D2A17">
        <w:rPr>
          <w:rStyle w:val="ECCHLpetrol"/>
          <w:color w:val="auto"/>
          <w:shd w:val="clear" w:color="auto" w:fill="auto"/>
        </w:rPr>
        <w:t>,</w:t>
      </w:r>
      <w:r w:rsidRPr="008D2A17">
        <w:rPr>
          <w:rStyle w:val="ECCHLpetrol"/>
          <w:color w:val="auto"/>
          <w:shd w:val="clear" w:color="auto" w:fill="auto"/>
        </w:rPr>
        <w:t xml:space="preserve"> </w:t>
      </w:r>
      <w:r w:rsidR="00EA1D94" w:rsidRPr="008D2A17">
        <w:rPr>
          <w:rStyle w:val="ECCHLpetrol"/>
          <w:color w:val="auto"/>
          <w:shd w:val="clear" w:color="auto" w:fill="auto"/>
        </w:rPr>
        <w:t>Member States</w:t>
      </w:r>
      <w:r w:rsidRPr="008D2A17">
        <w:rPr>
          <w:rStyle w:val="ECCHLpetrol"/>
          <w:color w:val="auto"/>
          <w:shd w:val="clear" w:color="auto" w:fill="auto"/>
        </w:rPr>
        <w:t xml:space="preserve"> will need to specify the provisions necessary to enable and facilitate the clearing or coexistence between 5G-based services and the existing incumbent services (FSS/FS) in the 3400-3800</w:t>
      </w:r>
      <w:r w:rsidR="00AB2111" w:rsidRPr="008D2A17">
        <w:rPr>
          <w:rStyle w:val="ECCHLpetrol"/>
          <w:color w:val="auto"/>
          <w:shd w:val="clear" w:color="auto" w:fill="auto"/>
        </w:rPr>
        <w:t> MHz</w:t>
      </w:r>
      <w:r w:rsidRPr="008D2A17">
        <w:rPr>
          <w:rStyle w:val="ECCHLpetrol"/>
          <w:color w:val="auto"/>
          <w:shd w:val="clear" w:color="auto" w:fill="auto"/>
        </w:rPr>
        <w:t xml:space="preserve"> band. Decisions will be taken based on impact assessments to determine the preferred approach with respect to incumbent services. Such assessments will be carried out at national level accounting for the overall social and economic benefits.</w:t>
      </w:r>
    </w:p>
    <w:p w14:paraId="55993DEE" w14:textId="335442E1" w:rsidR="00FE28BF" w:rsidRPr="008D2A17" w:rsidRDefault="007B1EC6" w:rsidP="00AD7F41">
      <w:pPr>
        <w:pStyle w:val="ECCParagraph"/>
        <w:rPr>
          <w:rStyle w:val="ECCHLpetrol"/>
          <w:color w:val="auto"/>
          <w:shd w:val="clear" w:color="auto" w:fill="auto"/>
        </w:rPr>
      </w:pPr>
      <w:r w:rsidRPr="008D2A17">
        <w:t xml:space="preserve">For protection of FSS and FS above 3800 MHz, a set of additional baselines is proposed for AAS and non-AAS base stations to support the coordination process to be carried out at national level on case by case basis with support from the operations guidelines from ECC Report 254 </w:t>
      </w:r>
      <w:r w:rsidRPr="008D2A17">
        <w:rPr>
          <w:b/>
          <w:bCs/>
          <w:iCs/>
          <w:caps/>
        </w:rPr>
        <w:fldChar w:fldCharType="begin"/>
      </w:r>
      <w:r w:rsidRPr="008D2A17">
        <w:instrText xml:space="preserve"> REF _Ref500264610 \r \h </w:instrText>
      </w:r>
      <w:r w:rsidRPr="008D2A17">
        <w:rPr>
          <w:b/>
          <w:bCs/>
          <w:iCs/>
          <w:caps/>
        </w:rPr>
        <w:instrText xml:space="preserve"> \* MERGEFORMAT </w:instrText>
      </w:r>
      <w:r w:rsidRPr="008D2A17">
        <w:rPr>
          <w:b/>
          <w:bCs/>
          <w:iCs/>
          <w:caps/>
        </w:rPr>
      </w:r>
      <w:r w:rsidRPr="008D2A17">
        <w:rPr>
          <w:b/>
          <w:bCs/>
          <w:iCs/>
          <w:caps/>
        </w:rPr>
        <w:fldChar w:fldCharType="separate"/>
      </w:r>
      <w:r w:rsidR="00FA5407">
        <w:t>[2]</w:t>
      </w:r>
      <w:r w:rsidRPr="008D2A17">
        <w:rPr>
          <w:b/>
          <w:bCs/>
          <w:iCs/>
          <w:caps/>
        </w:rPr>
        <w:fldChar w:fldCharType="end"/>
      </w:r>
      <w:r w:rsidRPr="008D2A17">
        <w:rPr>
          <w:b/>
          <w:bCs/>
          <w:iCs/>
          <w:caps/>
        </w:rPr>
        <w:t>.</w:t>
      </w:r>
    </w:p>
    <w:p w14:paraId="4DE468B9" w14:textId="77777777" w:rsidR="00EA5B45" w:rsidRPr="008D2A17" w:rsidRDefault="00EA5B45" w:rsidP="00C2718C">
      <w:pPr>
        <w:pStyle w:val="Heading3"/>
        <w:rPr>
          <w:lang w:val="en-GB"/>
        </w:rPr>
      </w:pPr>
      <w:bookmarkStart w:id="932" w:name="_Toc500931693"/>
      <w:bookmarkStart w:id="933" w:name="_Toc500851059"/>
      <w:bookmarkStart w:id="934" w:name="_Toc501012937"/>
      <w:bookmarkStart w:id="935" w:name="_Toc514428343"/>
      <w:bookmarkStart w:id="936" w:name="_Toc507766109"/>
      <w:r w:rsidRPr="008D2A17">
        <w:rPr>
          <w:lang w:val="en-GB"/>
        </w:rPr>
        <w:t>Out-of-band power limits: coexistence with radio astronomy</w:t>
      </w:r>
      <w:bookmarkEnd w:id="932"/>
      <w:bookmarkEnd w:id="933"/>
      <w:bookmarkEnd w:id="934"/>
      <w:bookmarkEnd w:id="935"/>
      <w:bookmarkEnd w:id="936"/>
    </w:p>
    <w:p w14:paraId="4E924CF5" w14:textId="23E907A4" w:rsidR="00B46BF8" w:rsidRPr="008D2A17" w:rsidRDefault="00EA5B45" w:rsidP="006978BC">
      <w:pPr>
        <w:rPr>
          <w:lang w:val="en-GB"/>
        </w:rPr>
      </w:pPr>
      <w:r w:rsidRPr="008D2A17">
        <w:rPr>
          <w:lang w:val="en-GB"/>
        </w:rPr>
        <w:t xml:space="preserve">For the protection of RAS observations from possible detrimental interference by AAS WBB ECS, exclusion zones around RAS stations </w:t>
      </w:r>
      <w:r w:rsidR="00791223" w:rsidRPr="008D2A17">
        <w:rPr>
          <w:lang w:val="en-GB"/>
        </w:rPr>
        <w:t xml:space="preserve">will </w:t>
      </w:r>
      <w:r w:rsidRPr="008D2A17">
        <w:rPr>
          <w:lang w:val="en-GB"/>
        </w:rPr>
        <w:t>be required</w:t>
      </w:r>
      <w:r w:rsidR="00791223" w:rsidRPr="008D2A17">
        <w:rPr>
          <w:lang w:val="en-GB"/>
        </w:rPr>
        <w:t>, whose radii are to be determined</w:t>
      </w:r>
      <w:r w:rsidRPr="008D2A17">
        <w:rPr>
          <w:lang w:val="en-GB"/>
        </w:rPr>
        <w:t xml:space="preserve"> based on coordination at national level on a case-by-case basis.</w:t>
      </w:r>
    </w:p>
    <w:p w14:paraId="5D9F4558" w14:textId="77777777" w:rsidR="00B46BF8" w:rsidRPr="008D2A17" w:rsidRDefault="00B46BF8" w:rsidP="00C2718C">
      <w:pPr>
        <w:pStyle w:val="Heading3"/>
        <w:rPr>
          <w:lang w:val="en-GB"/>
        </w:rPr>
      </w:pPr>
      <w:bookmarkStart w:id="937" w:name="_Toc500154389"/>
      <w:bookmarkStart w:id="938" w:name="_Toc500154748"/>
      <w:bookmarkStart w:id="939" w:name="_Toc500155106"/>
      <w:bookmarkStart w:id="940" w:name="_Toc500155496"/>
      <w:bookmarkStart w:id="941" w:name="_Toc500155881"/>
      <w:bookmarkStart w:id="942" w:name="_Toc500156267"/>
      <w:bookmarkStart w:id="943" w:name="_Toc500156653"/>
      <w:bookmarkStart w:id="944" w:name="_Toc500157039"/>
      <w:bookmarkStart w:id="945" w:name="_Toc500157423"/>
      <w:bookmarkStart w:id="946" w:name="_Toc500158230"/>
      <w:bookmarkStart w:id="947" w:name="_Toc500158616"/>
      <w:bookmarkStart w:id="948" w:name="_Toc500159001"/>
      <w:bookmarkStart w:id="949" w:name="_Toc500154390"/>
      <w:bookmarkStart w:id="950" w:name="_Toc500154749"/>
      <w:bookmarkStart w:id="951" w:name="_Toc500155107"/>
      <w:bookmarkStart w:id="952" w:name="_Toc500155497"/>
      <w:bookmarkStart w:id="953" w:name="_Toc500155882"/>
      <w:bookmarkStart w:id="954" w:name="_Toc500156268"/>
      <w:bookmarkStart w:id="955" w:name="_Toc500156654"/>
      <w:bookmarkStart w:id="956" w:name="_Toc500157040"/>
      <w:bookmarkStart w:id="957" w:name="_Toc500157424"/>
      <w:bookmarkStart w:id="958" w:name="_Toc500158231"/>
      <w:bookmarkStart w:id="959" w:name="_Toc500158617"/>
      <w:bookmarkStart w:id="960" w:name="_Toc500159002"/>
      <w:bookmarkStart w:id="961" w:name="_Toc500154391"/>
      <w:bookmarkStart w:id="962" w:name="_Toc500154750"/>
      <w:bookmarkStart w:id="963" w:name="_Toc500155108"/>
      <w:bookmarkStart w:id="964" w:name="_Toc500155498"/>
      <w:bookmarkStart w:id="965" w:name="_Toc500155883"/>
      <w:bookmarkStart w:id="966" w:name="_Toc500156269"/>
      <w:bookmarkStart w:id="967" w:name="_Toc500156655"/>
      <w:bookmarkStart w:id="968" w:name="_Toc500157041"/>
      <w:bookmarkStart w:id="969" w:name="_Toc500157425"/>
      <w:bookmarkStart w:id="970" w:name="_Toc500158232"/>
      <w:bookmarkStart w:id="971" w:name="_Toc500158618"/>
      <w:bookmarkStart w:id="972" w:name="_Toc500159003"/>
      <w:bookmarkStart w:id="973" w:name="_Toc500154392"/>
      <w:bookmarkStart w:id="974" w:name="_Toc500154751"/>
      <w:bookmarkStart w:id="975" w:name="_Toc500155109"/>
      <w:bookmarkStart w:id="976" w:name="_Toc500155499"/>
      <w:bookmarkStart w:id="977" w:name="_Toc500155884"/>
      <w:bookmarkStart w:id="978" w:name="_Toc500156270"/>
      <w:bookmarkStart w:id="979" w:name="_Toc500156656"/>
      <w:bookmarkStart w:id="980" w:name="_Toc500157042"/>
      <w:bookmarkStart w:id="981" w:name="_Toc500157426"/>
      <w:bookmarkStart w:id="982" w:name="_Toc500158233"/>
      <w:bookmarkStart w:id="983" w:name="_Toc500158619"/>
      <w:bookmarkStart w:id="984" w:name="_Toc500159004"/>
      <w:bookmarkStart w:id="985" w:name="_Toc500154424"/>
      <w:bookmarkStart w:id="986" w:name="_Toc500154783"/>
      <w:bookmarkStart w:id="987" w:name="_Toc500155141"/>
      <w:bookmarkStart w:id="988" w:name="_Toc500155531"/>
      <w:bookmarkStart w:id="989" w:name="_Toc500155916"/>
      <w:bookmarkStart w:id="990" w:name="_Toc500156302"/>
      <w:bookmarkStart w:id="991" w:name="_Toc500156688"/>
      <w:bookmarkStart w:id="992" w:name="_Toc500157074"/>
      <w:bookmarkStart w:id="993" w:name="_Toc500157458"/>
      <w:bookmarkStart w:id="994" w:name="_Toc500158265"/>
      <w:bookmarkStart w:id="995" w:name="_Toc500158651"/>
      <w:bookmarkStart w:id="996" w:name="_Toc500159036"/>
      <w:bookmarkStart w:id="997" w:name="_Toc500154425"/>
      <w:bookmarkStart w:id="998" w:name="_Toc500154784"/>
      <w:bookmarkStart w:id="999" w:name="_Toc500155142"/>
      <w:bookmarkStart w:id="1000" w:name="_Toc500155532"/>
      <w:bookmarkStart w:id="1001" w:name="_Toc500155917"/>
      <w:bookmarkStart w:id="1002" w:name="_Toc500156303"/>
      <w:bookmarkStart w:id="1003" w:name="_Toc500156689"/>
      <w:bookmarkStart w:id="1004" w:name="_Toc500157075"/>
      <w:bookmarkStart w:id="1005" w:name="_Toc500157459"/>
      <w:bookmarkStart w:id="1006" w:name="_Toc500158266"/>
      <w:bookmarkStart w:id="1007" w:name="_Toc500158652"/>
      <w:bookmarkStart w:id="1008" w:name="_Toc500159037"/>
      <w:bookmarkStart w:id="1009" w:name="_Toc500154426"/>
      <w:bookmarkStart w:id="1010" w:name="_Toc500154785"/>
      <w:bookmarkStart w:id="1011" w:name="_Toc500155143"/>
      <w:bookmarkStart w:id="1012" w:name="_Toc500155533"/>
      <w:bookmarkStart w:id="1013" w:name="_Toc500155918"/>
      <w:bookmarkStart w:id="1014" w:name="_Toc500156304"/>
      <w:bookmarkStart w:id="1015" w:name="_Toc500156690"/>
      <w:bookmarkStart w:id="1016" w:name="_Toc500157076"/>
      <w:bookmarkStart w:id="1017" w:name="_Toc500157460"/>
      <w:bookmarkStart w:id="1018" w:name="_Toc500158267"/>
      <w:bookmarkStart w:id="1019" w:name="_Toc500158653"/>
      <w:bookmarkStart w:id="1020" w:name="_Toc500159038"/>
      <w:bookmarkStart w:id="1021" w:name="_Toc500154427"/>
      <w:bookmarkStart w:id="1022" w:name="_Toc500154786"/>
      <w:bookmarkStart w:id="1023" w:name="_Toc500155144"/>
      <w:bookmarkStart w:id="1024" w:name="_Toc500155534"/>
      <w:bookmarkStart w:id="1025" w:name="_Toc500155919"/>
      <w:bookmarkStart w:id="1026" w:name="_Toc500156305"/>
      <w:bookmarkStart w:id="1027" w:name="_Toc500156691"/>
      <w:bookmarkStart w:id="1028" w:name="_Toc500157077"/>
      <w:bookmarkStart w:id="1029" w:name="_Toc500157461"/>
      <w:bookmarkStart w:id="1030" w:name="_Toc500158268"/>
      <w:bookmarkStart w:id="1031" w:name="_Toc500158654"/>
      <w:bookmarkStart w:id="1032" w:name="_Toc500159039"/>
      <w:bookmarkStart w:id="1033" w:name="_Toc500154428"/>
      <w:bookmarkStart w:id="1034" w:name="_Toc500154787"/>
      <w:bookmarkStart w:id="1035" w:name="_Toc500155145"/>
      <w:bookmarkStart w:id="1036" w:name="_Toc500155535"/>
      <w:bookmarkStart w:id="1037" w:name="_Toc500155920"/>
      <w:bookmarkStart w:id="1038" w:name="_Toc500156306"/>
      <w:bookmarkStart w:id="1039" w:name="_Toc500156692"/>
      <w:bookmarkStart w:id="1040" w:name="_Toc500157078"/>
      <w:bookmarkStart w:id="1041" w:name="_Toc500157462"/>
      <w:bookmarkStart w:id="1042" w:name="_Toc500158269"/>
      <w:bookmarkStart w:id="1043" w:name="_Toc500158655"/>
      <w:bookmarkStart w:id="1044" w:name="_Toc500159040"/>
      <w:bookmarkStart w:id="1045" w:name="_Toc500154429"/>
      <w:bookmarkStart w:id="1046" w:name="_Toc500154788"/>
      <w:bookmarkStart w:id="1047" w:name="_Toc500155146"/>
      <w:bookmarkStart w:id="1048" w:name="_Toc500155536"/>
      <w:bookmarkStart w:id="1049" w:name="_Toc500155921"/>
      <w:bookmarkStart w:id="1050" w:name="_Toc500156307"/>
      <w:bookmarkStart w:id="1051" w:name="_Toc500156693"/>
      <w:bookmarkStart w:id="1052" w:name="_Toc500157079"/>
      <w:bookmarkStart w:id="1053" w:name="_Toc500157463"/>
      <w:bookmarkStart w:id="1054" w:name="_Toc500158270"/>
      <w:bookmarkStart w:id="1055" w:name="_Toc500158656"/>
      <w:bookmarkStart w:id="1056" w:name="_Toc500159041"/>
      <w:bookmarkStart w:id="1057" w:name="_Toc500154430"/>
      <w:bookmarkStart w:id="1058" w:name="_Toc500154789"/>
      <w:bookmarkStart w:id="1059" w:name="_Toc500155147"/>
      <w:bookmarkStart w:id="1060" w:name="_Toc500155537"/>
      <w:bookmarkStart w:id="1061" w:name="_Toc500155922"/>
      <w:bookmarkStart w:id="1062" w:name="_Toc500156308"/>
      <w:bookmarkStart w:id="1063" w:name="_Toc500156694"/>
      <w:bookmarkStart w:id="1064" w:name="_Toc500157080"/>
      <w:bookmarkStart w:id="1065" w:name="_Toc500157464"/>
      <w:bookmarkStart w:id="1066" w:name="_Toc500158271"/>
      <w:bookmarkStart w:id="1067" w:name="_Toc500158657"/>
      <w:bookmarkStart w:id="1068" w:name="_Toc500159042"/>
      <w:bookmarkStart w:id="1069" w:name="_Toc500154431"/>
      <w:bookmarkStart w:id="1070" w:name="_Toc500154790"/>
      <w:bookmarkStart w:id="1071" w:name="_Toc500155148"/>
      <w:bookmarkStart w:id="1072" w:name="_Toc500155538"/>
      <w:bookmarkStart w:id="1073" w:name="_Toc500155923"/>
      <w:bookmarkStart w:id="1074" w:name="_Toc500156309"/>
      <w:bookmarkStart w:id="1075" w:name="_Toc500156695"/>
      <w:bookmarkStart w:id="1076" w:name="_Toc500157081"/>
      <w:bookmarkStart w:id="1077" w:name="_Toc500157465"/>
      <w:bookmarkStart w:id="1078" w:name="_Toc500158272"/>
      <w:bookmarkStart w:id="1079" w:name="_Toc500158658"/>
      <w:bookmarkStart w:id="1080" w:name="_Toc500159043"/>
      <w:bookmarkStart w:id="1081" w:name="_Toc500154432"/>
      <w:bookmarkStart w:id="1082" w:name="_Toc500154791"/>
      <w:bookmarkStart w:id="1083" w:name="_Toc500155149"/>
      <w:bookmarkStart w:id="1084" w:name="_Toc500155539"/>
      <w:bookmarkStart w:id="1085" w:name="_Toc500155924"/>
      <w:bookmarkStart w:id="1086" w:name="_Toc500156310"/>
      <w:bookmarkStart w:id="1087" w:name="_Toc500156696"/>
      <w:bookmarkStart w:id="1088" w:name="_Toc500157082"/>
      <w:bookmarkStart w:id="1089" w:name="_Toc500157466"/>
      <w:bookmarkStart w:id="1090" w:name="_Toc500158273"/>
      <w:bookmarkStart w:id="1091" w:name="_Toc500158659"/>
      <w:bookmarkStart w:id="1092" w:name="_Toc500159044"/>
      <w:bookmarkStart w:id="1093" w:name="_Toc500154433"/>
      <w:bookmarkStart w:id="1094" w:name="_Toc500154792"/>
      <w:bookmarkStart w:id="1095" w:name="_Toc500155150"/>
      <w:bookmarkStart w:id="1096" w:name="_Toc500155540"/>
      <w:bookmarkStart w:id="1097" w:name="_Toc500155925"/>
      <w:bookmarkStart w:id="1098" w:name="_Toc500156311"/>
      <w:bookmarkStart w:id="1099" w:name="_Toc500156697"/>
      <w:bookmarkStart w:id="1100" w:name="_Toc500157083"/>
      <w:bookmarkStart w:id="1101" w:name="_Toc500157467"/>
      <w:bookmarkStart w:id="1102" w:name="_Toc500158274"/>
      <w:bookmarkStart w:id="1103" w:name="_Toc500158660"/>
      <w:bookmarkStart w:id="1104" w:name="_Toc500159045"/>
      <w:bookmarkStart w:id="1105" w:name="_Toc500154434"/>
      <w:bookmarkStart w:id="1106" w:name="_Toc500154793"/>
      <w:bookmarkStart w:id="1107" w:name="_Toc500155151"/>
      <w:bookmarkStart w:id="1108" w:name="_Toc500155541"/>
      <w:bookmarkStart w:id="1109" w:name="_Toc500155926"/>
      <w:bookmarkStart w:id="1110" w:name="_Toc500156312"/>
      <w:bookmarkStart w:id="1111" w:name="_Toc500156698"/>
      <w:bookmarkStart w:id="1112" w:name="_Toc500157084"/>
      <w:bookmarkStart w:id="1113" w:name="_Toc500157468"/>
      <w:bookmarkStart w:id="1114" w:name="_Toc500158275"/>
      <w:bookmarkStart w:id="1115" w:name="_Toc500158661"/>
      <w:bookmarkStart w:id="1116" w:name="_Toc500159046"/>
      <w:bookmarkStart w:id="1117" w:name="_Toc500154435"/>
      <w:bookmarkStart w:id="1118" w:name="_Toc500154794"/>
      <w:bookmarkStart w:id="1119" w:name="_Toc500155152"/>
      <w:bookmarkStart w:id="1120" w:name="_Toc500155542"/>
      <w:bookmarkStart w:id="1121" w:name="_Toc500155927"/>
      <w:bookmarkStart w:id="1122" w:name="_Toc500156313"/>
      <w:bookmarkStart w:id="1123" w:name="_Toc500156699"/>
      <w:bookmarkStart w:id="1124" w:name="_Toc500157085"/>
      <w:bookmarkStart w:id="1125" w:name="_Toc500157469"/>
      <w:bookmarkStart w:id="1126" w:name="_Toc500158276"/>
      <w:bookmarkStart w:id="1127" w:name="_Toc500158662"/>
      <w:bookmarkStart w:id="1128" w:name="_Toc500159047"/>
      <w:bookmarkStart w:id="1129" w:name="_Toc500154436"/>
      <w:bookmarkStart w:id="1130" w:name="_Toc500154795"/>
      <w:bookmarkStart w:id="1131" w:name="_Toc500155153"/>
      <w:bookmarkStart w:id="1132" w:name="_Toc500155543"/>
      <w:bookmarkStart w:id="1133" w:name="_Toc500155928"/>
      <w:bookmarkStart w:id="1134" w:name="_Toc500156314"/>
      <w:bookmarkStart w:id="1135" w:name="_Toc500156700"/>
      <w:bookmarkStart w:id="1136" w:name="_Toc500157086"/>
      <w:bookmarkStart w:id="1137" w:name="_Toc500157470"/>
      <w:bookmarkStart w:id="1138" w:name="_Toc500158277"/>
      <w:bookmarkStart w:id="1139" w:name="_Toc500158663"/>
      <w:bookmarkStart w:id="1140" w:name="_Toc500159048"/>
      <w:bookmarkStart w:id="1141" w:name="_Toc500154437"/>
      <w:bookmarkStart w:id="1142" w:name="_Toc500154796"/>
      <w:bookmarkStart w:id="1143" w:name="_Toc500155154"/>
      <w:bookmarkStart w:id="1144" w:name="_Toc500155544"/>
      <w:bookmarkStart w:id="1145" w:name="_Toc500155929"/>
      <w:bookmarkStart w:id="1146" w:name="_Toc500156315"/>
      <w:bookmarkStart w:id="1147" w:name="_Toc500156701"/>
      <w:bookmarkStart w:id="1148" w:name="_Toc500157087"/>
      <w:bookmarkStart w:id="1149" w:name="_Toc500157471"/>
      <w:bookmarkStart w:id="1150" w:name="_Toc500158278"/>
      <w:bookmarkStart w:id="1151" w:name="_Toc500158664"/>
      <w:bookmarkStart w:id="1152" w:name="_Toc500159049"/>
      <w:bookmarkStart w:id="1153" w:name="_Toc500154438"/>
      <w:bookmarkStart w:id="1154" w:name="_Toc500154797"/>
      <w:bookmarkStart w:id="1155" w:name="_Toc500155155"/>
      <w:bookmarkStart w:id="1156" w:name="_Toc500155545"/>
      <w:bookmarkStart w:id="1157" w:name="_Toc500155930"/>
      <w:bookmarkStart w:id="1158" w:name="_Toc500156316"/>
      <w:bookmarkStart w:id="1159" w:name="_Toc500156702"/>
      <w:bookmarkStart w:id="1160" w:name="_Toc500157088"/>
      <w:bookmarkStart w:id="1161" w:name="_Toc500157472"/>
      <w:bookmarkStart w:id="1162" w:name="_Toc500158279"/>
      <w:bookmarkStart w:id="1163" w:name="_Toc500158665"/>
      <w:bookmarkStart w:id="1164" w:name="_Toc500159050"/>
      <w:bookmarkStart w:id="1165" w:name="_Toc500154439"/>
      <w:bookmarkStart w:id="1166" w:name="_Toc500154798"/>
      <w:bookmarkStart w:id="1167" w:name="_Toc500155156"/>
      <w:bookmarkStart w:id="1168" w:name="_Toc500155546"/>
      <w:bookmarkStart w:id="1169" w:name="_Toc500155931"/>
      <w:bookmarkStart w:id="1170" w:name="_Toc500156317"/>
      <w:bookmarkStart w:id="1171" w:name="_Toc500156703"/>
      <w:bookmarkStart w:id="1172" w:name="_Toc500157089"/>
      <w:bookmarkStart w:id="1173" w:name="_Toc500157473"/>
      <w:bookmarkStart w:id="1174" w:name="_Toc500158280"/>
      <w:bookmarkStart w:id="1175" w:name="_Toc500158666"/>
      <w:bookmarkStart w:id="1176" w:name="_Toc500159051"/>
      <w:bookmarkStart w:id="1177" w:name="_Toc500154440"/>
      <w:bookmarkStart w:id="1178" w:name="_Toc500154799"/>
      <w:bookmarkStart w:id="1179" w:name="_Toc500155157"/>
      <w:bookmarkStart w:id="1180" w:name="_Toc500155547"/>
      <w:bookmarkStart w:id="1181" w:name="_Toc500155932"/>
      <w:bookmarkStart w:id="1182" w:name="_Toc500156318"/>
      <w:bookmarkStart w:id="1183" w:name="_Toc500156704"/>
      <w:bookmarkStart w:id="1184" w:name="_Toc500157090"/>
      <w:bookmarkStart w:id="1185" w:name="_Toc500157474"/>
      <w:bookmarkStart w:id="1186" w:name="_Toc500158281"/>
      <w:bookmarkStart w:id="1187" w:name="_Toc500158667"/>
      <w:bookmarkStart w:id="1188" w:name="_Toc500159052"/>
      <w:bookmarkStart w:id="1189" w:name="_Toc500154441"/>
      <w:bookmarkStart w:id="1190" w:name="_Toc500154800"/>
      <w:bookmarkStart w:id="1191" w:name="_Toc500155158"/>
      <w:bookmarkStart w:id="1192" w:name="_Toc500155548"/>
      <w:bookmarkStart w:id="1193" w:name="_Toc500155933"/>
      <w:bookmarkStart w:id="1194" w:name="_Toc500156319"/>
      <w:bookmarkStart w:id="1195" w:name="_Toc500156705"/>
      <w:bookmarkStart w:id="1196" w:name="_Toc500157091"/>
      <w:bookmarkStart w:id="1197" w:name="_Toc500157475"/>
      <w:bookmarkStart w:id="1198" w:name="_Toc500158282"/>
      <w:bookmarkStart w:id="1199" w:name="_Toc500158668"/>
      <w:bookmarkStart w:id="1200" w:name="_Toc500159053"/>
      <w:bookmarkStart w:id="1201" w:name="_Toc500154442"/>
      <w:bookmarkStart w:id="1202" w:name="_Toc500154801"/>
      <w:bookmarkStart w:id="1203" w:name="_Toc500155159"/>
      <w:bookmarkStart w:id="1204" w:name="_Toc500155549"/>
      <w:bookmarkStart w:id="1205" w:name="_Toc500155934"/>
      <w:bookmarkStart w:id="1206" w:name="_Toc500156320"/>
      <w:bookmarkStart w:id="1207" w:name="_Toc500156706"/>
      <w:bookmarkStart w:id="1208" w:name="_Toc500157092"/>
      <w:bookmarkStart w:id="1209" w:name="_Toc500157476"/>
      <w:bookmarkStart w:id="1210" w:name="_Toc500158283"/>
      <w:bookmarkStart w:id="1211" w:name="_Toc500158669"/>
      <w:bookmarkStart w:id="1212" w:name="_Toc500159054"/>
      <w:bookmarkStart w:id="1213" w:name="_Toc500154443"/>
      <w:bookmarkStart w:id="1214" w:name="_Toc500154802"/>
      <w:bookmarkStart w:id="1215" w:name="_Toc500155160"/>
      <w:bookmarkStart w:id="1216" w:name="_Toc500155550"/>
      <w:bookmarkStart w:id="1217" w:name="_Toc500155935"/>
      <w:bookmarkStart w:id="1218" w:name="_Toc500156321"/>
      <w:bookmarkStart w:id="1219" w:name="_Toc500156707"/>
      <w:bookmarkStart w:id="1220" w:name="_Toc500157093"/>
      <w:bookmarkStart w:id="1221" w:name="_Toc500157477"/>
      <w:bookmarkStart w:id="1222" w:name="_Toc500158284"/>
      <w:bookmarkStart w:id="1223" w:name="_Toc500158670"/>
      <w:bookmarkStart w:id="1224" w:name="_Toc500159055"/>
      <w:bookmarkStart w:id="1225" w:name="_Toc500154444"/>
      <w:bookmarkStart w:id="1226" w:name="_Toc500154803"/>
      <w:bookmarkStart w:id="1227" w:name="_Toc500155161"/>
      <w:bookmarkStart w:id="1228" w:name="_Toc500155551"/>
      <w:bookmarkStart w:id="1229" w:name="_Toc500155936"/>
      <w:bookmarkStart w:id="1230" w:name="_Toc500156322"/>
      <w:bookmarkStart w:id="1231" w:name="_Toc500156708"/>
      <w:bookmarkStart w:id="1232" w:name="_Toc500157094"/>
      <w:bookmarkStart w:id="1233" w:name="_Toc500157478"/>
      <w:bookmarkStart w:id="1234" w:name="_Toc500158285"/>
      <w:bookmarkStart w:id="1235" w:name="_Toc500158671"/>
      <w:bookmarkStart w:id="1236" w:name="_Toc500159056"/>
      <w:bookmarkStart w:id="1237" w:name="_Toc500154445"/>
      <w:bookmarkStart w:id="1238" w:name="_Toc500154804"/>
      <w:bookmarkStart w:id="1239" w:name="_Toc500155162"/>
      <w:bookmarkStart w:id="1240" w:name="_Toc500155552"/>
      <w:bookmarkStart w:id="1241" w:name="_Toc500155937"/>
      <w:bookmarkStart w:id="1242" w:name="_Toc500156323"/>
      <w:bookmarkStart w:id="1243" w:name="_Toc500156709"/>
      <w:bookmarkStart w:id="1244" w:name="_Toc500157095"/>
      <w:bookmarkStart w:id="1245" w:name="_Toc500157479"/>
      <w:bookmarkStart w:id="1246" w:name="_Toc500158286"/>
      <w:bookmarkStart w:id="1247" w:name="_Toc500158672"/>
      <w:bookmarkStart w:id="1248" w:name="_Toc500159057"/>
      <w:bookmarkStart w:id="1249" w:name="_Toc500154446"/>
      <w:bookmarkStart w:id="1250" w:name="_Toc500154805"/>
      <w:bookmarkStart w:id="1251" w:name="_Toc500155163"/>
      <w:bookmarkStart w:id="1252" w:name="_Toc500155553"/>
      <w:bookmarkStart w:id="1253" w:name="_Toc500155938"/>
      <w:bookmarkStart w:id="1254" w:name="_Toc500156324"/>
      <w:bookmarkStart w:id="1255" w:name="_Toc500156710"/>
      <w:bookmarkStart w:id="1256" w:name="_Toc500157096"/>
      <w:bookmarkStart w:id="1257" w:name="_Toc500157480"/>
      <w:bookmarkStart w:id="1258" w:name="_Toc500158287"/>
      <w:bookmarkStart w:id="1259" w:name="_Toc500158673"/>
      <w:bookmarkStart w:id="1260" w:name="_Toc500159058"/>
      <w:bookmarkStart w:id="1261" w:name="_Toc500154447"/>
      <w:bookmarkStart w:id="1262" w:name="_Toc500154806"/>
      <w:bookmarkStart w:id="1263" w:name="_Toc500155164"/>
      <w:bookmarkStart w:id="1264" w:name="_Toc500155554"/>
      <w:bookmarkStart w:id="1265" w:name="_Toc500155939"/>
      <w:bookmarkStart w:id="1266" w:name="_Toc500156325"/>
      <w:bookmarkStart w:id="1267" w:name="_Toc500156711"/>
      <w:bookmarkStart w:id="1268" w:name="_Toc500157097"/>
      <w:bookmarkStart w:id="1269" w:name="_Toc500157481"/>
      <w:bookmarkStart w:id="1270" w:name="_Toc500158288"/>
      <w:bookmarkStart w:id="1271" w:name="_Toc500158674"/>
      <w:bookmarkStart w:id="1272" w:name="_Toc500159059"/>
      <w:bookmarkStart w:id="1273" w:name="_Toc500154448"/>
      <w:bookmarkStart w:id="1274" w:name="_Toc500154807"/>
      <w:bookmarkStart w:id="1275" w:name="_Toc500155165"/>
      <w:bookmarkStart w:id="1276" w:name="_Toc500155555"/>
      <w:bookmarkStart w:id="1277" w:name="_Toc500155940"/>
      <w:bookmarkStart w:id="1278" w:name="_Toc500156326"/>
      <w:bookmarkStart w:id="1279" w:name="_Toc500156712"/>
      <w:bookmarkStart w:id="1280" w:name="_Toc500157098"/>
      <w:bookmarkStart w:id="1281" w:name="_Toc500157482"/>
      <w:bookmarkStart w:id="1282" w:name="_Toc500158289"/>
      <w:bookmarkStart w:id="1283" w:name="_Toc500158675"/>
      <w:bookmarkStart w:id="1284" w:name="_Toc500159060"/>
      <w:bookmarkStart w:id="1285" w:name="_Toc500154449"/>
      <w:bookmarkStart w:id="1286" w:name="_Toc500154808"/>
      <w:bookmarkStart w:id="1287" w:name="_Toc500155166"/>
      <w:bookmarkStart w:id="1288" w:name="_Toc500155556"/>
      <w:bookmarkStart w:id="1289" w:name="_Toc500155941"/>
      <w:bookmarkStart w:id="1290" w:name="_Toc500156327"/>
      <w:bookmarkStart w:id="1291" w:name="_Toc500156713"/>
      <w:bookmarkStart w:id="1292" w:name="_Toc500157099"/>
      <w:bookmarkStart w:id="1293" w:name="_Toc500157483"/>
      <w:bookmarkStart w:id="1294" w:name="_Toc500158290"/>
      <w:bookmarkStart w:id="1295" w:name="_Toc500158676"/>
      <w:bookmarkStart w:id="1296" w:name="_Toc500159061"/>
      <w:bookmarkStart w:id="1297" w:name="_Toc500154450"/>
      <w:bookmarkStart w:id="1298" w:name="_Toc500154809"/>
      <w:bookmarkStart w:id="1299" w:name="_Toc500155167"/>
      <w:bookmarkStart w:id="1300" w:name="_Toc500155557"/>
      <w:bookmarkStart w:id="1301" w:name="_Toc500155942"/>
      <w:bookmarkStart w:id="1302" w:name="_Toc500156328"/>
      <w:bookmarkStart w:id="1303" w:name="_Toc500156714"/>
      <w:bookmarkStart w:id="1304" w:name="_Toc500157100"/>
      <w:bookmarkStart w:id="1305" w:name="_Toc500157484"/>
      <w:bookmarkStart w:id="1306" w:name="_Toc500158291"/>
      <w:bookmarkStart w:id="1307" w:name="_Toc500158677"/>
      <w:bookmarkStart w:id="1308" w:name="_Toc500159062"/>
      <w:bookmarkStart w:id="1309" w:name="_Toc500154451"/>
      <w:bookmarkStart w:id="1310" w:name="_Toc500154810"/>
      <w:bookmarkStart w:id="1311" w:name="_Toc500155168"/>
      <w:bookmarkStart w:id="1312" w:name="_Toc500155558"/>
      <w:bookmarkStart w:id="1313" w:name="_Toc500155943"/>
      <w:bookmarkStart w:id="1314" w:name="_Toc500156329"/>
      <w:bookmarkStart w:id="1315" w:name="_Toc500156715"/>
      <w:bookmarkStart w:id="1316" w:name="_Toc500157101"/>
      <w:bookmarkStart w:id="1317" w:name="_Toc500157485"/>
      <w:bookmarkStart w:id="1318" w:name="_Toc500158292"/>
      <w:bookmarkStart w:id="1319" w:name="_Toc500158678"/>
      <w:bookmarkStart w:id="1320" w:name="_Toc500159063"/>
      <w:bookmarkStart w:id="1321" w:name="_Toc500154452"/>
      <w:bookmarkStart w:id="1322" w:name="_Toc500154811"/>
      <w:bookmarkStart w:id="1323" w:name="_Toc500155169"/>
      <w:bookmarkStart w:id="1324" w:name="_Toc500155559"/>
      <w:bookmarkStart w:id="1325" w:name="_Toc500155944"/>
      <w:bookmarkStart w:id="1326" w:name="_Toc500156330"/>
      <w:bookmarkStart w:id="1327" w:name="_Toc500156716"/>
      <w:bookmarkStart w:id="1328" w:name="_Toc500157102"/>
      <w:bookmarkStart w:id="1329" w:name="_Toc500157486"/>
      <w:bookmarkStart w:id="1330" w:name="_Toc500158293"/>
      <w:bookmarkStart w:id="1331" w:name="_Toc500158679"/>
      <w:bookmarkStart w:id="1332" w:name="_Toc500159064"/>
      <w:bookmarkStart w:id="1333" w:name="_Toc500154453"/>
      <w:bookmarkStart w:id="1334" w:name="_Toc500154812"/>
      <w:bookmarkStart w:id="1335" w:name="_Toc500155170"/>
      <w:bookmarkStart w:id="1336" w:name="_Toc500155560"/>
      <w:bookmarkStart w:id="1337" w:name="_Toc500155945"/>
      <w:bookmarkStart w:id="1338" w:name="_Toc500156331"/>
      <w:bookmarkStart w:id="1339" w:name="_Toc500156717"/>
      <w:bookmarkStart w:id="1340" w:name="_Toc500157103"/>
      <w:bookmarkStart w:id="1341" w:name="_Toc500157487"/>
      <w:bookmarkStart w:id="1342" w:name="_Toc500158294"/>
      <w:bookmarkStart w:id="1343" w:name="_Toc500158680"/>
      <w:bookmarkStart w:id="1344" w:name="_Toc500159065"/>
      <w:bookmarkStart w:id="1345" w:name="_Toc500154454"/>
      <w:bookmarkStart w:id="1346" w:name="_Toc500154813"/>
      <w:bookmarkStart w:id="1347" w:name="_Toc500155171"/>
      <w:bookmarkStart w:id="1348" w:name="_Toc500155561"/>
      <w:bookmarkStart w:id="1349" w:name="_Toc500155946"/>
      <w:bookmarkStart w:id="1350" w:name="_Toc500156332"/>
      <w:bookmarkStart w:id="1351" w:name="_Toc500156718"/>
      <w:bookmarkStart w:id="1352" w:name="_Toc500157104"/>
      <w:bookmarkStart w:id="1353" w:name="_Toc500157488"/>
      <w:bookmarkStart w:id="1354" w:name="_Toc500158295"/>
      <w:bookmarkStart w:id="1355" w:name="_Toc500158681"/>
      <w:bookmarkStart w:id="1356" w:name="_Toc500159066"/>
      <w:bookmarkStart w:id="1357" w:name="_Toc500154455"/>
      <w:bookmarkStart w:id="1358" w:name="_Toc500154814"/>
      <w:bookmarkStart w:id="1359" w:name="_Toc500155172"/>
      <w:bookmarkStart w:id="1360" w:name="_Toc500155562"/>
      <w:bookmarkStart w:id="1361" w:name="_Toc500155947"/>
      <w:bookmarkStart w:id="1362" w:name="_Toc500156333"/>
      <w:bookmarkStart w:id="1363" w:name="_Toc500156719"/>
      <w:bookmarkStart w:id="1364" w:name="_Toc500157105"/>
      <w:bookmarkStart w:id="1365" w:name="_Toc500157489"/>
      <w:bookmarkStart w:id="1366" w:name="_Toc500158296"/>
      <w:bookmarkStart w:id="1367" w:name="_Toc500158682"/>
      <w:bookmarkStart w:id="1368" w:name="_Toc500159067"/>
      <w:bookmarkStart w:id="1369" w:name="_Toc500154456"/>
      <w:bookmarkStart w:id="1370" w:name="_Toc500154815"/>
      <w:bookmarkStart w:id="1371" w:name="_Toc500155173"/>
      <w:bookmarkStart w:id="1372" w:name="_Toc500155563"/>
      <w:bookmarkStart w:id="1373" w:name="_Toc500155948"/>
      <w:bookmarkStart w:id="1374" w:name="_Toc500156334"/>
      <w:bookmarkStart w:id="1375" w:name="_Toc500156720"/>
      <w:bookmarkStart w:id="1376" w:name="_Toc500157106"/>
      <w:bookmarkStart w:id="1377" w:name="_Toc500157490"/>
      <w:bookmarkStart w:id="1378" w:name="_Toc500158297"/>
      <w:bookmarkStart w:id="1379" w:name="_Toc500158683"/>
      <w:bookmarkStart w:id="1380" w:name="_Toc500159068"/>
      <w:bookmarkStart w:id="1381" w:name="_Toc500154457"/>
      <w:bookmarkStart w:id="1382" w:name="_Toc500154816"/>
      <w:bookmarkStart w:id="1383" w:name="_Toc500155174"/>
      <w:bookmarkStart w:id="1384" w:name="_Toc500155564"/>
      <w:bookmarkStart w:id="1385" w:name="_Toc500155949"/>
      <w:bookmarkStart w:id="1386" w:name="_Toc500156335"/>
      <w:bookmarkStart w:id="1387" w:name="_Toc500156721"/>
      <w:bookmarkStart w:id="1388" w:name="_Toc500157107"/>
      <w:bookmarkStart w:id="1389" w:name="_Toc500157491"/>
      <w:bookmarkStart w:id="1390" w:name="_Toc500158298"/>
      <w:bookmarkStart w:id="1391" w:name="_Toc500158684"/>
      <w:bookmarkStart w:id="1392" w:name="_Toc500159069"/>
      <w:bookmarkStart w:id="1393" w:name="_Toc500154458"/>
      <w:bookmarkStart w:id="1394" w:name="_Toc500154817"/>
      <w:bookmarkStart w:id="1395" w:name="_Toc500155175"/>
      <w:bookmarkStart w:id="1396" w:name="_Toc500155565"/>
      <w:bookmarkStart w:id="1397" w:name="_Toc500155950"/>
      <w:bookmarkStart w:id="1398" w:name="_Toc500156336"/>
      <w:bookmarkStart w:id="1399" w:name="_Toc500156722"/>
      <w:bookmarkStart w:id="1400" w:name="_Toc500157108"/>
      <w:bookmarkStart w:id="1401" w:name="_Toc500157492"/>
      <w:bookmarkStart w:id="1402" w:name="_Toc500158299"/>
      <w:bookmarkStart w:id="1403" w:name="_Toc500158685"/>
      <w:bookmarkStart w:id="1404" w:name="_Toc500159070"/>
      <w:bookmarkStart w:id="1405" w:name="_Toc500154459"/>
      <w:bookmarkStart w:id="1406" w:name="_Toc500154818"/>
      <w:bookmarkStart w:id="1407" w:name="_Toc500155176"/>
      <w:bookmarkStart w:id="1408" w:name="_Toc500155566"/>
      <w:bookmarkStart w:id="1409" w:name="_Toc500155951"/>
      <w:bookmarkStart w:id="1410" w:name="_Toc500156337"/>
      <w:bookmarkStart w:id="1411" w:name="_Toc500156723"/>
      <w:bookmarkStart w:id="1412" w:name="_Toc500157109"/>
      <w:bookmarkStart w:id="1413" w:name="_Toc500157493"/>
      <w:bookmarkStart w:id="1414" w:name="_Toc500158300"/>
      <w:bookmarkStart w:id="1415" w:name="_Toc500158686"/>
      <w:bookmarkStart w:id="1416" w:name="_Toc500159071"/>
      <w:bookmarkStart w:id="1417" w:name="_Toc500154460"/>
      <w:bookmarkStart w:id="1418" w:name="_Toc500154819"/>
      <w:bookmarkStart w:id="1419" w:name="_Toc500155177"/>
      <w:bookmarkStart w:id="1420" w:name="_Toc500155567"/>
      <w:bookmarkStart w:id="1421" w:name="_Toc500155952"/>
      <w:bookmarkStart w:id="1422" w:name="_Toc500156338"/>
      <w:bookmarkStart w:id="1423" w:name="_Toc500156724"/>
      <w:bookmarkStart w:id="1424" w:name="_Toc500157110"/>
      <w:bookmarkStart w:id="1425" w:name="_Toc500157494"/>
      <w:bookmarkStart w:id="1426" w:name="_Toc500158301"/>
      <w:bookmarkStart w:id="1427" w:name="_Toc500158687"/>
      <w:bookmarkStart w:id="1428" w:name="_Toc500159072"/>
      <w:bookmarkStart w:id="1429" w:name="_Toc500154461"/>
      <w:bookmarkStart w:id="1430" w:name="_Toc500154820"/>
      <w:bookmarkStart w:id="1431" w:name="_Toc500155178"/>
      <w:bookmarkStart w:id="1432" w:name="_Toc500155568"/>
      <w:bookmarkStart w:id="1433" w:name="_Toc500155953"/>
      <w:bookmarkStart w:id="1434" w:name="_Toc500156339"/>
      <w:bookmarkStart w:id="1435" w:name="_Toc500156725"/>
      <w:bookmarkStart w:id="1436" w:name="_Toc500157111"/>
      <w:bookmarkStart w:id="1437" w:name="_Toc500157495"/>
      <w:bookmarkStart w:id="1438" w:name="_Toc500158302"/>
      <w:bookmarkStart w:id="1439" w:name="_Toc500158688"/>
      <w:bookmarkStart w:id="1440" w:name="_Toc500159073"/>
      <w:bookmarkStart w:id="1441" w:name="_Toc500154462"/>
      <w:bookmarkStart w:id="1442" w:name="_Toc500154821"/>
      <w:bookmarkStart w:id="1443" w:name="_Toc500155179"/>
      <w:bookmarkStart w:id="1444" w:name="_Toc500155569"/>
      <w:bookmarkStart w:id="1445" w:name="_Toc500155954"/>
      <w:bookmarkStart w:id="1446" w:name="_Toc500156340"/>
      <w:bookmarkStart w:id="1447" w:name="_Toc500156726"/>
      <w:bookmarkStart w:id="1448" w:name="_Toc500157112"/>
      <w:bookmarkStart w:id="1449" w:name="_Toc500157496"/>
      <w:bookmarkStart w:id="1450" w:name="_Toc500158303"/>
      <w:bookmarkStart w:id="1451" w:name="_Toc500158689"/>
      <w:bookmarkStart w:id="1452" w:name="_Toc500159074"/>
      <w:bookmarkStart w:id="1453" w:name="_Toc500154463"/>
      <w:bookmarkStart w:id="1454" w:name="_Toc500154822"/>
      <w:bookmarkStart w:id="1455" w:name="_Toc500155180"/>
      <w:bookmarkStart w:id="1456" w:name="_Toc500155570"/>
      <w:bookmarkStart w:id="1457" w:name="_Toc500155955"/>
      <w:bookmarkStart w:id="1458" w:name="_Toc500156341"/>
      <w:bookmarkStart w:id="1459" w:name="_Toc500156727"/>
      <w:bookmarkStart w:id="1460" w:name="_Toc500157113"/>
      <w:bookmarkStart w:id="1461" w:name="_Toc500157497"/>
      <w:bookmarkStart w:id="1462" w:name="_Toc500158304"/>
      <w:bookmarkStart w:id="1463" w:name="_Toc500158690"/>
      <w:bookmarkStart w:id="1464" w:name="_Toc500159075"/>
      <w:bookmarkStart w:id="1465" w:name="_Toc500154464"/>
      <w:bookmarkStart w:id="1466" w:name="_Toc500154823"/>
      <w:bookmarkStart w:id="1467" w:name="_Toc500155181"/>
      <w:bookmarkStart w:id="1468" w:name="_Toc500155571"/>
      <w:bookmarkStart w:id="1469" w:name="_Toc500155956"/>
      <w:bookmarkStart w:id="1470" w:name="_Toc500156342"/>
      <w:bookmarkStart w:id="1471" w:name="_Toc500156728"/>
      <w:bookmarkStart w:id="1472" w:name="_Toc500157114"/>
      <w:bookmarkStart w:id="1473" w:name="_Toc500157498"/>
      <w:bookmarkStart w:id="1474" w:name="_Toc500158305"/>
      <w:bookmarkStart w:id="1475" w:name="_Toc500158691"/>
      <w:bookmarkStart w:id="1476" w:name="_Toc500159076"/>
      <w:bookmarkStart w:id="1477" w:name="_Toc500154465"/>
      <w:bookmarkStart w:id="1478" w:name="_Toc500154824"/>
      <w:bookmarkStart w:id="1479" w:name="_Toc500155182"/>
      <w:bookmarkStart w:id="1480" w:name="_Toc500155572"/>
      <w:bookmarkStart w:id="1481" w:name="_Toc500155957"/>
      <w:bookmarkStart w:id="1482" w:name="_Toc500156343"/>
      <w:bookmarkStart w:id="1483" w:name="_Toc500156729"/>
      <w:bookmarkStart w:id="1484" w:name="_Toc500157115"/>
      <w:bookmarkStart w:id="1485" w:name="_Toc500157499"/>
      <w:bookmarkStart w:id="1486" w:name="_Toc500158306"/>
      <w:bookmarkStart w:id="1487" w:name="_Toc500158692"/>
      <w:bookmarkStart w:id="1488" w:name="_Toc500159077"/>
      <w:bookmarkStart w:id="1489" w:name="_Toc500154466"/>
      <w:bookmarkStart w:id="1490" w:name="_Toc500154825"/>
      <w:bookmarkStart w:id="1491" w:name="_Toc500155183"/>
      <w:bookmarkStart w:id="1492" w:name="_Toc500155573"/>
      <w:bookmarkStart w:id="1493" w:name="_Toc500155958"/>
      <w:bookmarkStart w:id="1494" w:name="_Toc500156344"/>
      <w:bookmarkStart w:id="1495" w:name="_Toc500156730"/>
      <w:bookmarkStart w:id="1496" w:name="_Toc500157116"/>
      <w:bookmarkStart w:id="1497" w:name="_Toc500157500"/>
      <w:bookmarkStart w:id="1498" w:name="_Toc500158307"/>
      <w:bookmarkStart w:id="1499" w:name="_Toc500158693"/>
      <w:bookmarkStart w:id="1500" w:name="_Toc500159078"/>
      <w:bookmarkStart w:id="1501" w:name="_Toc500154467"/>
      <w:bookmarkStart w:id="1502" w:name="_Toc500154826"/>
      <w:bookmarkStart w:id="1503" w:name="_Toc500155184"/>
      <w:bookmarkStart w:id="1504" w:name="_Toc500155574"/>
      <w:bookmarkStart w:id="1505" w:name="_Toc500155959"/>
      <w:bookmarkStart w:id="1506" w:name="_Toc500156345"/>
      <w:bookmarkStart w:id="1507" w:name="_Toc500156731"/>
      <w:bookmarkStart w:id="1508" w:name="_Toc500157117"/>
      <w:bookmarkStart w:id="1509" w:name="_Toc500157501"/>
      <w:bookmarkStart w:id="1510" w:name="_Toc500158308"/>
      <w:bookmarkStart w:id="1511" w:name="_Toc500158694"/>
      <w:bookmarkStart w:id="1512" w:name="_Toc500159079"/>
      <w:bookmarkStart w:id="1513" w:name="_Toc500154468"/>
      <w:bookmarkStart w:id="1514" w:name="_Toc500154827"/>
      <w:bookmarkStart w:id="1515" w:name="_Toc500155185"/>
      <w:bookmarkStart w:id="1516" w:name="_Toc500155575"/>
      <w:bookmarkStart w:id="1517" w:name="_Toc500155960"/>
      <w:bookmarkStart w:id="1518" w:name="_Toc500156346"/>
      <w:bookmarkStart w:id="1519" w:name="_Toc500156732"/>
      <w:bookmarkStart w:id="1520" w:name="_Toc500157118"/>
      <w:bookmarkStart w:id="1521" w:name="_Toc500157502"/>
      <w:bookmarkStart w:id="1522" w:name="_Toc500158309"/>
      <w:bookmarkStart w:id="1523" w:name="_Toc500158695"/>
      <w:bookmarkStart w:id="1524" w:name="_Toc500159080"/>
      <w:bookmarkStart w:id="1525" w:name="_Toc492420452"/>
      <w:bookmarkStart w:id="1526" w:name="_Toc492421048"/>
      <w:bookmarkStart w:id="1527" w:name="_Toc489012254"/>
      <w:bookmarkStart w:id="1528" w:name="_Toc500851060"/>
      <w:bookmarkStart w:id="1529" w:name="_Toc500826021"/>
      <w:bookmarkStart w:id="1530" w:name="_Toc500931694"/>
      <w:bookmarkStart w:id="1531" w:name="_Toc501012938"/>
      <w:bookmarkStart w:id="1532" w:name="_Toc514428344"/>
      <w:bookmarkStart w:id="1533" w:name="_Toc507766110"/>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r w:rsidRPr="008D2A17">
        <w:rPr>
          <w:lang w:val="en-GB"/>
        </w:rPr>
        <w:t>In-block power limits</w:t>
      </w:r>
      <w:bookmarkEnd w:id="1527"/>
      <w:bookmarkEnd w:id="1528"/>
      <w:bookmarkEnd w:id="1529"/>
      <w:bookmarkEnd w:id="1530"/>
      <w:bookmarkEnd w:id="1531"/>
      <w:bookmarkEnd w:id="1532"/>
      <w:bookmarkEnd w:id="1533"/>
    </w:p>
    <w:p w14:paraId="0201770C" w14:textId="6537DD86" w:rsidR="00E74CB5" w:rsidRPr="008D2A17" w:rsidRDefault="00E74CB5" w:rsidP="00500CFC">
      <w:pPr>
        <w:pStyle w:val="ECCParagraph"/>
      </w:pPr>
      <w:r w:rsidRPr="008D2A17">
        <w:t>The in-block e.i.r.p. limit for</w:t>
      </w:r>
      <w:r w:rsidRPr="008D2A17">
        <w:rPr>
          <w:rStyle w:val="ECCHLorange"/>
          <w:shd w:val="clear" w:color="auto" w:fill="auto"/>
        </w:rPr>
        <w:t xml:space="preserve"> non-AAS </w:t>
      </w:r>
      <w:r w:rsidRPr="008D2A17">
        <w:t xml:space="preserve">base stations is not mandatory. Any </w:t>
      </w:r>
      <w:r w:rsidR="00E80CEC" w:rsidRPr="008D2A17">
        <w:t>in</w:t>
      </w:r>
      <w:r w:rsidR="00E80CEC">
        <w:t>-</w:t>
      </w:r>
      <w:r w:rsidRPr="008D2A17">
        <w:t>block limit for AAS or non-AAS may be defined on national basis.</w:t>
      </w:r>
    </w:p>
    <w:p w14:paraId="3461D53A" w14:textId="77777777" w:rsidR="00500CFC" w:rsidRPr="00BE123F" w:rsidRDefault="00500CFC" w:rsidP="00AD7F41">
      <w:pPr>
        <w:pStyle w:val="ECCParagraph"/>
        <w:rPr>
          <w:rStyle w:val="ECCHLorange"/>
        </w:rPr>
      </w:pPr>
    </w:p>
    <w:p w14:paraId="65037CB6" w14:textId="71263DF8" w:rsidR="00AD7F41" w:rsidRPr="008D2A17" w:rsidRDefault="00AD7F41" w:rsidP="00381B4F">
      <w:pPr>
        <w:pStyle w:val="Heading1"/>
      </w:pPr>
      <w:bookmarkStart w:id="1534" w:name="_Toc489012405"/>
      <w:bookmarkStart w:id="1535" w:name="_Toc500247359"/>
      <w:bookmarkStart w:id="1536" w:name="_Toc500931701"/>
      <w:bookmarkStart w:id="1537" w:name="_Toc501012939"/>
      <w:bookmarkStart w:id="1538" w:name="_Toc514428345"/>
      <w:bookmarkStart w:id="1539" w:name="_Toc507766111"/>
      <w:r w:rsidRPr="008D2A17">
        <w:lastRenderedPageBreak/>
        <w:t>Proposed BEM requirements for AAS WBB ECS</w:t>
      </w:r>
      <w:bookmarkEnd w:id="1534"/>
      <w:bookmarkEnd w:id="1535"/>
      <w:bookmarkEnd w:id="1536"/>
      <w:bookmarkEnd w:id="1537"/>
      <w:bookmarkEnd w:id="1538"/>
      <w:bookmarkEnd w:id="1539"/>
    </w:p>
    <w:p w14:paraId="51D44E1F" w14:textId="2DAFD54F" w:rsidR="00AD7F41" w:rsidRPr="008D2A17" w:rsidRDefault="00AD7F41" w:rsidP="00AD7F41">
      <w:pPr>
        <w:rPr>
          <w:lang w:val="en-GB"/>
        </w:rPr>
      </w:pPr>
      <w:bookmarkStart w:id="1540" w:name="_Toc492420456"/>
      <w:bookmarkStart w:id="1541" w:name="_Toc492421052"/>
      <w:bookmarkStart w:id="1542" w:name="_Toc500247360"/>
      <w:bookmarkStart w:id="1543" w:name="_Toc489012406"/>
      <w:bookmarkEnd w:id="1540"/>
      <w:bookmarkEnd w:id="1541"/>
      <w:r w:rsidRPr="008D2A17">
        <w:rPr>
          <w:lang w:val="en-GB"/>
        </w:rPr>
        <w:t xml:space="preserve">Based on the analysis presented in the previous section, the following sections propose updates </w:t>
      </w:r>
      <w:r w:rsidRPr="00BE123F">
        <w:rPr>
          <w:rStyle w:val="ECCHLorange"/>
          <w:shd w:val="clear" w:color="auto" w:fill="auto"/>
        </w:rPr>
        <w:t>to</w:t>
      </w:r>
      <w:r w:rsidRPr="008D2A17">
        <w:rPr>
          <w:lang w:val="en-GB"/>
        </w:rPr>
        <w:t xml:space="preserve"> some of the BEM elements.</w:t>
      </w:r>
    </w:p>
    <w:p w14:paraId="2F75E300" w14:textId="77777777" w:rsidR="001D1025" w:rsidRPr="008D2A17" w:rsidRDefault="001D1025" w:rsidP="005F0233">
      <w:pPr>
        <w:pStyle w:val="Heading2"/>
        <w:ind w:left="578" w:hanging="578"/>
      </w:pPr>
      <w:bookmarkStart w:id="1544" w:name="_Toc514428346"/>
      <w:bookmarkStart w:id="1545" w:name="_Toc500931702"/>
      <w:bookmarkStart w:id="1546" w:name="_Toc501012940"/>
      <w:r w:rsidRPr="008D2A17">
        <w:t>Out-of-block power limits</w:t>
      </w:r>
      <w:bookmarkEnd w:id="1544"/>
    </w:p>
    <w:p w14:paraId="58924D3E" w14:textId="77777777" w:rsidR="001D1025" w:rsidRPr="008D2A17" w:rsidRDefault="001D1025" w:rsidP="00AD7F41">
      <w:pPr>
        <w:rPr>
          <w:lang w:val="en-GB"/>
        </w:rPr>
      </w:pPr>
      <w:r w:rsidRPr="008D2A17">
        <w:rPr>
          <w:lang w:val="en-GB"/>
        </w:rPr>
        <w:t xml:space="preserve">In alignment with how unwanted emission conducted power (TRP) for AAS base stations is specified by 3GPP TS 38.104 </w:t>
      </w:r>
      <w:r w:rsidRPr="008D2A17">
        <w:rPr>
          <w:lang w:val="en-GB"/>
        </w:rPr>
        <w:fldChar w:fldCharType="begin"/>
      </w:r>
      <w:r w:rsidRPr="008D2A17">
        <w:rPr>
          <w:lang w:val="en-GB"/>
        </w:rPr>
        <w:instrText xml:space="preserve"> REF _Ref507493620 \r \h </w:instrText>
      </w:r>
      <w:r w:rsidRPr="008D2A17">
        <w:rPr>
          <w:lang w:val="en-GB"/>
        </w:rPr>
      </w:r>
      <w:r w:rsidRPr="008D2A17">
        <w:rPr>
          <w:lang w:val="en-GB"/>
        </w:rPr>
        <w:fldChar w:fldCharType="separate"/>
      </w:r>
      <w:r w:rsidR="00FA5407">
        <w:rPr>
          <w:lang w:val="en-GB"/>
        </w:rPr>
        <w:t>[24]</w:t>
      </w:r>
      <w:r w:rsidRPr="008D2A17">
        <w:rPr>
          <w:lang w:val="en-GB"/>
        </w:rPr>
        <w:fldChar w:fldCharType="end"/>
      </w:r>
      <w:r w:rsidRPr="008D2A17">
        <w:rPr>
          <w:lang w:val="en-GB"/>
        </w:rPr>
        <w:t>, it is proposed to specify the out-of-block TRP limits to a value that correspond to a total of eight beam forming antenna elements.</w:t>
      </w:r>
    </w:p>
    <w:p w14:paraId="58C5ECB4" w14:textId="77777777" w:rsidR="00AD7F41" w:rsidRPr="00BC3CEE" w:rsidRDefault="00AD7F41" w:rsidP="00BE123F">
      <w:pPr>
        <w:pStyle w:val="Heading3"/>
      </w:pPr>
      <w:bookmarkStart w:id="1547" w:name="_Toc514428347"/>
      <w:bookmarkStart w:id="1548" w:name="_Toc507766112"/>
      <w:r w:rsidRPr="00BE123F">
        <w:rPr>
          <w:lang w:val="en-GB"/>
        </w:rPr>
        <w:t>Out-of-block power limits: Interference between synchronised WBB ECS</w:t>
      </w:r>
      <w:bookmarkEnd w:id="1542"/>
      <w:bookmarkEnd w:id="1545"/>
      <w:bookmarkEnd w:id="1546"/>
      <w:bookmarkEnd w:id="1547"/>
      <w:bookmarkEnd w:id="1548"/>
      <w:r w:rsidRPr="00BE123F" w:rsidDel="00AD5F4F">
        <w:rPr>
          <w:lang w:val="en-GB"/>
        </w:rPr>
        <w:t xml:space="preserve"> </w:t>
      </w:r>
    </w:p>
    <w:p w14:paraId="3C168F61" w14:textId="77777777" w:rsidR="00AD7F41" w:rsidRPr="008D2A17" w:rsidRDefault="00AD7F41" w:rsidP="00AD7F41">
      <w:pPr>
        <w:pStyle w:val="ECCParagraph"/>
      </w:pPr>
      <w:r w:rsidRPr="008D2A17">
        <w:t>For AAS base stations, TRP is selected as the metric for specifying regulatory power limits. This corresponds to out-of-block power limits in the context of WBB ECS-to-WBB ECS interference in the case of synchronised networks and time aligned UL/DL transmissions.</w:t>
      </w:r>
    </w:p>
    <w:p w14:paraId="48875BD9" w14:textId="37BC6A7A" w:rsidR="00AD7F41" w:rsidRPr="008D2A17" w:rsidRDefault="00AD7F41" w:rsidP="00AD7F41">
      <w:pPr>
        <w:pStyle w:val="ECCParagraph"/>
      </w:pPr>
      <w:r w:rsidRPr="008D2A17">
        <w:t xml:space="preserve">In alignment with how unwanted emission conducted power (TRP) for AAS base stations is specified by </w:t>
      </w:r>
      <w:r w:rsidR="00AA5080" w:rsidRPr="008D2A17">
        <w:t xml:space="preserve">3GPP TS 38.104 </w:t>
      </w:r>
      <w:r w:rsidR="002A503C" w:rsidRPr="008D2A17">
        <w:fldChar w:fldCharType="begin"/>
      </w:r>
      <w:r w:rsidR="002A503C" w:rsidRPr="008D2A17">
        <w:instrText xml:space="preserve"> REF _Ref507493620 \r \h </w:instrText>
      </w:r>
      <w:r w:rsidR="00CE0DB1" w:rsidRPr="008D2A17">
        <w:instrText xml:space="preserve"> \* MERGEFORMAT </w:instrText>
      </w:r>
      <w:r w:rsidR="002A503C" w:rsidRPr="008D2A17">
        <w:fldChar w:fldCharType="separate"/>
      </w:r>
      <w:r w:rsidR="00FA5407">
        <w:t>[24]</w:t>
      </w:r>
      <w:r w:rsidR="002A503C" w:rsidRPr="008D2A17">
        <w:fldChar w:fldCharType="end"/>
      </w:r>
      <w:r w:rsidRPr="008D2A17">
        <w:t xml:space="preserve">, it is proposed to specify the out-of-block TRP limits to </w:t>
      </w:r>
      <w:r w:rsidR="00AA5080" w:rsidRPr="008D2A17">
        <w:t>a value that correspond</w:t>
      </w:r>
      <w:r w:rsidR="00B33692" w:rsidRPr="008D2A17">
        <w:t>s</w:t>
      </w:r>
      <w:r w:rsidR="00AA5080" w:rsidRPr="008D2A17">
        <w:t xml:space="preserve"> to </w:t>
      </w:r>
      <w:r w:rsidRPr="008D2A17">
        <w:t xml:space="preserve">a total of eight beam forming antenna elements. </w:t>
      </w:r>
    </w:p>
    <w:p w14:paraId="0BDB64FC" w14:textId="7B9DD5F6" w:rsidR="00AD7F41" w:rsidRPr="008D2A17" w:rsidRDefault="00AD7F41" w:rsidP="00AD7F41">
      <w:pPr>
        <w:pStyle w:val="ECCParagraph"/>
      </w:pPr>
      <w:r w:rsidRPr="008D2A17">
        <w:t xml:space="preserve">For the case of synchronised WBB ECS with time aligned UL/DL transmissions, the following </w:t>
      </w:r>
      <w:r w:rsidRPr="008D2A17">
        <w:fldChar w:fldCharType="begin"/>
      </w:r>
      <w:r w:rsidRPr="008D2A17">
        <w:instrText xml:space="preserve"> REF _Ref500129674 \h  \* MERGEFORMAT </w:instrText>
      </w:r>
      <w:r w:rsidRPr="008D2A17">
        <w:fldChar w:fldCharType="separate"/>
      </w:r>
      <w:r w:rsidR="00CB2C51" w:rsidRPr="008D2A17">
        <w:t xml:space="preserve">Table </w:t>
      </w:r>
      <w:r w:rsidR="00CB2C51">
        <w:rPr>
          <w:noProof/>
        </w:rPr>
        <w:t>2</w:t>
      </w:r>
      <w:r w:rsidRPr="008D2A17">
        <w:fldChar w:fldCharType="end"/>
      </w:r>
      <w:r w:rsidRPr="008D2A17">
        <w:t xml:space="preserve"> shows the proposed out-of-block TRP limits for the update of EC Decision 2014/276/EU</w:t>
      </w:r>
      <w:r w:rsidR="0094535F" w:rsidRPr="008D2A17">
        <w:t xml:space="preserve"> </w:t>
      </w:r>
      <w:r w:rsidR="00CB2C51">
        <w:fldChar w:fldCharType="begin"/>
      </w:r>
      <w:r w:rsidR="00CB2C51">
        <w:instrText xml:space="preserve"> REF _Ref514428317 \r \h </w:instrText>
      </w:r>
      <w:r w:rsidR="00CB2C51">
        <w:fldChar w:fldCharType="separate"/>
      </w:r>
      <w:r w:rsidR="00FA5407">
        <w:t>[1]</w:t>
      </w:r>
      <w:r w:rsidR="00CB2C51">
        <w:fldChar w:fldCharType="end"/>
      </w:r>
      <w:r w:rsidRPr="008D2A17">
        <w:t>.</w:t>
      </w:r>
    </w:p>
    <w:p w14:paraId="7ABDC028" w14:textId="1E474B02" w:rsidR="00AD7F41" w:rsidRPr="008D2A17" w:rsidRDefault="00AD7F41" w:rsidP="00AD7F41">
      <w:pPr>
        <w:pStyle w:val="Caption"/>
        <w:rPr>
          <w:rFonts w:eastAsia="Batang"/>
          <w:lang w:val="en-GB"/>
        </w:rPr>
      </w:pPr>
      <w:bookmarkStart w:id="1549" w:name="_Ref500129674"/>
      <w:r w:rsidRPr="008D2A17">
        <w:rPr>
          <w:lang w:val="en-GB"/>
        </w:rPr>
        <w:t xml:space="preserve">Table </w:t>
      </w:r>
      <w:r w:rsidRPr="008D2A17">
        <w:rPr>
          <w:lang w:val="en-GB"/>
        </w:rPr>
        <w:fldChar w:fldCharType="begin"/>
      </w:r>
      <w:r w:rsidRPr="008D2A17">
        <w:rPr>
          <w:lang w:val="en-GB"/>
        </w:rPr>
        <w:instrText xml:space="preserve"> SEQ Table \* ARABIC </w:instrText>
      </w:r>
      <w:r w:rsidRPr="008D2A17">
        <w:rPr>
          <w:lang w:val="en-GB"/>
        </w:rPr>
        <w:fldChar w:fldCharType="separate"/>
      </w:r>
      <w:r w:rsidR="00FA5407">
        <w:rPr>
          <w:noProof/>
          <w:lang w:val="en-GB"/>
        </w:rPr>
        <w:t>2</w:t>
      </w:r>
      <w:r w:rsidRPr="008D2A17">
        <w:rPr>
          <w:lang w:val="en-GB"/>
        </w:rPr>
        <w:fldChar w:fldCharType="end"/>
      </w:r>
      <w:bookmarkEnd w:id="1549"/>
      <w:r w:rsidRPr="008D2A17">
        <w:rPr>
          <w:lang w:val="en-GB"/>
        </w:rPr>
        <w:t xml:space="preserve">: Proposed </w:t>
      </w:r>
      <w:r w:rsidR="00EA5B45" w:rsidRPr="008D2A17">
        <w:rPr>
          <w:lang w:val="en-GB"/>
        </w:rPr>
        <w:t xml:space="preserve">updated baseline </w:t>
      </w:r>
      <w:r w:rsidRPr="008D2A17">
        <w:rPr>
          <w:lang w:val="en-GB"/>
        </w:rPr>
        <w:t>and transitional power limits for AAS base stations</w:t>
      </w:r>
    </w:p>
    <w:tbl>
      <w:tblPr>
        <w:tblStyle w:val="ECCTable-redheader"/>
        <w:tblW w:w="9197" w:type="dxa"/>
        <w:tblInd w:w="0" w:type="dxa"/>
        <w:tblLook w:val="04A0" w:firstRow="1" w:lastRow="0" w:firstColumn="1" w:lastColumn="0" w:noHBand="0" w:noVBand="1"/>
      </w:tblPr>
      <w:tblGrid>
        <w:gridCol w:w="1980"/>
        <w:gridCol w:w="4241"/>
        <w:gridCol w:w="2976"/>
      </w:tblGrid>
      <w:tr w:rsidR="00AD7F41" w:rsidRPr="008D2A17" w14:paraId="52E2E5FB" w14:textId="77777777" w:rsidTr="00AD7F41">
        <w:trPr>
          <w:cnfStyle w:val="100000000000" w:firstRow="1" w:lastRow="0" w:firstColumn="0" w:lastColumn="0" w:oddVBand="0" w:evenVBand="0" w:oddHBand="0" w:evenHBand="0" w:firstRowFirstColumn="0" w:firstRowLastColumn="0" w:lastRowFirstColumn="0" w:lastRowLastColumn="0"/>
          <w:trHeight w:val="335"/>
        </w:trPr>
        <w:tc>
          <w:tcPr>
            <w:tcW w:w="1980" w:type="dxa"/>
          </w:tcPr>
          <w:p w14:paraId="5C81A99A" w14:textId="77777777" w:rsidR="00AD7F41" w:rsidRPr="008D2A17" w:rsidRDefault="00AD7F41" w:rsidP="00AD7F41">
            <w:pPr>
              <w:rPr>
                <w:lang w:val="en-GB"/>
              </w:rPr>
            </w:pPr>
            <w:r w:rsidRPr="008D2A17">
              <w:rPr>
                <w:lang w:val="en-GB"/>
              </w:rPr>
              <w:t>BEM element</w:t>
            </w:r>
          </w:p>
        </w:tc>
        <w:tc>
          <w:tcPr>
            <w:tcW w:w="4241" w:type="dxa"/>
          </w:tcPr>
          <w:p w14:paraId="75546883" w14:textId="77777777" w:rsidR="00AD7F41" w:rsidRPr="008D2A17" w:rsidRDefault="00AD7F41" w:rsidP="00AD7F41">
            <w:pPr>
              <w:rPr>
                <w:lang w:val="en-GB"/>
              </w:rPr>
            </w:pPr>
            <w:r w:rsidRPr="008D2A17">
              <w:rPr>
                <w:lang w:val="en-GB"/>
              </w:rPr>
              <w:t>Frequency range</w:t>
            </w:r>
          </w:p>
        </w:tc>
        <w:tc>
          <w:tcPr>
            <w:tcW w:w="2976" w:type="dxa"/>
          </w:tcPr>
          <w:p w14:paraId="423A5530" w14:textId="7BD85C57" w:rsidR="00AD7F41" w:rsidRPr="008D2A17" w:rsidRDefault="00EA5B45" w:rsidP="00AD7F41">
            <w:pPr>
              <w:jc w:val="left"/>
              <w:rPr>
                <w:lang w:val="en-GB"/>
              </w:rPr>
            </w:pPr>
            <w:r w:rsidRPr="008D2A17">
              <w:rPr>
                <w:lang w:val="en-GB"/>
              </w:rPr>
              <w:t xml:space="preserve">AAS </w:t>
            </w:r>
            <w:r w:rsidR="007F1AB6">
              <w:rPr>
                <w:lang w:val="en-GB"/>
              </w:rPr>
              <w:t>TRP</w:t>
            </w:r>
            <w:r w:rsidRPr="008D2A17">
              <w:rPr>
                <w:lang w:val="en-GB"/>
              </w:rPr>
              <w:t xml:space="preserve"> limit</w:t>
            </w:r>
            <w:r w:rsidRPr="008D2A17">
              <w:rPr>
                <w:lang w:val="en-GB"/>
              </w:rPr>
              <w:br/>
              <w:t>dBm/</w:t>
            </w:r>
            <w:r w:rsidR="00EE47BB" w:rsidRPr="008D2A17">
              <w:rPr>
                <w:lang w:val="en-GB"/>
              </w:rPr>
              <w:t>(</w:t>
            </w:r>
            <w:r w:rsidRPr="008D2A17">
              <w:rPr>
                <w:lang w:val="en-GB"/>
              </w:rPr>
              <w:t>5MHz</w:t>
            </w:r>
            <w:r w:rsidR="00EE47BB" w:rsidRPr="008D2A17">
              <w:rPr>
                <w:lang w:val="en-GB"/>
              </w:rPr>
              <w:t>)</w:t>
            </w:r>
            <w:r w:rsidR="004F1837" w:rsidRPr="008D2A17">
              <w:rPr>
                <w:lang w:val="en-GB"/>
              </w:rPr>
              <w:t xml:space="preserve"> per </w:t>
            </w:r>
            <w:r w:rsidR="00A702DA" w:rsidRPr="008D2A17">
              <w:rPr>
                <w:rStyle w:val="ECCHLorange"/>
                <w:shd w:val="clear" w:color="auto" w:fill="auto"/>
                <w:lang w:val="en-GB"/>
              </w:rPr>
              <w:t>cell (1)</w:t>
            </w:r>
            <w:r w:rsidR="00AF5026" w:rsidRPr="008D2A17">
              <w:rPr>
                <w:rStyle w:val="ECCHLorange"/>
                <w:shd w:val="clear" w:color="auto" w:fill="auto"/>
                <w:lang w:val="en-GB"/>
              </w:rPr>
              <w:t>, (2)</w:t>
            </w:r>
          </w:p>
        </w:tc>
      </w:tr>
      <w:tr w:rsidR="00AD7F41" w:rsidRPr="008D2A17" w14:paraId="40411AAB" w14:textId="77777777" w:rsidTr="00AD7F41">
        <w:trPr>
          <w:trHeight w:val="673"/>
        </w:trPr>
        <w:tc>
          <w:tcPr>
            <w:tcW w:w="1980" w:type="dxa"/>
          </w:tcPr>
          <w:p w14:paraId="659DBC54" w14:textId="77777777" w:rsidR="00AD7F41" w:rsidRPr="008D2A17" w:rsidRDefault="00AD7F41" w:rsidP="00AD7F41">
            <w:pPr>
              <w:pStyle w:val="ECCTabletext"/>
            </w:pPr>
            <w:r w:rsidRPr="008D2A17">
              <w:t>Transitional region</w:t>
            </w:r>
          </w:p>
        </w:tc>
        <w:tc>
          <w:tcPr>
            <w:tcW w:w="4241" w:type="dxa"/>
          </w:tcPr>
          <w:p w14:paraId="6F4EBCCD" w14:textId="365B6493" w:rsidR="00AD7F41" w:rsidRPr="008D2A17" w:rsidRDefault="00AD7F41" w:rsidP="00AD7F41">
            <w:pPr>
              <w:pStyle w:val="ECCTabletext"/>
            </w:pPr>
            <w:r w:rsidRPr="008D2A17">
              <w:t>-5 to 0</w:t>
            </w:r>
            <w:r w:rsidR="00AB2111" w:rsidRPr="008D2A17">
              <w:t> MHz</w:t>
            </w:r>
            <w:r w:rsidRPr="008D2A17">
              <w:t xml:space="preserve"> offset from lower block edge </w:t>
            </w:r>
            <w:r w:rsidRPr="008D2A17">
              <w:br/>
            </w:r>
            <w:r w:rsidRPr="008D2A17">
              <w:rPr>
                <w:rStyle w:val="ECCHLorange"/>
                <w:shd w:val="clear" w:color="auto" w:fill="auto"/>
              </w:rPr>
              <w:t>0</w:t>
            </w:r>
            <w:r w:rsidRPr="00BE123F">
              <w:rPr>
                <w:rStyle w:val="ECCHLorange"/>
                <w:shd w:val="clear" w:color="auto" w:fill="auto"/>
              </w:rPr>
              <w:t xml:space="preserve"> </w:t>
            </w:r>
            <w:r w:rsidRPr="008D2A17">
              <w:t>to 5</w:t>
            </w:r>
            <w:r w:rsidR="00AB2111" w:rsidRPr="008D2A17">
              <w:t> MHz</w:t>
            </w:r>
            <w:r w:rsidRPr="008D2A17">
              <w:t xml:space="preserve"> offset from upper block edge </w:t>
            </w:r>
          </w:p>
        </w:tc>
        <w:tc>
          <w:tcPr>
            <w:tcW w:w="2976" w:type="dxa"/>
          </w:tcPr>
          <w:p w14:paraId="3AADFFF5" w14:textId="32DD77E9" w:rsidR="00AD7F41" w:rsidRPr="008D2A17" w:rsidRDefault="00AD7F41" w:rsidP="008A1679">
            <w:pPr>
              <w:rPr>
                <w:lang w:val="en-GB"/>
              </w:rPr>
            </w:pPr>
            <w:r w:rsidRPr="008D2A17">
              <w:rPr>
                <w:lang w:val="en-GB"/>
              </w:rPr>
              <w:t>Min(PMax'-40,</w:t>
            </w:r>
            <w:r w:rsidR="008A1679" w:rsidRPr="008D2A17">
              <w:rPr>
                <w:lang w:val="en-GB"/>
              </w:rPr>
              <w:t xml:space="preserve"> </w:t>
            </w:r>
            <w:r w:rsidR="00D27E89" w:rsidRPr="008D2A17">
              <w:rPr>
                <w:lang w:val="en-GB"/>
              </w:rPr>
              <w:t>16</w:t>
            </w:r>
            <w:r w:rsidR="008A1679" w:rsidRPr="008D2A17">
              <w:rPr>
                <w:lang w:val="en-GB"/>
              </w:rPr>
              <w:t>)</w:t>
            </w:r>
            <w:r w:rsidR="00A702DA" w:rsidRPr="008D2A17">
              <w:rPr>
                <w:lang w:val="en-GB"/>
              </w:rPr>
              <w:t xml:space="preserve">     </w:t>
            </w:r>
            <w:r w:rsidR="00410F04" w:rsidRPr="008D2A17">
              <w:rPr>
                <w:lang w:val="en-GB"/>
              </w:rPr>
              <w:t>(3)</w:t>
            </w:r>
          </w:p>
        </w:tc>
      </w:tr>
      <w:tr w:rsidR="00AD7F41" w:rsidRPr="008D2A17" w14:paraId="4550DE0F" w14:textId="77777777" w:rsidTr="00AD7F41">
        <w:trPr>
          <w:trHeight w:val="673"/>
        </w:trPr>
        <w:tc>
          <w:tcPr>
            <w:tcW w:w="1980" w:type="dxa"/>
          </w:tcPr>
          <w:p w14:paraId="1CA8E299" w14:textId="77777777" w:rsidR="00AD7F41" w:rsidRPr="008D2A17" w:rsidRDefault="00AD7F41" w:rsidP="00AD7F41">
            <w:pPr>
              <w:pStyle w:val="ECCTabletext"/>
            </w:pPr>
            <w:r w:rsidRPr="008D2A17">
              <w:t>Transitional region</w:t>
            </w:r>
          </w:p>
        </w:tc>
        <w:tc>
          <w:tcPr>
            <w:tcW w:w="4241" w:type="dxa"/>
          </w:tcPr>
          <w:p w14:paraId="1609BE35" w14:textId="77777777" w:rsidR="00AD7F41" w:rsidRPr="008D2A17" w:rsidRDefault="00AD7F41" w:rsidP="00AD7F41">
            <w:pPr>
              <w:pStyle w:val="ECCTabletext"/>
            </w:pPr>
            <w:r w:rsidRPr="008D2A17">
              <w:t>-10 to -5</w:t>
            </w:r>
            <w:r w:rsidR="00AB2111" w:rsidRPr="008D2A17">
              <w:t> MHz</w:t>
            </w:r>
            <w:r w:rsidRPr="008D2A17">
              <w:t xml:space="preserve"> offset from lower block edge</w:t>
            </w:r>
            <w:r w:rsidRPr="008D2A17">
              <w:br/>
              <w:t>5 to 10</w:t>
            </w:r>
            <w:r w:rsidR="00AB2111" w:rsidRPr="008D2A17">
              <w:t> MHz</w:t>
            </w:r>
            <w:r w:rsidRPr="008D2A17">
              <w:t xml:space="preserve"> offset from upper block edge</w:t>
            </w:r>
          </w:p>
        </w:tc>
        <w:tc>
          <w:tcPr>
            <w:tcW w:w="2976" w:type="dxa"/>
          </w:tcPr>
          <w:p w14:paraId="0ED2BAB1" w14:textId="754DF2F8" w:rsidR="00AD7F41" w:rsidRPr="008D2A17" w:rsidRDefault="00AD7F41" w:rsidP="00AD7F41">
            <w:pPr>
              <w:pStyle w:val="ECCTabletext"/>
            </w:pPr>
            <w:r w:rsidRPr="008D2A17">
              <w:t xml:space="preserve">Min(PMax'-43, </w:t>
            </w:r>
            <w:r w:rsidR="00D27E89" w:rsidRPr="008D2A17">
              <w:t>12</w:t>
            </w:r>
            <w:r w:rsidR="008A1679" w:rsidRPr="008D2A17">
              <w:t>)</w:t>
            </w:r>
            <w:r w:rsidR="00A702DA" w:rsidRPr="008D2A17">
              <w:t xml:space="preserve">     </w:t>
            </w:r>
            <w:r w:rsidR="00410F04" w:rsidRPr="008D2A17">
              <w:t>(3)</w:t>
            </w:r>
          </w:p>
        </w:tc>
      </w:tr>
      <w:tr w:rsidR="00AD7F41" w:rsidRPr="008D2A17" w14:paraId="5872C45E" w14:textId="77777777" w:rsidTr="00AD7F41">
        <w:trPr>
          <w:trHeight w:val="673"/>
        </w:trPr>
        <w:tc>
          <w:tcPr>
            <w:tcW w:w="1980" w:type="dxa"/>
          </w:tcPr>
          <w:p w14:paraId="4A63C369" w14:textId="66CE9C6B" w:rsidR="00AD7F41" w:rsidRPr="008D2A17" w:rsidRDefault="00D91CE8" w:rsidP="00AD7F41">
            <w:pPr>
              <w:pStyle w:val="ECCTabletext"/>
            </w:pPr>
            <w:r w:rsidRPr="00BF1CA6">
              <w:t>Baseline</w:t>
            </w:r>
          </w:p>
        </w:tc>
        <w:tc>
          <w:tcPr>
            <w:tcW w:w="4241" w:type="dxa"/>
          </w:tcPr>
          <w:p w14:paraId="704C6470" w14:textId="77777777" w:rsidR="00AD7F41" w:rsidRPr="008D2A17" w:rsidRDefault="00AD7F41" w:rsidP="00AD7F41">
            <w:pPr>
              <w:pStyle w:val="ECCTabletext"/>
            </w:pPr>
            <w:r w:rsidRPr="008D2A17">
              <w:t>Below -10</w:t>
            </w:r>
            <w:r w:rsidR="00AB2111" w:rsidRPr="008D2A17">
              <w:t> MHz</w:t>
            </w:r>
            <w:r w:rsidRPr="008D2A17">
              <w:t xml:space="preserve"> offset from lower block edge.</w:t>
            </w:r>
          </w:p>
          <w:p w14:paraId="3DB61FF6" w14:textId="77777777" w:rsidR="00AD7F41" w:rsidRPr="008D2A17" w:rsidRDefault="00AD7F41" w:rsidP="00AD7F41">
            <w:pPr>
              <w:pStyle w:val="ECCTabletext"/>
            </w:pPr>
            <w:r w:rsidRPr="008D2A17">
              <w:t>Above 10</w:t>
            </w:r>
            <w:r w:rsidR="00AB2111" w:rsidRPr="008D2A17">
              <w:t> MHz</w:t>
            </w:r>
            <w:r w:rsidRPr="008D2A17">
              <w:t xml:space="preserve"> offset from upper block edge.</w:t>
            </w:r>
          </w:p>
          <w:p w14:paraId="0EF50333" w14:textId="77777777" w:rsidR="00AD7F41" w:rsidRPr="008D2A17" w:rsidRDefault="00AD7F41" w:rsidP="00AD7F41">
            <w:pPr>
              <w:pStyle w:val="ECCTabletext"/>
            </w:pPr>
            <w:r w:rsidRPr="008D2A17">
              <w:t>Within 3400-3800</w:t>
            </w:r>
            <w:r w:rsidR="00AB2111" w:rsidRPr="008D2A17">
              <w:t> MHz</w:t>
            </w:r>
          </w:p>
        </w:tc>
        <w:tc>
          <w:tcPr>
            <w:tcW w:w="2976" w:type="dxa"/>
          </w:tcPr>
          <w:p w14:paraId="68888568" w14:textId="4A6EFF51" w:rsidR="00AD7F41" w:rsidRPr="008D2A17" w:rsidRDefault="00AD7F41" w:rsidP="00AD7F41">
            <w:pPr>
              <w:pStyle w:val="ECCTabletext"/>
            </w:pPr>
            <w:r w:rsidRPr="008D2A17">
              <w:t xml:space="preserve">Min(PMax'-43, </w:t>
            </w:r>
            <w:r w:rsidR="00D27E89" w:rsidRPr="008D2A17">
              <w:t>1</w:t>
            </w:r>
            <w:r w:rsidR="008A1679" w:rsidRPr="008D2A17">
              <w:t>)</w:t>
            </w:r>
            <w:r w:rsidRPr="008D2A17">
              <w:t xml:space="preserve"> </w:t>
            </w:r>
            <w:r w:rsidR="00A702DA" w:rsidRPr="008D2A17">
              <w:t xml:space="preserve">     </w:t>
            </w:r>
            <w:r w:rsidR="00410F04" w:rsidRPr="008D2A17">
              <w:t>(3)</w:t>
            </w:r>
          </w:p>
        </w:tc>
      </w:tr>
      <w:tr w:rsidR="005A1FC7" w:rsidRPr="008D2A17" w14:paraId="74181D86" w14:textId="77777777" w:rsidTr="00DF4065">
        <w:trPr>
          <w:trHeight w:val="673"/>
        </w:trPr>
        <w:tc>
          <w:tcPr>
            <w:tcW w:w="9197" w:type="dxa"/>
            <w:gridSpan w:val="3"/>
          </w:tcPr>
          <w:p w14:paraId="45E41EF8" w14:textId="4DC8EE0F" w:rsidR="005A1FC7" w:rsidRPr="00BE123F" w:rsidRDefault="005A1FC7" w:rsidP="00BE123F">
            <w:pPr>
              <w:pStyle w:val="ECCTablenote"/>
              <w:rPr>
                <w:rStyle w:val="ECCHLorange"/>
                <w:sz w:val="20"/>
              </w:rPr>
            </w:pPr>
            <w:r w:rsidRPr="00BE123F">
              <w:rPr>
                <w:rStyle w:val="ECCHLorange"/>
                <w:shd w:val="clear" w:color="auto" w:fill="auto"/>
              </w:rPr>
              <w:t xml:space="preserve">(1) </w:t>
            </w:r>
            <w:r w:rsidR="00EA3EA0" w:rsidRPr="008D2A17">
              <w:t xml:space="preserve">In a multi-sector base station, the radiated power limit </w:t>
            </w:r>
            <w:r w:rsidR="00A47409">
              <w:t>applies</w:t>
            </w:r>
            <w:r w:rsidR="00EA3EA0" w:rsidRPr="008D2A17">
              <w:t xml:space="preserve"> to each one of the individual sectors.</w:t>
            </w:r>
          </w:p>
          <w:p w14:paraId="5B84DB3F" w14:textId="6BAB18FD" w:rsidR="005A1FC7" w:rsidRPr="008D2A17" w:rsidRDefault="005A1FC7" w:rsidP="00BE123F">
            <w:pPr>
              <w:pStyle w:val="ECCTablenote"/>
            </w:pPr>
            <w:r w:rsidRPr="008D2A17">
              <w:t>(2) The transitional regions and the baseline power limit apply to the synchroni</w:t>
            </w:r>
            <w:r w:rsidR="00742FCD" w:rsidRPr="008D2A17">
              <w:t>s</w:t>
            </w:r>
            <w:r w:rsidRPr="008D2A17">
              <w:t xml:space="preserve">ed operation of WBB ECS networks as defined in section </w:t>
            </w:r>
            <w:r w:rsidRPr="008D2A17">
              <w:fldChar w:fldCharType="begin"/>
            </w:r>
            <w:r w:rsidRPr="008D2A17">
              <w:instrText xml:space="preserve"> REF _Ref501028718 \r \h  \* MERGEFORMAT </w:instrText>
            </w:r>
            <w:r w:rsidRPr="008D2A17">
              <w:fldChar w:fldCharType="separate"/>
            </w:r>
            <w:r w:rsidR="00FA5407">
              <w:t>4.2.4</w:t>
            </w:r>
            <w:r w:rsidRPr="008D2A17">
              <w:fldChar w:fldCharType="end"/>
            </w:r>
          </w:p>
          <w:p w14:paraId="184D99F5" w14:textId="3686BB08" w:rsidR="005A1FC7" w:rsidRPr="00BE123F" w:rsidRDefault="00410F04" w:rsidP="00BE123F">
            <w:pPr>
              <w:pStyle w:val="ECCTablenote"/>
              <w:rPr>
                <w:shd w:val="solid" w:color="FFC000" w:fill="auto"/>
              </w:rPr>
            </w:pPr>
            <w:r w:rsidRPr="008D2A17">
              <w:t xml:space="preserve">(3) </w:t>
            </w:r>
            <w:proofErr w:type="spellStart"/>
            <w:r w:rsidR="00EA3EA0" w:rsidRPr="008D2A17">
              <w:rPr>
                <w:rStyle w:val="ECCHLorange"/>
                <w:shd w:val="clear" w:color="auto" w:fill="auto"/>
              </w:rPr>
              <w:t>PMax</w:t>
            </w:r>
            <w:proofErr w:type="spellEnd"/>
            <w:r w:rsidR="00EA3EA0" w:rsidRPr="008D2A17">
              <w:rPr>
                <w:rStyle w:val="ECCHLorange"/>
                <w:shd w:val="clear" w:color="auto" w:fill="auto"/>
              </w:rPr>
              <w:t>' is the maximum mean carrier power in dBm for the base station measured as TRP per carrier in a given cell</w:t>
            </w:r>
            <w:r w:rsidR="00B33692" w:rsidRPr="008D2A17">
              <w:rPr>
                <w:rStyle w:val="ECCHLorange"/>
                <w:shd w:val="clear" w:color="auto" w:fill="auto"/>
              </w:rPr>
              <w:t>.</w:t>
            </w:r>
            <w:r w:rsidR="00EA3EA0" w:rsidRPr="008D2A17">
              <w:rPr>
                <w:rStyle w:val="ECCHLorange"/>
              </w:rPr>
              <w:t xml:space="preserve"> </w:t>
            </w:r>
          </w:p>
        </w:tc>
      </w:tr>
    </w:tbl>
    <w:p w14:paraId="5C318F7F" w14:textId="181A7D93" w:rsidR="00AD7F41" w:rsidRPr="00BC3CEE" w:rsidRDefault="00AD7F41" w:rsidP="00BE123F">
      <w:pPr>
        <w:pStyle w:val="Heading3"/>
      </w:pPr>
      <w:bookmarkStart w:id="1550" w:name="_Toc500246424"/>
      <w:bookmarkStart w:id="1551" w:name="_Toc500247361"/>
      <w:bookmarkStart w:id="1552" w:name="_Toc500135083"/>
      <w:bookmarkStart w:id="1553" w:name="_Toc500135550"/>
      <w:bookmarkStart w:id="1554" w:name="_Toc500144723"/>
      <w:bookmarkStart w:id="1555" w:name="_Toc500145800"/>
      <w:bookmarkStart w:id="1556" w:name="_Toc500154480"/>
      <w:bookmarkStart w:id="1557" w:name="_Toc500154839"/>
      <w:bookmarkStart w:id="1558" w:name="_Toc500155197"/>
      <w:bookmarkStart w:id="1559" w:name="_Toc500155587"/>
      <w:bookmarkStart w:id="1560" w:name="_Toc500155972"/>
      <w:bookmarkStart w:id="1561" w:name="_Toc500156358"/>
      <w:bookmarkStart w:id="1562" w:name="_Toc500156744"/>
      <w:bookmarkStart w:id="1563" w:name="_Toc500157130"/>
      <w:bookmarkStart w:id="1564" w:name="_Toc500157514"/>
      <w:bookmarkStart w:id="1565" w:name="_Toc500158321"/>
      <w:bookmarkStart w:id="1566" w:name="_Toc500158707"/>
      <w:bookmarkStart w:id="1567" w:name="_Toc500159092"/>
      <w:bookmarkStart w:id="1568" w:name="_Toc500135084"/>
      <w:bookmarkStart w:id="1569" w:name="_Toc500135551"/>
      <w:bookmarkStart w:id="1570" w:name="_Toc500144724"/>
      <w:bookmarkStart w:id="1571" w:name="_Toc500145801"/>
      <w:bookmarkStart w:id="1572" w:name="_Toc500154481"/>
      <w:bookmarkStart w:id="1573" w:name="_Toc500154840"/>
      <w:bookmarkStart w:id="1574" w:name="_Toc500155198"/>
      <w:bookmarkStart w:id="1575" w:name="_Toc500155588"/>
      <w:bookmarkStart w:id="1576" w:name="_Toc500155973"/>
      <w:bookmarkStart w:id="1577" w:name="_Toc500156359"/>
      <w:bookmarkStart w:id="1578" w:name="_Toc500156745"/>
      <w:bookmarkStart w:id="1579" w:name="_Toc500157131"/>
      <w:bookmarkStart w:id="1580" w:name="_Toc500157515"/>
      <w:bookmarkStart w:id="1581" w:name="_Toc500158322"/>
      <w:bookmarkStart w:id="1582" w:name="_Toc500158708"/>
      <w:bookmarkStart w:id="1583" w:name="_Toc500159093"/>
      <w:bookmarkStart w:id="1584" w:name="_Toc500135085"/>
      <w:bookmarkStart w:id="1585" w:name="_Toc500135552"/>
      <w:bookmarkStart w:id="1586" w:name="_Toc500144725"/>
      <w:bookmarkStart w:id="1587" w:name="_Toc500145802"/>
      <w:bookmarkStart w:id="1588" w:name="_Toc500154482"/>
      <w:bookmarkStart w:id="1589" w:name="_Toc500154841"/>
      <w:bookmarkStart w:id="1590" w:name="_Toc500155199"/>
      <w:bookmarkStart w:id="1591" w:name="_Toc500155589"/>
      <w:bookmarkStart w:id="1592" w:name="_Toc500155974"/>
      <w:bookmarkStart w:id="1593" w:name="_Toc500156360"/>
      <w:bookmarkStart w:id="1594" w:name="_Toc500156746"/>
      <w:bookmarkStart w:id="1595" w:name="_Toc500157132"/>
      <w:bookmarkStart w:id="1596" w:name="_Toc500157516"/>
      <w:bookmarkStart w:id="1597" w:name="_Toc500158323"/>
      <w:bookmarkStart w:id="1598" w:name="_Toc500158709"/>
      <w:bookmarkStart w:id="1599" w:name="_Toc500159094"/>
      <w:bookmarkStart w:id="1600" w:name="_Toc500135086"/>
      <w:bookmarkStart w:id="1601" w:name="_Toc500135553"/>
      <w:bookmarkStart w:id="1602" w:name="_Toc500144726"/>
      <w:bookmarkStart w:id="1603" w:name="_Toc500145803"/>
      <w:bookmarkStart w:id="1604" w:name="_Toc500154483"/>
      <w:bookmarkStart w:id="1605" w:name="_Toc500154842"/>
      <w:bookmarkStart w:id="1606" w:name="_Toc500155200"/>
      <w:bookmarkStart w:id="1607" w:name="_Toc500155590"/>
      <w:bookmarkStart w:id="1608" w:name="_Toc500155975"/>
      <w:bookmarkStart w:id="1609" w:name="_Toc500156361"/>
      <w:bookmarkStart w:id="1610" w:name="_Toc500156747"/>
      <w:bookmarkStart w:id="1611" w:name="_Toc500157133"/>
      <w:bookmarkStart w:id="1612" w:name="_Toc500157517"/>
      <w:bookmarkStart w:id="1613" w:name="_Toc500158324"/>
      <w:bookmarkStart w:id="1614" w:name="_Toc500158710"/>
      <w:bookmarkStart w:id="1615" w:name="_Toc500159095"/>
      <w:bookmarkStart w:id="1616" w:name="_Toc500135087"/>
      <w:bookmarkStart w:id="1617" w:name="_Toc500135554"/>
      <w:bookmarkStart w:id="1618" w:name="_Toc500144727"/>
      <w:bookmarkStart w:id="1619" w:name="_Toc500145804"/>
      <w:bookmarkStart w:id="1620" w:name="_Toc500154484"/>
      <w:bookmarkStart w:id="1621" w:name="_Toc500154843"/>
      <w:bookmarkStart w:id="1622" w:name="_Toc500155201"/>
      <w:bookmarkStart w:id="1623" w:name="_Toc500155591"/>
      <w:bookmarkStart w:id="1624" w:name="_Toc500155976"/>
      <w:bookmarkStart w:id="1625" w:name="_Toc500156362"/>
      <w:bookmarkStart w:id="1626" w:name="_Toc500156748"/>
      <w:bookmarkStart w:id="1627" w:name="_Toc500157134"/>
      <w:bookmarkStart w:id="1628" w:name="_Toc500157518"/>
      <w:bookmarkStart w:id="1629" w:name="_Toc500158325"/>
      <w:bookmarkStart w:id="1630" w:name="_Toc500158711"/>
      <w:bookmarkStart w:id="1631" w:name="_Toc500159096"/>
      <w:bookmarkStart w:id="1632" w:name="_Toc500135088"/>
      <w:bookmarkStart w:id="1633" w:name="_Toc500135555"/>
      <w:bookmarkStart w:id="1634" w:name="_Toc500144728"/>
      <w:bookmarkStart w:id="1635" w:name="_Toc500145805"/>
      <w:bookmarkStart w:id="1636" w:name="_Toc500154485"/>
      <w:bookmarkStart w:id="1637" w:name="_Toc500154844"/>
      <w:bookmarkStart w:id="1638" w:name="_Toc500155202"/>
      <w:bookmarkStart w:id="1639" w:name="_Toc500155592"/>
      <w:bookmarkStart w:id="1640" w:name="_Toc500155977"/>
      <w:bookmarkStart w:id="1641" w:name="_Toc500156363"/>
      <w:bookmarkStart w:id="1642" w:name="_Toc500156749"/>
      <w:bookmarkStart w:id="1643" w:name="_Toc500157135"/>
      <w:bookmarkStart w:id="1644" w:name="_Toc500157519"/>
      <w:bookmarkStart w:id="1645" w:name="_Toc500158326"/>
      <w:bookmarkStart w:id="1646" w:name="_Toc500158712"/>
      <w:bookmarkStart w:id="1647" w:name="_Toc500159097"/>
      <w:bookmarkStart w:id="1648" w:name="_Toc500135089"/>
      <w:bookmarkStart w:id="1649" w:name="_Toc500135556"/>
      <w:bookmarkStart w:id="1650" w:name="_Toc500144729"/>
      <w:bookmarkStart w:id="1651" w:name="_Toc500145806"/>
      <w:bookmarkStart w:id="1652" w:name="_Toc500154486"/>
      <w:bookmarkStart w:id="1653" w:name="_Toc500154845"/>
      <w:bookmarkStart w:id="1654" w:name="_Toc500155203"/>
      <w:bookmarkStart w:id="1655" w:name="_Toc500155593"/>
      <w:bookmarkStart w:id="1656" w:name="_Toc500155978"/>
      <w:bookmarkStart w:id="1657" w:name="_Toc500156364"/>
      <w:bookmarkStart w:id="1658" w:name="_Toc500156750"/>
      <w:bookmarkStart w:id="1659" w:name="_Toc500157136"/>
      <w:bookmarkStart w:id="1660" w:name="_Toc500157520"/>
      <w:bookmarkStart w:id="1661" w:name="_Toc500158327"/>
      <w:bookmarkStart w:id="1662" w:name="_Toc500158713"/>
      <w:bookmarkStart w:id="1663" w:name="_Toc500159098"/>
      <w:bookmarkStart w:id="1664" w:name="_Toc500135090"/>
      <w:bookmarkStart w:id="1665" w:name="_Toc500135557"/>
      <w:bookmarkStart w:id="1666" w:name="_Toc500144730"/>
      <w:bookmarkStart w:id="1667" w:name="_Toc500145807"/>
      <w:bookmarkStart w:id="1668" w:name="_Toc500154487"/>
      <w:bookmarkStart w:id="1669" w:name="_Toc500154846"/>
      <w:bookmarkStart w:id="1670" w:name="_Toc500155204"/>
      <w:bookmarkStart w:id="1671" w:name="_Toc500155594"/>
      <w:bookmarkStart w:id="1672" w:name="_Toc500155979"/>
      <w:bookmarkStart w:id="1673" w:name="_Toc500156365"/>
      <w:bookmarkStart w:id="1674" w:name="_Toc500156751"/>
      <w:bookmarkStart w:id="1675" w:name="_Toc500157137"/>
      <w:bookmarkStart w:id="1676" w:name="_Toc500157521"/>
      <w:bookmarkStart w:id="1677" w:name="_Toc500158328"/>
      <w:bookmarkStart w:id="1678" w:name="_Toc500158714"/>
      <w:bookmarkStart w:id="1679" w:name="_Toc500159099"/>
      <w:bookmarkStart w:id="1680" w:name="_Toc500135091"/>
      <w:bookmarkStart w:id="1681" w:name="_Toc500135558"/>
      <w:bookmarkStart w:id="1682" w:name="_Toc500144731"/>
      <w:bookmarkStart w:id="1683" w:name="_Toc500145808"/>
      <w:bookmarkStart w:id="1684" w:name="_Toc500154488"/>
      <w:bookmarkStart w:id="1685" w:name="_Toc500154847"/>
      <w:bookmarkStart w:id="1686" w:name="_Toc500155205"/>
      <w:bookmarkStart w:id="1687" w:name="_Toc500155595"/>
      <w:bookmarkStart w:id="1688" w:name="_Toc500155980"/>
      <w:bookmarkStart w:id="1689" w:name="_Toc500156366"/>
      <w:bookmarkStart w:id="1690" w:name="_Toc500156752"/>
      <w:bookmarkStart w:id="1691" w:name="_Toc500157138"/>
      <w:bookmarkStart w:id="1692" w:name="_Toc500157522"/>
      <w:bookmarkStart w:id="1693" w:name="_Toc500158329"/>
      <w:bookmarkStart w:id="1694" w:name="_Toc500158715"/>
      <w:bookmarkStart w:id="1695" w:name="_Toc500159100"/>
      <w:bookmarkStart w:id="1696" w:name="_Toc500135092"/>
      <w:bookmarkStart w:id="1697" w:name="_Toc500135559"/>
      <w:bookmarkStart w:id="1698" w:name="_Toc500144732"/>
      <w:bookmarkStart w:id="1699" w:name="_Toc500145809"/>
      <w:bookmarkStart w:id="1700" w:name="_Toc500154489"/>
      <w:bookmarkStart w:id="1701" w:name="_Toc500154848"/>
      <w:bookmarkStart w:id="1702" w:name="_Toc500155206"/>
      <w:bookmarkStart w:id="1703" w:name="_Toc500155596"/>
      <w:bookmarkStart w:id="1704" w:name="_Toc500155981"/>
      <w:bookmarkStart w:id="1705" w:name="_Toc500156367"/>
      <w:bookmarkStart w:id="1706" w:name="_Toc500156753"/>
      <w:bookmarkStart w:id="1707" w:name="_Toc500157139"/>
      <w:bookmarkStart w:id="1708" w:name="_Toc500157523"/>
      <w:bookmarkStart w:id="1709" w:name="_Toc500158330"/>
      <w:bookmarkStart w:id="1710" w:name="_Toc500158716"/>
      <w:bookmarkStart w:id="1711" w:name="_Toc500159101"/>
      <w:bookmarkStart w:id="1712" w:name="_Toc500135093"/>
      <w:bookmarkStart w:id="1713" w:name="_Toc500135560"/>
      <w:bookmarkStart w:id="1714" w:name="_Toc500144733"/>
      <w:bookmarkStart w:id="1715" w:name="_Toc500145810"/>
      <w:bookmarkStart w:id="1716" w:name="_Toc500154490"/>
      <w:bookmarkStart w:id="1717" w:name="_Toc500154849"/>
      <w:bookmarkStart w:id="1718" w:name="_Toc500155207"/>
      <w:bookmarkStart w:id="1719" w:name="_Toc500155597"/>
      <w:bookmarkStart w:id="1720" w:name="_Toc500155982"/>
      <w:bookmarkStart w:id="1721" w:name="_Toc500156368"/>
      <w:bookmarkStart w:id="1722" w:name="_Toc500156754"/>
      <w:bookmarkStart w:id="1723" w:name="_Toc500157140"/>
      <w:bookmarkStart w:id="1724" w:name="_Toc500157524"/>
      <w:bookmarkStart w:id="1725" w:name="_Toc500158331"/>
      <w:bookmarkStart w:id="1726" w:name="_Toc500158717"/>
      <w:bookmarkStart w:id="1727" w:name="_Toc500159102"/>
      <w:bookmarkStart w:id="1728" w:name="_Toc500135094"/>
      <w:bookmarkStart w:id="1729" w:name="_Toc500135561"/>
      <w:bookmarkStart w:id="1730" w:name="_Toc500144734"/>
      <w:bookmarkStart w:id="1731" w:name="_Toc500145811"/>
      <w:bookmarkStart w:id="1732" w:name="_Toc500154491"/>
      <w:bookmarkStart w:id="1733" w:name="_Toc500154850"/>
      <w:bookmarkStart w:id="1734" w:name="_Toc500155208"/>
      <w:bookmarkStart w:id="1735" w:name="_Toc500155598"/>
      <w:bookmarkStart w:id="1736" w:name="_Toc500155983"/>
      <w:bookmarkStart w:id="1737" w:name="_Toc500156369"/>
      <w:bookmarkStart w:id="1738" w:name="_Toc500156755"/>
      <w:bookmarkStart w:id="1739" w:name="_Toc500157141"/>
      <w:bookmarkStart w:id="1740" w:name="_Toc500157525"/>
      <w:bookmarkStart w:id="1741" w:name="_Toc500158332"/>
      <w:bookmarkStart w:id="1742" w:name="_Toc500158718"/>
      <w:bookmarkStart w:id="1743" w:name="_Toc500159103"/>
      <w:bookmarkStart w:id="1744" w:name="_Toc500135095"/>
      <w:bookmarkStart w:id="1745" w:name="_Toc500135562"/>
      <w:bookmarkStart w:id="1746" w:name="_Toc500144735"/>
      <w:bookmarkStart w:id="1747" w:name="_Toc500145812"/>
      <w:bookmarkStart w:id="1748" w:name="_Toc500154492"/>
      <w:bookmarkStart w:id="1749" w:name="_Toc500154851"/>
      <w:bookmarkStart w:id="1750" w:name="_Toc500155209"/>
      <w:bookmarkStart w:id="1751" w:name="_Toc500155599"/>
      <w:bookmarkStart w:id="1752" w:name="_Toc500155984"/>
      <w:bookmarkStart w:id="1753" w:name="_Toc500156370"/>
      <w:bookmarkStart w:id="1754" w:name="_Toc500156756"/>
      <w:bookmarkStart w:id="1755" w:name="_Toc500157142"/>
      <w:bookmarkStart w:id="1756" w:name="_Toc500157526"/>
      <w:bookmarkStart w:id="1757" w:name="_Toc500158333"/>
      <w:bookmarkStart w:id="1758" w:name="_Toc500158719"/>
      <w:bookmarkStart w:id="1759" w:name="_Toc500159104"/>
      <w:bookmarkStart w:id="1760" w:name="_Toc500135096"/>
      <w:bookmarkStart w:id="1761" w:name="_Toc500135563"/>
      <w:bookmarkStart w:id="1762" w:name="_Toc500144736"/>
      <w:bookmarkStart w:id="1763" w:name="_Toc500145813"/>
      <w:bookmarkStart w:id="1764" w:name="_Toc500154493"/>
      <w:bookmarkStart w:id="1765" w:name="_Toc500154852"/>
      <w:bookmarkStart w:id="1766" w:name="_Toc500155210"/>
      <w:bookmarkStart w:id="1767" w:name="_Toc500155600"/>
      <w:bookmarkStart w:id="1768" w:name="_Toc500155985"/>
      <w:bookmarkStart w:id="1769" w:name="_Toc500156371"/>
      <w:bookmarkStart w:id="1770" w:name="_Toc500156757"/>
      <w:bookmarkStart w:id="1771" w:name="_Toc500157143"/>
      <w:bookmarkStart w:id="1772" w:name="_Toc500157527"/>
      <w:bookmarkStart w:id="1773" w:name="_Toc500158334"/>
      <w:bookmarkStart w:id="1774" w:name="_Toc500158720"/>
      <w:bookmarkStart w:id="1775" w:name="_Toc500159105"/>
      <w:bookmarkStart w:id="1776" w:name="_Toc500135097"/>
      <w:bookmarkStart w:id="1777" w:name="_Toc500135564"/>
      <w:bookmarkStart w:id="1778" w:name="_Toc500144737"/>
      <w:bookmarkStart w:id="1779" w:name="_Toc500145814"/>
      <w:bookmarkStart w:id="1780" w:name="_Toc500154494"/>
      <w:bookmarkStart w:id="1781" w:name="_Toc500154853"/>
      <w:bookmarkStart w:id="1782" w:name="_Toc500155211"/>
      <w:bookmarkStart w:id="1783" w:name="_Toc500155601"/>
      <w:bookmarkStart w:id="1784" w:name="_Toc500155986"/>
      <w:bookmarkStart w:id="1785" w:name="_Toc500156372"/>
      <w:bookmarkStart w:id="1786" w:name="_Toc500156758"/>
      <w:bookmarkStart w:id="1787" w:name="_Toc500157144"/>
      <w:bookmarkStart w:id="1788" w:name="_Toc500157528"/>
      <w:bookmarkStart w:id="1789" w:name="_Toc500158335"/>
      <w:bookmarkStart w:id="1790" w:name="_Toc500158721"/>
      <w:bookmarkStart w:id="1791" w:name="_Toc500159106"/>
      <w:bookmarkStart w:id="1792" w:name="_Toc500135098"/>
      <w:bookmarkStart w:id="1793" w:name="_Toc500135565"/>
      <w:bookmarkStart w:id="1794" w:name="_Toc500144738"/>
      <w:bookmarkStart w:id="1795" w:name="_Toc500145815"/>
      <w:bookmarkStart w:id="1796" w:name="_Toc500154495"/>
      <w:bookmarkStart w:id="1797" w:name="_Toc500154854"/>
      <w:bookmarkStart w:id="1798" w:name="_Toc500155212"/>
      <w:bookmarkStart w:id="1799" w:name="_Toc500155602"/>
      <w:bookmarkStart w:id="1800" w:name="_Toc500155987"/>
      <w:bookmarkStart w:id="1801" w:name="_Toc500156373"/>
      <w:bookmarkStart w:id="1802" w:name="_Toc500156759"/>
      <w:bookmarkStart w:id="1803" w:name="_Toc500157145"/>
      <w:bookmarkStart w:id="1804" w:name="_Toc500157529"/>
      <w:bookmarkStart w:id="1805" w:name="_Toc500158336"/>
      <w:bookmarkStart w:id="1806" w:name="_Toc500158722"/>
      <w:bookmarkStart w:id="1807" w:name="_Toc500159107"/>
      <w:bookmarkStart w:id="1808" w:name="_Toc500135099"/>
      <w:bookmarkStart w:id="1809" w:name="_Toc500135566"/>
      <w:bookmarkStart w:id="1810" w:name="_Toc500144739"/>
      <w:bookmarkStart w:id="1811" w:name="_Toc500145816"/>
      <w:bookmarkStart w:id="1812" w:name="_Toc500154496"/>
      <w:bookmarkStart w:id="1813" w:name="_Toc500154855"/>
      <w:bookmarkStart w:id="1814" w:name="_Toc500155213"/>
      <w:bookmarkStart w:id="1815" w:name="_Toc500155603"/>
      <w:bookmarkStart w:id="1816" w:name="_Toc500155988"/>
      <w:bookmarkStart w:id="1817" w:name="_Toc500156374"/>
      <w:bookmarkStart w:id="1818" w:name="_Toc500156760"/>
      <w:bookmarkStart w:id="1819" w:name="_Toc500157146"/>
      <w:bookmarkStart w:id="1820" w:name="_Toc500157530"/>
      <w:bookmarkStart w:id="1821" w:name="_Toc500158337"/>
      <w:bookmarkStart w:id="1822" w:name="_Toc500158723"/>
      <w:bookmarkStart w:id="1823" w:name="_Toc500159108"/>
      <w:bookmarkStart w:id="1824" w:name="_Toc500247365"/>
      <w:bookmarkStart w:id="1825" w:name="_Toc500931703"/>
      <w:bookmarkStart w:id="1826" w:name="_Toc501012941"/>
      <w:bookmarkStart w:id="1827" w:name="_Toc514428348"/>
      <w:bookmarkStart w:id="1828" w:name="_Toc507766113"/>
      <w:bookmarkEnd w:id="1543"/>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r w:rsidRPr="00BE123F">
        <w:rPr>
          <w:lang w:val="en-GB"/>
        </w:rPr>
        <w:t xml:space="preserve">Out-of-block power limits: Interference between </w:t>
      </w:r>
      <w:r w:rsidR="00F638BA" w:rsidRPr="008D2A17">
        <w:rPr>
          <w:lang w:val="en-GB"/>
        </w:rPr>
        <w:t>un</w:t>
      </w:r>
      <w:r w:rsidRPr="008D2A17">
        <w:rPr>
          <w:lang w:val="en-GB"/>
        </w:rPr>
        <w:t>synchronised</w:t>
      </w:r>
      <w:r w:rsidR="00E27D68" w:rsidRPr="008D2A17">
        <w:rPr>
          <w:lang w:val="en-GB"/>
        </w:rPr>
        <w:t xml:space="preserve"> </w:t>
      </w:r>
      <w:r w:rsidR="00E27D68" w:rsidRPr="008D2A17">
        <w:rPr>
          <w:rStyle w:val="ECCHLunderlined"/>
          <w:u w:val="none"/>
          <w:lang w:val="en-GB"/>
        </w:rPr>
        <w:t>and semi</w:t>
      </w:r>
      <w:r w:rsidR="00F638BA" w:rsidRPr="00BE123F">
        <w:rPr>
          <w:rStyle w:val="ECCHLunderlined"/>
          <w:u w:val="none"/>
        </w:rPr>
        <w:t>-</w:t>
      </w:r>
      <w:proofErr w:type="spellStart"/>
      <w:r w:rsidR="00293A15" w:rsidRPr="00BE123F">
        <w:rPr>
          <w:rStyle w:val="ECCHLunderlined"/>
          <w:u w:val="none"/>
        </w:rPr>
        <w:t>synchronised</w:t>
      </w:r>
      <w:proofErr w:type="spellEnd"/>
      <w:r w:rsidR="00293A15" w:rsidRPr="00BE123F">
        <w:rPr>
          <w:lang w:val="en-GB"/>
        </w:rPr>
        <w:t xml:space="preserve"> </w:t>
      </w:r>
      <w:r w:rsidRPr="00BE123F">
        <w:rPr>
          <w:lang w:val="en-GB"/>
        </w:rPr>
        <w:t>WBB ECS</w:t>
      </w:r>
      <w:bookmarkEnd w:id="1824"/>
      <w:bookmarkEnd w:id="1825"/>
      <w:bookmarkEnd w:id="1826"/>
      <w:bookmarkEnd w:id="1827"/>
      <w:bookmarkEnd w:id="1828"/>
    </w:p>
    <w:p w14:paraId="745AD1AD" w14:textId="4B501C29" w:rsidR="00AD7F41" w:rsidRPr="008D2A17" w:rsidRDefault="00AD7F41" w:rsidP="00AD7F41">
      <w:pPr>
        <w:pStyle w:val="ECCParagraph"/>
      </w:pPr>
      <w:r w:rsidRPr="008D2A17">
        <w:t xml:space="preserve">EC Decision 2014/276/EU </w:t>
      </w:r>
      <w:r w:rsidR="00CB2C51">
        <w:fldChar w:fldCharType="begin"/>
      </w:r>
      <w:r w:rsidR="00CB2C51">
        <w:instrText xml:space="preserve"> REF _Ref514428317 \r \h </w:instrText>
      </w:r>
      <w:r w:rsidR="00CB2C51">
        <w:fldChar w:fldCharType="separate"/>
      </w:r>
      <w:r w:rsidR="00FA5407">
        <w:t>[1]</w:t>
      </w:r>
      <w:r w:rsidR="00CB2C51">
        <w:fldChar w:fldCharType="end"/>
      </w:r>
      <w:r w:rsidR="00CB2C51">
        <w:t xml:space="preserve"> </w:t>
      </w:r>
      <w:proofErr w:type="gramStart"/>
      <w:r w:rsidRPr="008D2A17">
        <w:t>provides</w:t>
      </w:r>
      <w:proofErr w:type="gramEnd"/>
      <w:r w:rsidRPr="008D2A17">
        <w:t xml:space="preserve"> power limits for coexistence between unsynchronised WBB ECS networks through the definition of a single baseline level.</w:t>
      </w:r>
    </w:p>
    <w:p w14:paraId="316B620A" w14:textId="5D6E57EC" w:rsidR="00C36BA9" w:rsidRPr="008D2A17" w:rsidRDefault="00AD7F41" w:rsidP="00AD7F41">
      <w:pPr>
        <w:pStyle w:val="ECCParagraph"/>
      </w:pPr>
      <w:r w:rsidRPr="008D2A17">
        <w:t xml:space="preserve">It is proposed to update the existing baseline limit in line with the simulation results provided in </w:t>
      </w:r>
      <w:r w:rsidRPr="008D2A17">
        <w:rPr>
          <w:rFonts w:eastAsia="Calibri"/>
        </w:rPr>
        <w:t xml:space="preserve">ECC Report </w:t>
      </w:r>
      <w:r w:rsidR="00932BFA" w:rsidRPr="008D2A17">
        <w:rPr>
          <w:rFonts w:eastAsia="Calibri"/>
        </w:rPr>
        <w:t xml:space="preserve">281 </w:t>
      </w:r>
      <w:r w:rsidR="0094535F" w:rsidRPr="008D2A17">
        <w:rPr>
          <w:rFonts w:eastAsia="Calibri"/>
        </w:rPr>
        <w:fldChar w:fldCharType="begin"/>
      </w:r>
      <w:r w:rsidR="0094535F" w:rsidRPr="008D2A17">
        <w:rPr>
          <w:rFonts w:eastAsia="Calibri"/>
        </w:rPr>
        <w:instrText xml:space="preserve"> REF _Ref505354114 \r \h </w:instrText>
      </w:r>
      <w:r w:rsidR="00932BFA" w:rsidRPr="008D2A17">
        <w:rPr>
          <w:rFonts w:eastAsia="Calibri"/>
        </w:rPr>
        <w:instrText xml:space="preserve"> \* MERGEFORMAT </w:instrText>
      </w:r>
      <w:r w:rsidR="0094535F" w:rsidRPr="008D2A17">
        <w:rPr>
          <w:rFonts w:eastAsia="Calibri"/>
        </w:rPr>
      </w:r>
      <w:r w:rsidR="0094535F" w:rsidRPr="008D2A17">
        <w:rPr>
          <w:rFonts w:eastAsia="Calibri"/>
        </w:rPr>
        <w:fldChar w:fldCharType="separate"/>
      </w:r>
      <w:r w:rsidR="00FA5407">
        <w:rPr>
          <w:rFonts w:eastAsia="Calibri"/>
        </w:rPr>
        <w:t>[14]</w:t>
      </w:r>
      <w:r w:rsidR="0094535F" w:rsidRPr="008D2A17">
        <w:rPr>
          <w:rFonts w:eastAsia="Calibri"/>
        </w:rPr>
        <w:fldChar w:fldCharType="end"/>
      </w:r>
      <w:r w:rsidRPr="008D2A17">
        <w:t>, and to express this in terms of TRP as indicated below.</w:t>
      </w:r>
      <w:r w:rsidR="00B33692" w:rsidRPr="008D2A17">
        <w:t xml:space="preserve"> </w:t>
      </w:r>
      <w:r w:rsidR="00C36BA9" w:rsidRPr="008D2A17">
        <w:t>ECC is developing a report further investigating the cases in which the restricted baseline applies.</w:t>
      </w:r>
    </w:p>
    <w:p w14:paraId="14CE2420" w14:textId="4D74D53E" w:rsidR="00AD7F41" w:rsidRPr="008D2A17" w:rsidRDefault="00AD7F41" w:rsidP="0094535F">
      <w:pPr>
        <w:pStyle w:val="Caption"/>
        <w:keepNext/>
        <w:rPr>
          <w:lang w:val="en-GB"/>
        </w:rPr>
      </w:pPr>
      <w:r w:rsidRPr="008D2A17">
        <w:rPr>
          <w:lang w:val="en-GB"/>
        </w:rPr>
        <w:lastRenderedPageBreak/>
        <w:t xml:space="preserve">Table </w:t>
      </w:r>
      <w:r w:rsidRPr="008D2A17">
        <w:rPr>
          <w:lang w:val="en-GB"/>
        </w:rPr>
        <w:fldChar w:fldCharType="begin"/>
      </w:r>
      <w:r w:rsidRPr="008D2A17">
        <w:rPr>
          <w:lang w:val="en-GB"/>
        </w:rPr>
        <w:instrText xml:space="preserve"> SEQ Table \* ARABIC </w:instrText>
      </w:r>
      <w:r w:rsidRPr="008D2A17">
        <w:rPr>
          <w:lang w:val="en-GB"/>
        </w:rPr>
        <w:fldChar w:fldCharType="separate"/>
      </w:r>
      <w:r w:rsidR="00FA5407">
        <w:rPr>
          <w:noProof/>
          <w:lang w:val="en-GB"/>
        </w:rPr>
        <w:t>3</w:t>
      </w:r>
      <w:r w:rsidRPr="008D2A17">
        <w:rPr>
          <w:noProof/>
          <w:lang w:val="en-GB"/>
        </w:rPr>
        <w:fldChar w:fldCharType="end"/>
      </w:r>
      <w:r w:rsidRPr="008D2A17">
        <w:rPr>
          <w:lang w:val="en-GB"/>
        </w:rPr>
        <w:t>: Updated restricted baseline power limits for AAS base stations</w:t>
      </w:r>
      <w:r w:rsidR="00D55A9D" w:rsidRPr="008D2A17">
        <w:rPr>
          <w:lang w:val="en-GB"/>
        </w:rPr>
        <w:t xml:space="preserve"> in the same geographical area</w:t>
      </w:r>
      <w:r w:rsidR="00B33692" w:rsidRPr="008D2A17">
        <w:rPr>
          <w:lang w:val="en-GB"/>
        </w:rPr>
        <w:t xml:space="preserve"> </w:t>
      </w:r>
      <w:r w:rsidRPr="008D2A17">
        <w:rPr>
          <w:lang w:val="en-GB"/>
        </w:rPr>
        <w:t xml:space="preserve">for </w:t>
      </w:r>
      <w:r w:rsidR="00F638BA" w:rsidRPr="008D2A17">
        <w:rPr>
          <w:lang w:val="en-GB"/>
        </w:rPr>
        <w:t>un</w:t>
      </w:r>
      <w:r w:rsidR="0091651E" w:rsidRPr="008D2A17">
        <w:rPr>
          <w:lang w:val="en-GB"/>
        </w:rPr>
        <w:t xml:space="preserve">synchronised </w:t>
      </w:r>
      <w:r w:rsidR="000C1DA8" w:rsidRPr="008D2A17">
        <w:rPr>
          <w:lang w:val="en-GB"/>
        </w:rPr>
        <w:t>and semi-synchronised</w:t>
      </w:r>
      <w:r w:rsidRPr="008D2A17">
        <w:rPr>
          <w:lang w:val="en-GB"/>
        </w:rPr>
        <w:t xml:space="preserve"> WBB ECS </w:t>
      </w:r>
    </w:p>
    <w:tbl>
      <w:tblPr>
        <w:tblStyle w:val="ECCTable-redheader"/>
        <w:tblW w:w="7207" w:type="dxa"/>
        <w:tblInd w:w="0" w:type="dxa"/>
        <w:tblLook w:val="01E0" w:firstRow="1" w:lastRow="1" w:firstColumn="1" w:lastColumn="1" w:noHBand="0" w:noVBand="0"/>
      </w:tblPr>
      <w:tblGrid>
        <w:gridCol w:w="1354"/>
        <w:gridCol w:w="2735"/>
        <w:gridCol w:w="3118"/>
      </w:tblGrid>
      <w:tr w:rsidR="00AD7F41" w:rsidRPr="008D2A17" w14:paraId="194F9C9B" w14:textId="77777777" w:rsidTr="00AD7F41">
        <w:trPr>
          <w:cnfStyle w:val="100000000000" w:firstRow="1" w:lastRow="0" w:firstColumn="0" w:lastColumn="0" w:oddVBand="0" w:evenVBand="0" w:oddHBand="0" w:evenHBand="0" w:firstRowFirstColumn="0" w:firstRowLastColumn="0" w:lastRowFirstColumn="0" w:lastRowLastColumn="0"/>
          <w:trHeight w:val="257"/>
        </w:trPr>
        <w:tc>
          <w:tcPr>
            <w:tcW w:w="1354" w:type="dxa"/>
          </w:tcPr>
          <w:p w14:paraId="434CAB4D" w14:textId="77777777" w:rsidR="00AD7F41" w:rsidRPr="008D2A17" w:rsidRDefault="00AD7F41" w:rsidP="0094535F">
            <w:pPr>
              <w:keepNext/>
              <w:keepLines/>
              <w:rPr>
                <w:lang w:val="en-GB"/>
              </w:rPr>
            </w:pPr>
            <w:r w:rsidRPr="008D2A17">
              <w:rPr>
                <w:lang w:val="en-GB"/>
              </w:rPr>
              <w:t>BEM element</w:t>
            </w:r>
          </w:p>
        </w:tc>
        <w:tc>
          <w:tcPr>
            <w:tcW w:w="2735" w:type="dxa"/>
          </w:tcPr>
          <w:p w14:paraId="6F549458" w14:textId="77777777" w:rsidR="00AD7F41" w:rsidRPr="008D2A17" w:rsidRDefault="00AD7F41" w:rsidP="0094535F">
            <w:pPr>
              <w:keepNext/>
              <w:keepLines/>
              <w:rPr>
                <w:lang w:val="en-GB"/>
              </w:rPr>
            </w:pPr>
            <w:r w:rsidRPr="008D2A17">
              <w:rPr>
                <w:lang w:val="en-GB"/>
              </w:rPr>
              <w:t>Frequency range</w:t>
            </w:r>
          </w:p>
        </w:tc>
        <w:tc>
          <w:tcPr>
            <w:tcW w:w="3118" w:type="dxa"/>
          </w:tcPr>
          <w:p w14:paraId="1ACBD8FA" w14:textId="53B25CD0" w:rsidR="00AD7F41" w:rsidRPr="008D2A17" w:rsidRDefault="00DA3110" w:rsidP="0094535F">
            <w:pPr>
              <w:keepNext/>
              <w:keepLines/>
              <w:jc w:val="left"/>
              <w:rPr>
                <w:lang w:val="en-GB"/>
              </w:rPr>
            </w:pPr>
            <w:r w:rsidRPr="008D2A17">
              <w:rPr>
                <w:lang w:val="en-GB"/>
              </w:rPr>
              <w:t xml:space="preserve">AAS </w:t>
            </w:r>
            <w:r w:rsidR="007F1AB6">
              <w:rPr>
                <w:lang w:val="en-GB"/>
              </w:rPr>
              <w:t>TRP</w:t>
            </w:r>
            <w:r w:rsidRPr="008D2A17">
              <w:rPr>
                <w:lang w:val="en-GB"/>
              </w:rPr>
              <w:t xml:space="preserve"> limit</w:t>
            </w:r>
            <w:r w:rsidRPr="008D2A17">
              <w:rPr>
                <w:lang w:val="en-GB"/>
              </w:rPr>
              <w:br/>
              <w:t>dBm /</w:t>
            </w:r>
            <w:r w:rsidR="00EE47BB" w:rsidRPr="008D2A17">
              <w:rPr>
                <w:lang w:val="en-GB"/>
              </w:rPr>
              <w:t>(</w:t>
            </w:r>
            <w:r w:rsidRPr="008D2A17">
              <w:rPr>
                <w:lang w:val="en-GB"/>
              </w:rPr>
              <w:t>5MHz</w:t>
            </w:r>
            <w:r w:rsidR="00EE47BB" w:rsidRPr="008D2A17">
              <w:rPr>
                <w:lang w:val="en-GB"/>
              </w:rPr>
              <w:t>)</w:t>
            </w:r>
            <w:r w:rsidR="00EE283E" w:rsidRPr="008D2A17">
              <w:rPr>
                <w:lang w:val="en-GB"/>
              </w:rPr>
              <w:t xml:space="preserve"> per cell</w:t>
            </w:r>
            <w:r w:rsidR="006A68E9" w:rsidRPr="008D2A17">
              <w:rPr>
                <w:rStyle w:val="ECCHLorange"/>
                <w:shd w:val="clear" w:color="auto" w:fill="auto"/>
                <w:lang w:val="en-GB"/>
              </w:rPr>
              <w:t xml:space="preserve"> </w:t>
            </w:r>
            <w:r w:rsidR="00EE283E" w:rsidRPr="008D2A17">
              <w:rPr>
                <w:lang w:val="en-GB"/>
              </w:rPr>
              <w:t>(1)</w:t>
            </w:r>
          </w:p>
        </w:tc>
      </w:tr>
      <w:tr w:rsidR="00AD7F41" w:rsidRPr="008D2A17" w14:paraId="09EC5B3B" w14:textId="77777777" w:rsidTr="00B87126">
        <w:trPr>
          <w:trHeight w:val="673"/>
        </w:trPr>
        <w:tc>
          <w:tcPr>
            <w:tcW w:w="1354" w:type="dxa"/>
          </w:tcPr>
          <w:p w14:paraId="1E37991D" w14:textId="3F66789E" w:rsidR="00AD7F41" w:rsidRPr="008D2A17" w:rsidRDefault="00787D1D" w:rsidP="008D2A17">
            <w:pPr>
              <w:keepNext/>
              <w:keepLines/>
              <w:rPr>
                <w:lang w:val="en-GB"/>
              </w:rPr>
            </w:pPr>
            <w:r>
              <w:rPr>
                <w:lang w:val="en-GB"/>
              </w:rPr>
              <w:t>Restricted baseline</w:t>
            </w:r>
          </w:p>
        </w:tc>
        <w:tc>
          <w:tcPr>
            <w:tcW w:w="2735" w:type="dxa"/>
          </w:tcPr>
          <w:p w14:paraId="55F9A6DB" w14:textId="77777777" w:rsidR="00A20043" w:rsidRPr="008D2A17" w:rsidRDefault="00A20043" w:rsidP="00A20043">
            <w:pPr>
              <w:rPr>
                <w:rStyle w:val="ECCHLorange"/>
                <w:lang w:val="en-GB"/>
              </w:rPr>
            </w:pPr>
            <w:r w:rsidRPr="008D2A17">
              <w:rPr>
                <w:rStyle w:val="ECCHLorange"/>
                <w:shd w:val="clear" w:color="auto" w:fill="auto"/>
                <w:lang w:val="en-GB"/>
              </w:rPr>
              <w:t xml:space="preserve">Unsynchronised </w:t>
            </w:r>
            <w:r w:rsidR="00615555" w:rsidRPr="008D2A17">
              <w:rPr>
                <w:rStyle w:val="ECCHLorange"/>
                <w:shd w:val="clear" w:color="auto" w:fill="auto"/>
                <w:lang w:val="en-GB"/>
              </w:rPr>
              <w:t xml:space="preserve">and semi-synchronised </w:t>
            </w:r>
            <w:r w:rsidRPr="008D2A17">
              <w:rPr>
                <w:rStyle w:val="ECCHLorange"/>
                <w:shd w:val="clear" w:color="auto" w:fill="auto"/>
                <w:lang w:val="en-GB"/>
              </w:rPr>
              <w:t>blocks.</w:t>
            </w:r>
            <w:r w:rsidRPr="008D2A17">
              <w:rPr>
                <w:rStyle w:val="ECCHLorange"/>
                <w:lang w:val="en-GB"/>
              </w:rPr>
              <w:t xml:space="preserve">  </w:t>
            </w:r>
          </w:p>
          <w:p w14:paraId="6582F7AC" w14:textId="77777777" w:rsidR="00AD7F41" w:rsidRPr="008D2A17" w:rsidRDefault="00AD7F41" w:rsidP="0094535F">
            <w:pPr>
              <w:pStyle w:val="ECCTabletext"/>
              <w:keepNext/>
              <w:keepLines/>
            </w:pPr>
            <w:r w:rsidRPr="008D2A17">
              <w:t>Below the lower block edge</w:t>
            </w:r>
          </w:p>
          <w:p w14:paraId="6C6472B3" w14:textId="77777777" w:rsidR="00AD7F41" w:rsidRPr="008D2A17" w:rsidRDefault="00AD7F41" w:rsidP="0094535F">
            <w:pPr>
              <w:pStyle w:val="ECCTabletext"/>
              <w:keepNext/>
              <w:keepLines/>
            </w:pPr>
            <w:r w:rsidRPr="008D2A17">
              <w:t>Above the upper block edge</w:t>
            </w:r>
          </w:p>
          <w:p w14:paraId="64912879" w14:textId="77777777" w:rsidR="00AD7F41" w:rsidRPr="008D2A17" w:rsidRDefault="00AD7F41" w:rsidP="0094535F">
            <w:pPr>
              <w:keepNext/>
              <w:keepLines/>
              <w:rPr>
                <w:lang w:val="en-GB"/>
              </w:rPr>
            </w:pPr>
            <w:r w:rsidRPr="008D2A17">
              <w:rPr>
                <w:lang w:val="en-GB"/>
              </w:rPr>
              <w:t>Within 3400-3800</w:t>
            </w:r>
            <w:r w:rsidR="00AB2111" w:rsidRPr="008D2A17">
              <w:rPr>
                <w:lang w:val="en-GB"/>
              </w:rPr>
              <w:t> MHz</w:t>
            </w:r>
          </w:p>
        </w:tc>
        <w:tc>
          <w:tcPr>
            <w:tcW w:w="3118" w:type="dxa"/>
            <w:shd w:val="clear" w:color="auto" w:fill="auto"/>
          </w:tcPr>
          <w:p w14:paraId="2FCA9614" w14:textId="77777777" w:rsidR="00AD7F41" w:rsidRPr="008D2A17" w:rsidRDefault="00AD7F41" w:rsidP="0094535F">
            <w:pPr>
              <w:keepNext/>
              <w:keepLines/>
              <w:rPr>
                <w:lang w:val="en-GB"/>
              </w:rPr>
            </w:pPr>
            <w:r w:rsidRPr="008D2A17">
              <w:rPr>
                <w:rStyle w:val="ECCHLcyan"/>
                <w:shd w:val="clear" w:color="auto" w:fill="auto"/>
              </w:rPr>
              <w:t>-43</w:t>
            </w:r>
          </w:p>
        </w:tc>
      </w:tr>
      <w:tr w:rsidR="005A1FC7" w:rsidRPr="008D2A17" w14:paraId="707E4247" w14:textId="77777777" w:rsidTr="005A1FC7">
        <w:tc>
          <w:tcPr>
            <w:tcW w:w="7207" w:type="dxa"/>
            <w:gridSpan w:val="3"/>
          </w:tcPr>
          <w:p w14:paraId="51F9A00F" w14:textId="47B9BCE3" w:rsidR="005A1FC7" w:rsidRPr="00BE123F" w:rsidRDefault="005A1FC7">
            <w:pPr>
              <w:pStyle w:val="ECCTablenote"/>
              <w:rPr>
                <w:rStyle w:val="ECCHLorange"/>
                <w:shd w:val="clear" w:color="auto" w:fill="auto"/>
              </w:rPr>
            </w:pPr>
            <w:r w:rsidRPr="008D2A17">
              <w:rPr>
                <w:rStyle w:val="ECCHLorange"/>
                <w:shd w:val="clear" w:color="auto" w:fill="auto"/>
              </w:rPr>
              <w:t>(1)</w:t>
            </w:r>
            <w:r w:rsidR="00EE283E" w:rsidRPr="008D2A17">
              <w:t xml:space="preserve"> </w:t>
            </w:r>
            <w:r w:rsidR="00F638BA" w:rsidRPr="008D2A17">
              <w:t xml:space="preserve">In a multi-sector base station, the radiated power limit </w:t>
            </w:r>
            <w:r w:rsidR="00A47409">
              <w:t>applies</w:t>
            </w:r>
            <w:r w:rsidR="00F638BA" w:rsidRPr="008D2A17">
              <w:t xml:space="preserve"> to each one of the individual sectors.</w:t>
            </w:r>
          </w:p>
        </w:tc>
      </w:tr>
    </w:tbl>
    <w:p w14:paraId="36C18E09" w14:textId="164A8C65" w:rsidR="00AD7F41" w:rsidRPr="008D2A17" w:rsidRDefault="00AD7F41" w:rsidP="00AD7F41">
      <w:pPr>
        <w:pStyle w:val="Heading2"/>
        <w:rPr>
          <w:rFonts w:eastAsia="Calibri"/>
        </w:rPr>
      </w:pPr>
      <w:bookmarkStart w:id="1829" w:name="_Toc500135101"/>
      <w:bookmarkStart w:id="1830" w:name="_Toc500135568"/>
      <w:bookmarkStart w:id="1831" w:name="_Toc500144741"/>
      <w:bookmarkStart w:id="1832" w:name="_Toc500145818"/>
      <w:bookmarkStart w:id="1833" w:name="_Toc500247367"/>
      <w:bookmarkStart w:id="1834" w:name="_Toc500931704"/>
      <w:bookmarkStart w:id="1835" w:name="_Toc501012942"/>
      <w:bookmarkStart w:id="1836" w:name="_Ref511813032"/>
      <w:bookmarkStart w:id="1837" w:name="_Toc514428349"/>
      <w:bookmarkStart w:id="1838" w:name="_Toc507766114"/>
      <w:bookmarkStart w:id="1839" w:name="_Toc489012408"/>
      <w:bookmarkEnd w:id="1829"/>
      <w:bookmarkEnd w:id="1830"/>
      <w:bookmarkEnd w:id="1831"/>
      <w:bookmarkEnd w:id="1832"/>
      <w:r w:rsidRPr="008D2A17">
        <w:t xml:space="preserve">Out-of-band power limits: </w:t>
      </w:r>
      <w:r w:rsidRPr="008D2A17">
        <w:rPr>
          <w:rFonts w:eastAsia="Calibri"/>
        </w:rPr>
        <w:t>Interference towards radars below 3400</w:t>
      </w:r>
      <w:r w:rsidR="00AB2111" w:rsidRPr="008D2A17">
        <w:rPr>
          <w:rFonts w:eastAsia="Calibri"/>
        </w:rPr>
        <w:t> MHz</w:t>
      </w:r>
      <w:bookmarkEnd w:id="1833"/>
      <w:bookmarkEnd w:id="1834"/>
      <w:bookmarkEnd w:id="1835"/>
      <w:bookmarkEnd w:id="1836"/>
      <w:bookmarkEnd w:id="1837"/>
      <w:bookmarkEnd w:id="1838"/>
    </w:p>
    <w:p w14:paraId="3A72CD01" w14:textId="3FD85440" w:rsidR="00AD7F41" w:rsidRPr="008D2A17" w:rsidRDefault="00AD7F41" w:rsidP="00AD7F41">
      <w:pPr>
        <w:pStyle w:val="ECCParagraph"/>
      </w:pPr>
      <w:r w:rsidRPr="008D2A17">
        <w:t xml:space="preserve">Based on the </w:t>
      </w:r>
      <w:r w:rsidR="001C45AE" w:rsidRPr="008D2A17">
        <w:t>coex</w:t>
      </w:r>
      <w:r w:rsidRPr="008D2A17">
        <w:t xml:space="preserve">istence analysis in ECC Report </w:t>
      </w:r>
      <w:r w:rsidR="00DA3110" w:rsidRPr="008D2A17">
        <w:t xml:space="preserve">281 </w:t>
      </w:r>
      <w:r w:rsidR="0094535F" w:rsidRPr="00BE123F">
        <w:fldChar w:fldCharType="begin"/>
      </w:r>
      <w:r w:rsidR="0094535F" w:rsidRPr="008D2A17">
        <w:instrText xml:space="preserve"> REF _Ref505354114 \r \h </w:instrText>
      </w:r>
      <w:r w:rsidR="0094535F" w:rsidRPr="00BE123F">
        <w:fldChar w:fldCharType="separate"/>
      </w:r>
      <w:r w:rsidR="00FA5407">
        <w:t>[14]</w:t>
      </w:r>
      <w:r w:rsidR="0094535F" w:rsidRPr="00BE123F">
        <w:fldChar w:fldCharType="end"/>
      </w:r>
      <w:r w:rsidRPr="008D2A17">
        <w:t>:</w:t>
      </w:r>
    </w:p>
    <w:p w14:paraId="612F821E" w14:textId="77777777" w:rsidR="00AD7F41" w:rsidRPr="008D2A17" w:rsidRDefault="00AD7F41" w:rsidP="00AD7F41">
      <w:pPr>
        <w:pStyle w:val="ECCBulletsLv1"/>
      </w:pPr>
      <w:r w:rsidRPr="008D2A17">
        <w:t xml:space="preserve">The cumulative effect of interference (due to a set of BSs in the vicinity of the radar) case onto radiolocation system involves different situations of interfering and receiving antennas pointing (because of the moving nature of radar antenna and </w:t>
      </w:r>
      <w:r w:rsidR="0094535F" w:rsidRPr="008D2A17">
        <w:t>IMT-2020</w:t>
      </w:r>
      <w:r w:rsidRPr="008D2A17">
        <w:t xml:space="preserve"> AAS) which requires to use a metric accounting the interference in all directions like TRP</w:t>
      </w:r>
      <w:r w:rsidR="00340381" w:rsidRPr="008D2A17">
        <w:t>;</w:t>
      </w:r>
      <w:r w:rsidRPr="008D2A17">
        <w:t xml:space="preserve"> </w:t>
      </w:r>
    </w:p>
    <w:p w14:paraId="769FA22B" w14:textId="5B308F45" w:rsidR="00AD7F41" w:rsidRPr="008D2A17" w:rsidRDefault="00B4183D" w:rsidP="00AD7F41">
      <w:pPr>
        <w:pStyle w:val="ECCBulletsLv1"/>
      </w:pPr>
      <w:r>
        <w:t>I</w:t>
      </w:r>
      <w:r w:rsidR="00AD7F41" w:rsidRPr="008D2A17">
        <w:t>t shows that the single entry worst case scenario would more rely on an e.i.r.p. metric to set the unwanted emission limits but at the same time may be not applicable in practice since statistical and aggregated study of interference is needed to address any future deployment of 5G in 3400-3800</w:t>
      </w:r>
      <w:r w:rsidR="009546F9" w:rsidRPr="008D2A17">
        <w:t> </w:t>
      </w:r>
      <w:r w:rsidR="00AD7F41" w:rsidRPr="008D2A17">
        <w:t>MHz</w:t>
      </w:r>
      <w:r w:rsidR="00340381" w:rsidRPr="008D2A17">
        <w:t>;</w:t>
      </w:r>
    </w:p>
    <w:p w14:paraId="651D53B0" w14:textId="79425D9E" w:rsidR="00AD7F41" w:rsidRPr="008D2A17" w:rsidRDefault="00B4183D" w:rsidP="00AD7F41">
      <w:pPr>
        <w:pStyle w:val="ECCBulletsLv1"/>
      </w:pPr>
      <w:r>
        <w:t>I</w:t>
      </w:r>
      <w:r w:rsidR="00AD7F41" w:rsidRPr="008D2A17">
        <w:t xml:space="preserve">t raises a question about the correlation level (between elements of the antenna arrays) issue by observing that the distribution of </w:t>
      </w:r>
      <w:r w:rsidR="00AD7F41" w:rsidRPr="008D2A17">
        <w:rPr>
          <w:i/>
        </w:rPr>
        <w:t>I</w:t>
      </w:r>
      <w:r w:rsidR="00AD7F41" w:rsidRPr="008D2A17">
        <w:rPr>
          <w:i/>
          <w:vertAlign w:val="subscript"/>
        </w:rPr>
        <w:t>agg</w:t>
      </w:r>
      <w:r w:rsidR="00AD7F41" w:rsidRPr="008D2A17">
        <w:rPr>
          <w:i/>
        </w:rPr>
        <w:t>/N</w:t>
      </w:r>
      <w:r w:rsidR="00AD7F41" w:rsidRPr="008D2A17">
        <w:t xml:space="preserve"> is</w:t>
      </w:r>
      <w:r w:rsidR="00B33692" w:rsidRPr="008D2A17">
        <w:t xml:space="preserve"> </w:t>
      </w:r>
      <w:r w:rsidR="00AD7F41" w:rsidRPr="008D2A17">
        <w:t>n</w:t>
      </w:r>
      <w:r w:rsidR="00B33692" w:rsidRPr="008D2A17">
        <w:t>o</w:t>
      </w:r>
      <w:r w:rsidR="00AD7F41" w:rsidRPr="008D2A17">
        <w:t xml:space="preserve">t necessarily similar for both full correlation </w:t>
      </w:r>
      <w:r w:rsidR="006A68E9" w:rsidRPr="008D2A17">
        <w:rPr>
          <w:rStyle w:val="ECCHLorange"/>
          <w:shd w:val="clear" w:color="auto" w:fill="auto"/>
        </w:rPr>
        <w:t>and</w:t>
      </w:r>
      <w:r w:rsidR="00AD7F41" w:rsidRPr="008D2A17">
        <w:t xml:space="preserve"> uncorrelated elements of the antenna panel and that the gap between the results may be high. It shows that this dependence may be linked with the statistical pointing of the </w:t>
      </w:r>
      <w:r w:rsidR="0094535F" w:rsidRPr="008D2A17">
        <w:t>IMT-2020</w:t>
      </w:r>
      <w:r w:rsidR="00AD7F41" w:rsidRPr="008D2A17">
        <w:t xml:space="preserve"> BS beam which differ for small cell </w:t>
      </w:r>
      <w:r w:rsidR="008F5A9C" w:rsidRPr="008D2A17">
        <w:rPr>
          <w:rStyle w:val="ECCHLorange"/>
          <w:shd w:val="clear" w:color="auto" w:fill="auto"/>
        </w:rPr>
        <w:t>and</w:t>
      </w:r>
      <w:r w:rsidR="00AD7F41" w:rsidRPr="008D2A17">
        <w:t xml:space="preserve"> macro BSs. Further investigation on that issue is needed. </w:t>
      </w:r>
    </w:p>
    <w:p w14:paraId="312081BF" w14:textId="20DC760B" w:rsidR="00AD7F41" w:rsidRPr="008D2A17" w:rsidRDefault="00AD7F41" w:rsidP="00AD7F41">
      <w:pPr>
        <w:pStyle w:val="ECCParagraph"/>
      </w:pPr>
      <w:r w:rsidRPr="008D2A17">
        <w:t xml:space="preserve">In line with the simulation results from ECC Report </w:t>
      </w:r>
      <w:r w:rsidR="00DA3110" w:rsidRPr="008D2A17">
        <w:t xml:space="preserve">281 </w:t>
      </w:r>
      <w:r w:rsidRPr="008D2A17">
        <w:t>the following power limits are proposed for countries wishing to protect radar below 3400</w:t>
      </w:r>
      <w:r w:rsidR="00AB2111" w:rsidRPr="008D2A17">
        <w:t> MHz</w:t>
      </w:r>
      <w:r w:rsidRPr="008D2A17">
        <w:t>.</w:t>
      </w:r>
      <w:r w:rsidR="00186360" w:rsidRPr="008D2A17">
        <w:t xml:space="preserve"> It is noted that, for AAS base stations, manufacturers have indicated that the power limit </w:t>
      </w:r>
      <w:proofErr w:type="gramStart"/>
      <w:r w:rsidR="00186360" w:rsidRPr="008D2A17">
        <w:t xml:space="preserve">of </w:t>
      </w:r>
      <w:r w:rsidR="00131BFD" w:rsidRPr="008D2A17">
        <w:t>-52</w:t>
      </w:r>
      <w:r w:rsidR="004C1A93" w:rsidRPr="008D2A17">
        <w:t xml:space="preserve"> </w:t>
      </w:r>
      <w:r w:rsidR="00186360" w:rsidRPr="008D2A17">
        <w:t>dBm/MHz</w:t>
      </w:r>
      <w:proofErr w:type="gramEnd"/>
      <w:r w:rsidR="00186360" w:rsidRPr="008D2A17">
        <w:t xml:space="preserve"> would imply, under current technology, </w:t>
      </w:r>
      <w:r w:rsidR="00293A15" w:rsidRPr="008D2A17">
        <w:t>approximately</w:t>
      </w:r>
      <w:r w:rsidR="00186360" w:rsidRPr="008D2A17">
        <w:t xml:space="preserve"> 20 MHz frequency separation between the block edge and 3400 MHz.</w:t>
      </w:r>
    </w:p>
    <w:p w14:paraId="471E4B10" w14:textId="7DFA59EF" w:rsidR="00AD7F41" w:rsidRDefault="00AD7F41" w:rsidP="00AD7F41">
      <w:pPr>
        <w:pStyle w:val="Caption"/>
        <w:keepNext/>
        <w:rPr>
          <w:lang w:val="en-GB"/>
        </w:rPr>
      </w:pPr>
      <w:bookmarkStart w:id="1840" w:name="_Ref500825167"/>
      <w:r w:rsidRPr="008D2A17">
        <w:rPr>
          <w:lang w:val="en-GB"/>
        </w:rPr>
        <w:lastRenderedPageBreak/>
        <w:t xml:space="preserve">Table </w:t>
      </w:r>
      <w:r w:rsidRPr="008D2A17">
        <w:rPr>
          <w:lang w:val="en-GB"/>
        </w:rPr>
        <w:fldChar w:fldCharType="begin"/>
      </w:r>
      <w:r w:rsidRPr="008D2A17">
        <w:rPr>
          <w:lang w:val="en-GB"/>
        </w:rPr>
        <w:instrText xml:space="preserve"> SEQ Table \* ARABIC </w:instrText>
      </w:r>
      <w:r w:rsidRPr="008D2A17">
        <w:rPr>
          <w:lang w:val="en-GB"/>
        </w:rPr>
        <w:fldChar w:fldCharType="separate"/>
      </w:r>
      <w:r w:rsidR="00FA5407">
        <w:rPr>
          <w:noProof/>
          <w:lang w:val="en-GB"/>
        </w:rPr>
        <w:t>4</w:t>
      </w:r>
      <w:r w:rsidRPr="008D2A17">
        <w:rPr>
          <w:noProof/>
          <w:lang w:val="en-GB"/>
        </w:rPr>
        <w:fldChar w:fldCharType="end"/>
      </w:r>
      <w:bookmarkEnd w:id="1840"/>
      <w:r w:rsidR="004F4178" w:rsidRPr="008D2A17">
        <w:rPr>
          <w:noProof/>
          <w:lang w:val="en-GB"/>
        </w:rPr>
        <w:t>:</w:t>
      </w:r>
      <w:r w:rsidRPr="008D2A17">
        <w:rPr>
          <w:lang w:val="en-GB"/>
        </w:rPr>
        <w:t xml:space="preserve"> Updated base station additional baseline power limits below 3400</w:t>
      </w:r>
      <w:r w:rsidR="00AB2111" w:rsidRPr="008D2A17">
        <w:rPr>
          <w:lang w:val="en-GB"/>
        </w:rPr>
        <w:t> MHz</w:t>
      </w:r>
      <w:r w:rsidRPr="008D2A17">
        <w:rPr>
          <w:lang w:val="en-GB"/>
        </w:rPr>
        <w:t xml:space="preserve"> for country specific cases for AAS base stations</w:t>
      </w:r>
      <w:r w:rsidR="004D2941">
        <w:rPr>
          <w:lang w:val="en-GB"/>
        </w:rPr>
        <w:t xml:space="preserve"> (1)</w:t>
      </w:r>
    </w:p>
    <w:tbl>
      <w:tblPr>
        <w:tblStyle w:val="ECCTable-redheader"/>
        <w:tblW w:w="5000" w:type="pct"/>
        <w:tblInd w:w="0" w:type="dxa"/>
        <w:tblLook w:val="0620" w:firstRow="1" w:lastRow="0" w:firstColumn="0" w:lastColumn="0" w:noHBand="1" w:noVBand="1"/>
      </w:tblPr>
      <w:tblGrid>
        <w:gridCol w:w="556"/>
        <w:gridCol w:w="4514"/>
        <w:gridCol w:w="1135"/>
        <w:gridCol w:w="1417"/>
        <w:gridCol w:w="2233"/>
      </w:tblGrid>
      <w:tr w:rsidR="00BF1CA6" w:rsidRPr="008D2A17" w14:paraId="2C10E06C" w14:textId="77777777" w:rsidTr="00822317">
        <w:trPr>
          <w:cnfStyle w:val="100000000000" w:firstRow="1" w:lastRow="0" w:firstColumn="0" w:lastColumn="0" w:oddVBand="0" w:evenVBand="0" w:oddHBand="0" w:evenHBand="0" w:firstRowFirstColumn="0" w:firstRowLastColumn="0" w:lastRowFirstColumn="0" w:lastRowLastColumn="0"/>
          <w:trHeight w:val="335"/>
        </w:trPr>
        <w:tc>
          <w:tcPr>
            <w:tcW w:w="2572" w:type="pct"/>
            <w:gridSpan w:val="2"/>
          </w:tcPr>
          <w:p w14:paraId="33CEB9FF" w14:textId="77777777" w:rsidR="00BF1CA6" w:rsidRPr="008D2A17" w:rsidRDefault="00BF1CA6" w:rsidP="00822317">
            <w:pPr>
              <w:keepNext/>
              <w:keepLines/>
              <w:rPr>
                <w:lang w:val="en-GB"/>
              </w:rPr>
            </w:pPr>
            <w:r w:rsidRPr="008D2A17">
              <w:rPr>
                <w:lang w:val="en-GB"/>
              </w:rPr>
              <w:t>Case</w:t>
            </w:r>
          </w:p>
        </w:tc>
        <w:tc>
          <w:tcPr>
            <w:tcW w:w="576" w:type="pct"/>
          </w:tcPr>
          <w:p w14:paraId="1CC22B67" w14:textId="77777777" w:rsidR="00BF1CA6" w:rsidRPr="008D2A17" w:rsidRDefault="00BF1CA6" w:rsidP="00822317">
            <w:pPr>
              <w:keepNext/>
              <w:keepLines/>
              <w:rPr>
                <w:lang w:val="en-GB"/>
              </w:rPr>
            </w:pPr>
            <w:r w:rsidRPr="008D2A17">
              <w:rPr>
                <w:lang w:val="en-GB"/>
              </w:rPr>
              <w:t>BEM element</w:t>
            </w:r>
          </w:p>
        </w:tc>
        <w:tc>
          <w:tcPr>
            <w:tcW w:w="719" w:type="pct"/>
          </w:tcPr>
          <w:p w14:paraId="6007D7FF" w14:textId="77777777" w:rsidR="00BF1CA6" w:rsidRPr="008D2A17" w:rsidRDefault="00BF1CA6" w:rsidP="00822317">
            <w:pPr>
              <w:keepNext/>
              <w:keepLines/>
              <w:rPr>
                <w:lang w:val="en-GB"/>
              </w:rPr>
            </w:pPr>
            <w:r w:rsidRPr="008D2A17">
              <w:rPr>
                <w:lang w:val="en-GB"/>
              </w:rPr>
              <w:t>Frequency range</w:t>
            </w:r>
          </w:p>
        </w:tc>
        <w:tc>
          <w:tcPr>
            <w:tcW w:w="1133" w:type="pct"/>
          </w:tcPr>
          <w:p w14:paraId="27F639B7" w14:textId="77777777" w:rsidR="00BF1CA6" w:rsidRPr="008D2A17" w:rsidRDefault="00BF1CA6" w:rsidP="00822317">
            <w:pPr>
              <w:keepNext/>
              <w:keepLines/>
              <w:rPr>
                <w:lang w:val="en-GB"/>
              </w:rPr>
            </w:pPr>
            <w:r w:rsidRPr="008D2A17">
              <w:rPr>
                <w:lang w:val="en-GB"/>
              </w:rPr>
              <w:t xml:space="preserve">AAS </w:t>
            </w:r>
            <w:r>
              <w:rPr>
                <w:lang w:val="en-GB"/>
              </w:rPr>
              <w:t>TRP</w:t>
            </w:r>
            <w:r w:rsidRPr="008D2A17">
              <w:rPr>
                <w:lang w:val="en-GB"/>
              </w:rPr>
              <w:t xml:space="preserve"> limit</w:t>
            </w:r>
            <w:r w:rsidRPr="008D2A17">
              <w:rPr>
                <w:lang w:val="en-GB"/>
              </w:rPr>
              <w:br/>
              <w:t>dBm/MHz per cell</w:t>
            </w:r>
            <w:r>
              <w:rPr>
                <w:lang w:val="en-GB"/>
              </w:rPr>
              <w:t xml:space="preserve"> (2)</w:t>
            </w:r>
          </w:p>
        </w:tc>
      </w:tr>
      <w:tr w:rsidR="00BF1CA6" w:rsidRPr="008D2A17" w14:paraId="037525B3" w14:textId="77777777" w:rsidTr="00822317">
        <w:trPr>
          <w:trHeight w:val="827"/>
        </w:trPr>
        <w:tc>
          <w:tcPr>
            <w:tcW w:w="282" w:type="pct"/>
            <w:tcBorders>
              <w:bottom w:val="single" w:sz="4" w:space="0" w:color="D22A23"/>
            </w:tcBorders>
          </w:tcPr>
          <w:p w14:paraId="1E7E58E4" w14:textId="77777777" w:rsidR="00BF1CA6" w:rsidRPr="008D2A17" w:rsidRDefault="00BF1CA6" w:rsidP="00822317">
            <w:pPr>
              <w:keepNext/>
              <w:keepLines/>
              <w:rPr>
                <w:lang w:val="en-GB"/>
              </w:rPr>
            </w:pPr>
            <w:r w:rsidRPr="008D2A17">
              <w:rPr>
                <w:lang w:val="en-GB"/>
              </w:rPr>
              <w:t>A</w:t>
            </w:r>
          </w:p>
        </w:tc>
        <w:tc>
          <w:tcPr>
            <w:tcW w:w="2290" w:type="pct"/>
            <w:tcBorders>
              <w:bottom w:val="single" w:sz="4" w:space="0" w:color="D22A23"/>
            </w:tcBorders>
          </w:tcPr>
          <w:p w14:paraId="7024EB82" w14:textId="77777777" w:rsidR="00BF1CA6" w:rsidRPr="008D2A17" w:rsidRDefault="00BF1CA6" w:rsidP="00822317">
            <w:pPr>
              <w:keepNext/>
              <w:keepLines/>
              <w:rPr>
                <w:lang w:val="en-GB"/>
              </w:rPr>
            </w:pPr>
            <w:r w:rsidRPr="008D2A17">
              <w:rPr>
                <w:lang w:val="en-GB"/>
              </w:rPr>
              <w:t>CEPT countries with military radiolocation systems below 3400 MHz</w:t>
            </w:r>
          </w:p>
        </w:tc>
        <w:tc>
          <w:tcPr>
            <w:tcW w:w="576" w:type="pct"/>
            <w:vMerge w:val="restart"/>
          </w:tcPr>
          <w:p w14:paraId="536BBB68" w14:textId="77777777" w:rsidR="00BF1CA6" w:rsidRPr="008D2A17" w:rsidRDefault="00BF1CA6" w:rsidP="00822317">
            <w:pPr>
              <w:keepNext/>
              <w:keepLines/>
              <w:rPr>
                <w:lang w:val="en-GB"/>
              </w:rPr>
            </w:pPr>
            <w:r>
              <w:rPr>
                <w:lang w:val="en-GB"/>
              </w:rPr>
              <w:t>Additional baseline</w:t>
            </w:r>
          </w:p>
        </w:tc>
        <w:tc>
          <w:tcPr>
            <w:tcW w:w="719" w:type="pct"/>
            <w:vMerge w:val="restart"/>
          </w:tcPr>
          <w:p w14:paraId="6701753F" w14:textId="77777777" w:rsidR="00BF1CA6" w:rsidRPr="008D2A17" w:rsidRDefault="00BF1CA6" w:rsidP="00822317">
            <w:pPr>
              <w:keepNext/>
              <w:keepLines/>
              <w:rPr>
                <w:lang w:val="en-GB"/>
              </w:rPr>
            </w:pPr>
            <w:r w:rsidRPr="008D2A17">
              <w:rPr>
                <w:lang w:val="en-GB"/>
              </w:rPr>
              <w:t>Below 3400 MHz</w:t>
            </w:r>
            <w:r>
              <w:rPr>
                <w:lang w:val="en-GB"/>
              </w:rPr>
              <w:t xml:space="preserve"> (3)</w:t>
            </w:r>
          </w:p>
        </w:tc>
        <w:tc>
          <w:tcPr>
            <w:tcW w:w="1133" w:type="pct"/>
            <w:vMerge w:val="restart"/>
            <w:tcBorders>
              <w:bottom w:val="single" w:sz="4" w:space="0" w:color="D22A23"/>
            </w:tcBorders>
          </w:tcPr>
          <w:p w14:paraId="3DFBE461" w14:textId="77777777" w:rsidR="00BF1CA6" w:rsidRPr="008D2A17" w:rsidRDefault="00BF1CA6" w:rsidP="00822317">
            <w:pPr>
              <w:keepNext/>
              <w:keepLines/>
              <w:rPr>
                <w:rStyle w:val="ECCHLyellow"/>
              </w:rPr>
            </w:pPr>
            <w:r w:rsidRPr="008D2A17">
              <w:rPr>
                <w:lang w:val="en-GB"/>
              </w:rPr>
              <w:t xml:space="preserve"> -52</w:t>
            </w:r>
          </w:p>
        </w:tc>
      </w:tr>
      <w:tr w:rsidR="00BF1CA6" w:rsidRPr="008D2A17" w14:paraId="419B855D" w14:textId="77777777" w:rsidTr="00822317">
        <w:trPr>
          <w:trHeight w:val="673"/>
        </w:trPr>
        <w:tc>
          <w:tcPr>
            <w:tcW w:w="282" w:type="pct"/>
          </w:tcPr>
          <w:p w14:paraId="4033E9F1" w14:textId="77777777" w:rsidR="00BF1CA6" w:rsidRPr="008D2A17" w:rsidRDefault="00BF1CA6" w:rsidP="00822317">
            <w:pPr>
              <w:keepNext/>
              <w:keepLines/>
              <w:rPr>
                <w:lang w:val="en-GB"/>
              </w:rPr>
            </w:pPr>
            <w:r w:rsidRPr="008D2A17">
              <w:rPr>
                <w:lang w:val="en-GB"/>
              </w:rPr>
              <w:t>B</w:t>
            </w:r>
          </w:p>
        </w:tc>
        <w:tc>
          <w:tcPr>
            <w:tcW w:w="2290" w:type="pct"/>
          </w:tcPr>
          <w:p w14:paraId="22A298F2" w14:textId="77777777" w:rsidR="00BF1CA6" w:rsidRPr="008D2A17" w:rsidRDefault="00BF1CA6" w:rsidP="00822317">
            <w:pPr>
              <w:keepNext/>
              <w:keepLines/>
              <w:rPr>
                <w:lang w:val="en-GB"/>
              </w:rPr>
            </w:pPr>
            <w:r w:rsidRPr="008D2A17">
              <w:rPr>
                <w:lang w:val="en-GB"/>
              </w:rPr>
              <w:t>CEPT countries with military radiolocation systems below 3400 MHz</w:t>
            </w:r>
          </w:p>
        </w:tc>
        <w:tc>
          <w:tcPr>
            <w:tcW w:w="576" w:type="pct"/>
            <w:vMerge/>
          </w:tcPr>
          <w:p w14:paraId="52D23FF3" w14:textId="77777777" w:rsidR="00BF1CA6" w:rsidRPr="008D2A17" w:rsidRDefault="00BF1CA6" w:rsidP="00822317">
            <w:pPr>
              <w:keepNext/>
              <w:keepLines/>
              <w:rPr>
                <w:lang w:val="en-GB"/>
              </w:rPr>
            </w:pPr>
          </w:p>
        </w:tc>
        <w:tc>
          <w:tcPr>
            <w:tcW w:w="719" w:type="pct"/>
            <w:vMerge/>
          </w:tcPr>
          <w:p w14:paraId="66EC246B" w14:textId="77777777" w:rsidR="00BF1CA6" w:rsidRPr="008D2A17" w:rsidRDefault="00BF1CA6" w:rsidP="00822317">
            <w:pPr>
              <w:keepNext/>
              <w:keepLines/>
              <w:rPr>
                <w:lang w:val="en-GB"/>
              </w:rPr>
            </w:pPr>
          </w:p>
        </w:tc>
        <w:tc>
          <w:tcPr>
            <w:tcW w:w="1133" w:type="pct"/>
            <w:vMerge/>
          </w:tcPr>
          <w:p w14:paraId="0C3E003B" w14:textId="77777777" w:rsidR="00BF1CA6" w:rsidRPr="008D2A17" w:rsidRDefault="00BF1CA6" w:rsidP="00822317">
            <w:pPr>
              <w:keepNext/>
              <w:keepLines/>
              <w:rPr>
                <w:lang w:val="en-GB"/>
              </w:rPr>
            </w:pPr>
          </w:p>
        </w:tc>
      </w:tr>
      <w:tr w:rsidR="00BF1CA6" w:rsidRPr="008D2A17" w14:paraId="147B315B" w14:textId="77777777" w:rsidTr="00822317">
        <w:trPr>
          <w:trHeight w:val="673"/>
        </w:trPr>
        <w:tc>
          <w:tcPr>
            <w:tcW w:w="282" w:type="pct"/>
          </w:tcPr>
          <w:p w14:paraId="065827E4" w14:textId="77777777" w:rsidR="00BF1CA6" w:rsidRPr="008D2A17" w:rsidRDefault="00BF1CA6" w:rsidP="00822317">
            <w:pPr>
              <w:keepNext/>
              <w:keepLines/>
              <w:rPr>
                <w:lang w:val="en-GB"/>
              </w:rPr>
            </w:pPr>
            <w:r w:rsidRPr="008D2A17">
              <w:rPr>
                <w:lang w:val="en-GB"/>
              </w:rPr>
              <w:t>C</w:t>
            </w:r>
          </w:p>
        </w:tc>
        <w:tc>
          <w:tcPr>
            <w:tcW w:w="2290" w:type="pct"/>
          </w:tcPr>
          <w:p w14:paraId="7EFF06E7" w14:textId="77777777" w:rsidR="00BF1CA6" w:rsidRPr="008D2A17" w:rsidRDefault="00BF1CA6" w:rsidP="00822317">
            <w:pPr>
              <w:keepNext/>
              <w:keepLines/>
              <w:rPr>
                <w:lang w:val="en-GB"/>
              </w:rPr>
            </w:pPr>
            <w:r w:rsidRPr="008D2A17">
              <w:rPr>
                <w:lang w:val="en-GB"/>
              </w:rPr>
              <w:t>CEPT countries without adjacent band usage or with usage that does not need extra protection</w:t>
            </w:r>
          </w:p>
        </w:tc>
        <w:tc>
          <w:tcPr>
            <w:tcW w:w="576" w:type="pct"/>
            <w:vMerge/>
          </w:tcPr>
          <w:p w14:paraId="18B8CB26" w14:textId="77777777" w:rsidR="00BF1CA6" w:rsidRPr="008D2A17" w:rsidRDefault="00BF1CA6" w:rsidP="00822317">
            <w:pPr>
              <w:keepNext/>
              <w:keepLines/>
              <w:rPr>
                <w:lang w:val="en-GB"/>
              </w:rPr>
            </w:pPr>
          </w:p>
        </w:tc>
        <w:tc>
          <w:tcPr>
            <w:tcW w:w="719" w:type="pct"/>
          </w:tcPr>
          <w:p w14:paraId="045634C5" w14:textId="49A6B924" w:rsidR="00BF1CA6" w:rsidRPr="008D2A17" w:rsidRDefault="00BF1CA6" w:rsidP="00822317">
            <w:pPr>
              <w:keepNext/>
              <w:keepLines/>
              <w:rPr>
                <w:lang w:val="en-GB"/>
              </w:rPr>
            </w:pPr>
            <w:r w:rsidRPr="008D2A17">
              <w:rPr>
                <w:lang w:val="en-GB"/>
              </w:rPr>
              <w:t>Below 3400 MHz</w:t>
            </w:r>
          </w:p>
        </w:tc>
        <w:tc>
          <w:tcPr>
            <w:tcW w:w="1133" w:type="pct"/>
          </w:tcPr>
          <w:p w14:paraId="7A331360" w14:textId="77777777" w:rsidR="00BF1CA6" w:rsidRPr="008D2A17" w:rsidRDefault="00BF1CA6" w:rsidP="00822317">
            <w:pPr>
              <w:keepNext/>
              <w:keepLines/>
              <w:rPr>
                <w:lang w:val="en-GB"/>
              </w:rPr>
            </w:pPr>
            <w:r w:rsidRPr="008D2A17">
              <w:rPr>
                <w:lang w:val="en-GB"/>
              </w:rPr>
              <w:t>Not applicable</w:t>
            </w:r>
          </w:p>
        </w:tc>
      </w:tr>
      <w:tr w:rsidR="00BF1CA6" w:rsidRPr="008D2A17" w14:paraId="1840858A" w14:textId="77777777" w:rsidTr="00822317">
        <w:tc>
          <w:tcPr>
            <w:tcW w:w="5000" w:type="pct"/>
            <w:gridSpan w:val="5"/>
          </w:tcPr>
          <w:p w14:paraId="55211DB0" w14:textId="0F05900F" w:rsidR="00BF1CA6" w:rsidRDefault="00BF1CA6" w:rsidP="00822317">
            <w:pPr>
              <w:pStyle w:val="ECCTablenote"/>
            </w:pPr>
            <w:r w:rsidRPr="008D2A17">
              <w:t>(1) Alternative measures may be required on a case by case basis for indoo</w:t>
            </w:r>
            <w:r>
              <w:t>r AAS BSs on a national basis.</w:t>
            </w:r>
          </w:p>
          <w:p w14:paraId="727CDA87" w14:textId="098879A4" w:rsidR="00BF1CA6" w:rsidRPr="008D2A17" w:rsidRDefault="00BF1CA6" w:rsidP="00822317">
            <w:pPr>
              <w:pStyle w:val="ECCTablenote"/>
            </w:pPr>
            <w:r>
              <w:t xml:space="preserve">(2) </w:t>
            </w:r>
            <w:r w:rsidRPr="008D2A17">
              <w:t xml:space="preserve">In a multi-sector base station, the radiated power limit </w:t>
            </w:r>
            <w:r w:rsidR="00A47409">
              <w:t>applies</w:t>
            </w:r>
            <w:r w:rsidRPr="008D2A17">
              <w:t xml:space="preserve"> to each one of the individual sectors </w:t>
            </w:r>
          </w:p>
          <w:p w14:paraId="3AD854F8" w14:textId="40FBDB1B" w:rsidR="00BF1CA6" w:rsidRPr="008D2A17" w:rsidRDefault="00BF1CA6" w:rsidP="00822317">
            <w:pPr>
              <w:pStyle w:val="ECCTablenote"/>
            </w:pPr>
            <w:r w:rsidRPr="008D2A17">
              <w:t>(</w:t>
            </w:r>
            <w:r>
              <w:t>3</w:t>
            </w:r>
            <w:r w:rsidRPr="008D2A17">
              <w:t xml:space="preserve">) </w:t>
            </w:r>
            <w:r w:rsidR="005029E1" w:rsidRPr="008E4FD6">
              <w:t>In cases where Member States have already implemented a guard band when issuing licences for terrestrial systems capable of providing ECS before the adoption of this Implementing Decision and in accordance with Commission Decision 2008/411/EC as amended by Commission Implementing Decision 2014/276/EU</w:t>
            </w:r>
            <w:r w:rsidR="00E80CEC">
              <w:t xml:space="preserve"> </w:t>
            </w:r>
            <w:r w:rsidR="00E80CEC">
              <w:fldChar w:fldCharType="begin"/>
            </w:r>
            <w:r w:rsidR="00E80CEC">
              <w:instrText xml:space="preserve"> REF _Ref514428317 \r \h </w:instrText>
            </w:r>
            <w:r w:rsidR="00E80CEC">
              <w:fldChar w:fldCharType="separate"/>
            </w:r>
            <w:r w:rsidR="00E80CEC">
              <w:t>[1]</w:t>
            </w:r>
            <w:r w:rsidR="00E80CEC">
              <w:fldChar w:fldCharType="end"/>
            </w:r>
            <w:r w:rsidR="005029E1" w:rsidRPr="008E4FD6">
              <w:t>, these Member States may apply the additional baseline only below such guard band, provided it complies with the protection of radars in the adjacent band and with cross-border obligations.</w:t>
            </w:r>
          </w:p>
        </w:tc>
      </w:tr>
    </w:tbl>
    <w:p w14:paraId="58F20786" w14:textId="77777777" w:rsidR="00BF1CA6" w:rsidRPr="00BE123F" w:rsidRDefault="00BF1CA6" w:rsidP="00BE123F"/>
    <w:p w14:paraId="4D88370F" w14:textId="46D0B39A" w:rsidR="00BC3CEE" w:rsidRDefault="00BC3CEE" w:rsidP="00BC3CEE">
      <w:pPr>
        <w:pStyle w:val="ECCParagraph"/>
      </w:pPr>
      <w:r w:rsidRPr="003B3277">
        <w:rPr>
          <w:i/>
        </w:rPr>
        <w:t>Explanatory note</w:t>
      </w:r>
      <w:r>
        <w:rPr>
          <w:i/>
        </w:rPr>
        <w:t xml:space="preserve"> to</w:t>
      </w:r>
      <w:r w:rsidR="009C4A41" w:rsidRPr="004B02C6">
        <w:rPr>
          <w:i/>
        </w:rPr>
        <w:t xml:space="preserve"> </w:t>
      </w:r>
      <w:r w:rsidR="009C4A41" w:rsidRPr="004B02C6">
        <w:rPr>
          <w:i/>
        </w:rPr>
        <w:fldChar w:fldCharType="begin"/>
      </w:r>
      <w:r w:rsidR="009C4A41" w:rsidRPr="004B02C6">
        <w:rPr>
          <w:i/>
        </w:rPr>
        <w:instrText xml:space="preserve"> REF _Ref500825167 \h </w:instrText>
      </w:r>
      <w:r w:rsidR="004B02C6" w:rsidRPr="00BE123F">
        <w:rPr>
          <w:i/>
        </w:rPr>
        <w:instrText xml:space="preserve"> \* MERGEFORMAT </w:instrText>
      </w:r>
      <w:r w:rsidR="009C4A41" w:rsidRPr="004B02C6">
        <w:rPr>
          <w:i/>
        </w:rPr>
      </w:r>
      <w:r w:rsidR="009C4A41" w:rsidRPr="004B02C6">
        <w:rPr>
          <w:i/>
        </w:rPr>
        <w:fldChar w:fldCharType="separate"/>
      </w:r>
      <w:r w:rsidR="00FA5407" w:rsidRPr="008E4FD6">
        <w:rPr>
          <w:i/>
        </w:rPr>
        <w:t xml:space="preserve">Table </w:t>
      </w:r>
      <w:r w:rsidR="00FA5407" w:rsidRPr="008E4FD6">
        <w:rPr>
          <w:i/>
          <w:noProof/>
        </w:rPr>
        <w:t>4</w:t>
      </w:r>
      <w:r w:rsidR="009C4A41" w:rsidRPr="004B02C6">
        <w:rPr>
          <w:i/>
        </w:rPr>
        <w:fldChar w:fldCharType="end"/>
      </w:r>
      <w:r w:rsidRPr="003B3277">
        <w:rPr>
          <w:i/>
        </w:rPr>
        <w:t>:</w:t>
      </w:r>
      <w:r>
        <w:t xml:space="preserve"> The additional baseline power limits given in </w:t>
      </w:r>
      <w:r w:rsidR="004B02C6">
        <w:rPr>
          <w:i/>
        </w:rPr>
        <w:fldChar w:fldCharType="begin"/>
      </w:r>
      <w:r w:rsidR="004B02C6">
        <w:rPr>
          <w:i/>
        </w:rPr>
        <w:instrText xml:space="preserve"> REF _Ref500825167 \h </w:instrText>
      </w:r>
      <w:r w:rsidR="004B02C6">
        <w:rPr>
          <w:i/>
        </w:rPr>
      </w:r>
      <w:r w:rsidR="004B02C6">
        <w:rPr>
          <w:i/>
        </w:rPr>
        <w:fldChar w:fldCharType="separate"/>
      </w:r>
      <w:r w:rsidR="00FA5407" w:rsidRPr="008D2A17">
        <w:t xml:space="preserve">Table </w:t>
      </w:r>
      <w:r w:rsidR="00FA5407">
        <w:rPr>
          <w:noProof/>
        </w:rPr>
        <w:t>4</w:t>
      </w:r>
      <w:r w:rsidR="004B02C6" w:rsidRPr="008D2A17">
        <w:t xml:space="preserve">Table </w:t>
      </w:r>
      <w:r w:rsidR="004B02C6">
        <w:rPr>
          <w:noProof/>
        </w:rPr>
        <w:t>4</w:t>
      </w:r>
      <w:r w:rsidR="004B02C6">
        <w:rPr>
          <w:i/>
        </w:rPr>
        <w:fldChar w:fldCharType="end"/>
      </w:r>
      <w:r w:rsidR="004B02C6">
        <w:rPr>
          <w:i/>
        </w:rPr>
        <w:t xml:space="preserve"> </w:t>
      </w:r>
      <w:r>
        <w:t>are applicable only to outdoor cells. In the case of an indoor cell, the power limits can be relaxed on a case by case basis.</w:t>
      </w:r>
    </w:p>
    <w:p w14:paraId="5680A82B" w14:textId="7A9D835A" w:rsidR="00E04740" w:rsidRPr="008D2A17" w:rsidRDefault="00E04740" w:rsidP="008E3B98">
      <w:pPr>
        <w:pStyle w:val="ECCParagraph"/>
      </w:pPr>
      <w:r w:rsidRPr="008D2A17">
        <w:t xml:space="preserve">The additional baseline limit can be applied per </w:t>
      </w:r>
      <w:r w:rsidRPr="008E3B98">
        <w:rPr>
          <w:rFonts w:eastAsia="Calibri"/>
        </w:rPr>
        <w:t xml:space="preserve">geographic </w:t>
      </w:r>
      <w:r w:rsidRPr="008D2A17">
        <w:t xml:space="preserve">region or country so that the adjacent band may have different levels of protection in different geographical areas or countries, depending on the deployment of the adjacent band systems. </w:t>
      </w:r>
    </w:p>
    <w:p w14:paraId="6C656A5D" w14:textId="6DF90FF5" w:rsidR="00E04740" w:rsidRPr="008D2A17" w:rsidRDefault="00FC6C99" w:rsidP="008E3B98">
      <w:pPr>
        <w:pStyle w:val="ECCParagraph"/>
      </w:pPr>
      <w:r w:rsidRPr="008E3B98">
        <w:t>A</w:t>
      </w:r>
      <w:r w:rsidR="00E04740" w:rsidRPr="008E3B98">
        <w:rPr>
          <w:rStyle w:val="ECCHLyellow"/>
          <w:szCs w:val="24"/>
          <w:shd w:val="clear" w:color="auto" w:fill="auto"/>
        </w:rPr>
        <w:t xml:space="preserve"> </w:t>
      </w:r>
      <w:r w:rsidR="00E04740" w:rsidRPr="008E3B98">
        <w:t>coordination zone of up to 12</w:t>
      </w:r>
      <w:r w:rsidR="009F61E9">
        <w:t> </w:t>
      </w:r>
      <w:r w:rsidR="00E04740" w:rsidRPr="008E3B98">
        <w:t>km around fixed terrestrial radars, based on a</w:t>
      </w:r>
      <w:r w:rsidR="009F61E9">
        <w:t>n</w:t>
      </w:r>
      <w:r w:rsidR="00E04740" w:rsidRPr="008E3B98">
        <w:t xml:space="preserve"> AAS </w:t>
      </w:r>
      <w:r w:rsidR="007F1AB6" w:rsidRPr="008E3B98">
        <w:t>TRP</w:t>
      </w:r>
      <w:r w:rsidR="00E04740" w:rsidRPr="008E3B98">
        <w:t xml:space="preserve"> limit of </w:t>
      </w:r>
      <w:r w:rsidR="009F61E9">
        <w:rPr>
          <w:rFonts w:cs="Arial"/>
        </w:rPr>
        <w:t>−</w:t>
      </w:r>
      <w:r w:rsidR="00E04740" w:rsidRPr="008E3B98">
        <w:t>52</w:t>
      </w:r>
      <w:r w:rsidR="009F61E9">
        <w:t> </w:t>
      </w:r>
      <w:r w:rsidR="00E04740" w:rsidRPr="008E3B98">
        <w:t>dBm/MHz per cell</w:t>
      </w:r>
      <w:r w:rsidR="00E04740" w:rsidRPr="008E3B98">
        <w:rPr>
          <w:rStyle w:val="ECCHLyellow"/>
          <w:szCs w:val="24"/>
          <w:shd w:val="clear" w:color="auto" w:fill="auto"/>
        </w:rPr>
        <w:t>,</w:t>
      </w:r>
      <w:r w:rsidR="00E04740" w:rsidRPr="008E3B98">
        <w:t xml:space="preserve"> may be required. Such coordination is the responsibility of the relevant administration.</w:t>
      </w:r>
      <w:r w:rsidR="00DB110F">
        <w:t xml:space="preserve"> </w:t>
      </w:r>
      <w:r w:rsidR="00E04740" w:rsidRPr="008D2A17">
        <w:t xml:space="preserve">Other mitigation measures like geographical separation, </w:t>
      </w:r>
      <w:r w:rsidR="00916085" w:rsidRPr="00916085">
        <w:t>in-block power limit, or an additional guard band may be necessary</w:t>
      </w:r>
      <w:r w:rsidR="008E3B98">
        <w:t xml:space="preserve">. </w:t>
      </w:r>
    </w:p>
    <w:p w14:paraId="3A25C744" w14:textId="2A1762F0" w:rsidR="00E04740" w:rsidRPr="008D2A17" w:rsidRDefault="00E04740" w:rsidP="00FC6C99">
      <w:pPr>
        <w:pStyle w:val="ECCParagraph"/>
      </w:pPr>
      <w:r w:rsidRPr="008D2A17">
        <w:t>For UEs other mitigation measures will be necessary, for example, geographical separation or an additional guard band.</w:t>
      </w:r>
    </w:p>
    <w:p w14:paraId="56EA266B" w14:textId="21FAAF25" w:rsidR="00AD7F41" w:rsidRPr="008D2A17" w:rsidRDefault="00EA1D94" w:rsidP="008E3B98">
      <w:pPr>
        <w:pStyle w:val="ECCParagraph"/>
        <w:spacing w:before="120"/>
      </w:pPr>
      <w:r w:rsidRPr="008D2A17">
        <w:t>Member States</w:t>
      </w:r>
      <w:r w:rsidR="00E04740" w:rsidRPr="008D2A17">
        <w:t xml:space="preserve"> may decide to introduce at national level an in-band power limit to ensure protection of radar systems from AAS base stations.</w:t>
      </w:r>
    </w:p>
    <w:p w14:paraId="6FD0C936" w14:textId="77777777" w:rsidR="00AD7F41" w:rsidRPr="008D2A17" w:rsidRDefault="00AD7F41" w:rsidP="00AD7F41">
      <w:pPr>
        <w:pStyle w:val="Heading2"/>
      </w:pPr>
      <w:bookmarkStart w:id="1841" w:name="_Toc501009336"/>
      <w:bookmarkStart w:id="1842" w:name="_Toc501010225"/>
      <w:bookmarkStart w:id="1843" w:name="_Toc489012409"/>
      <w:bookmarkStart w:id="1844" w:name="_Ref500850910"/>
      <w:bookmarkStart w:id="1845" w:name="_Toc500923302"/>
      <w:bookmarkStart w:id="1846" w:name="_Toc500931705"/>
      <w:bookmarkStart w:id="1847" w:name="_Toc501012943"/>
      <w:bookmarkStart w:id="1848" w:name="_Toc514428350"/>
      <w:bookmarkStart w:id="1849" w:name="_Toc507766115"/>
      <w:bookmarkEnd w:id="1841"/>
      <w:bookmarkEnd w:id="1842"/>
      <w:r w:rsidRPr="008D2A17">
        <w:rPr>
          <w:rStyle w:val="ECCHLbold"/>
          <w:b/>
        </w:rPr>
        <w:t>Out-of-band power limits: Coexistence with FSS/FS</w:t>
      </w:r>
      <w:bookmarkEnd w:id="1843"/>
      <w:bookmarkEnd w:id="1844"/>
      <w:bookmarkEnd w:id="1845"/>
      <w:bookmarkEnd w:id="1846"/>
      <w:bookmarkEnd w:id="1847"/>
      <w:bookmarkEnd w:id="1848"/>
      <w:bookmarkEnd w:id="1849"/>
    </w:p>
    <w:p w14:paraId="37C3FD80" w14:textId="08806827" w:rsidR="00AD7F41" w:rsidRPr="008D2A17" w:rsidRDefault="00AD7F41" w:rsidP="00AD7F41">
      <w:pPr>
        <w:pStyle w:val="ECCParagraph"/>
      </w:pPr>
      <w:r w:rsidRPr="008D2A17">
        <w:t xml:space="preserve">Accounting for the analysis in section </w:t>
      </w:r>
      <w:r w:rsidRPr="008D2A17">
        <w:fldChar w:fldCharType="begin"/>
      </w:r>
      <w:r w:rsidRPr="008D2A17">
        <w:instrText xml:space="preserve"> REF _Ref500842971 \r \h  \* MERGEFORMAT </w:instrText>
      </w:r>
      <w:r w:rsidRPr="008D2A17">
        <w:fldChar w:fldCharType="separate"/>
      </w:r>
      <w:r w:rsidR="00FA5407">
        <w:t>4.4.7</w:t>
      </w:r>
      <w:r w:rsidRPr="008D2A17">
        <w:fldChar w:fldCharType="end"/>
      </w:r>
      <w:r w:rsidRPr="008D2A17">
        <w:t xml:space="preserve">, the baseline and transitional power limits defined in </w:t>
      </w:r>
      <w:r w:rsidRPr="008D2A17">
        <w:fldChar w:fldCharType="begin"/>
      </w:r>
      <w:r w:rsidRPr="008D2A17">
        <w:instrText xml:space="preserve"> REF _Ref501010097 \h  \* MERGEFORMAT </w:instrText>
      </w:r>
      <w:r w:rsidRPr="008D2A17">
        <w:fldChar w:fldCharType="separate"/>
      </w:r>
      <w:r w:rsidR="00CB2C51" w:rsidRPr="008D2A17">
        <w:t xml:space="preserve">Table </w:t>
      </w:r>
      <w:r w:rsidR="00CB2C51">
        <w:rPr>
          <w:noProof/>
        </w:rPr>
        <w:t>5</w:t>
      </w:r>
      <w:r w:rsidRPr="008D2A17">
        <w:fldChar w:fldCharType="end"/>
      </w:r>
      <w:r w:rsidRPr="008D2A17">
        <w:t xml:space="preserve"> are applied at the 3800</w:t>
      </w:r>
      <w:r w:rsidR="00AB2111" w:rsidRPr="008D2A17">
        <w:t> MHz</w:t>
      </w:r>
      <w:r w:rsidRPr="008D2A17">
        <w:t xml:space="preserve"> band edge to support the coordination process to be carried out at national level on case by case basis with support from the operations guidelines from ECC Report 254 </w:t>
      </w:r>
      <w:r w:rsidRPr="008D2A17">
        <w:fldChar w:fldCharType="begin"/>
      </w:r>
      <w:r w:rsidRPr="008D2A17">
        <w:instrText xml:space="preserve"> REF _Ref500264610 \r \h  \* MERGEFORMAT </w:instrText>
      </w:r>
      <w:r w:rsidRPr="008D2A17">
        <w:fldChar w:fldCharType="separate"/>
      </w:r>
      <w:r w:rsidR="00FA5407">
        <w:t>[2]</w:t>
      </w:r>
      <w:r w:rsidRPr="008D2A17">
        <w:fldChar w:fldCharType="end"/>
      </w:r>
      <w:r w:rsidRPr="008D2A17">
        <w:t>.</w:t>
      </w:r>
    </w:p>
    <w:p w14:paraId="74E0EC17" w14:textId="4F1A47D1" w:rsidR="00AD7F41" w:rsidRPr="008D2A17" w:rsidRDefault="00AD7F41" w:rsidP="00AD7F41">
      <w:pPr>
        <w:pStyle w:val="Caption"/>
        <w:keepNext/>
        <w:rPr>
          <w:lang w:val="en-GB"/>
        </w:rPr>
      </w:pPr>
      <w:bookmarkStart w:id="1850" w:name="_Ref501010097"/>
      <w:r w:rsidRPr="008D2A17">
        <w:rPr>
          <w:lang w:val="en-GB"/>
        </w:rPr>
        <w:lastRenderedPageBreak/>
        <w:t xml:space="preserve">Table </w:t>
      </w:r>
      <w:r w:rsidRPr="008D2A17">
        <w:rPr>
          <w:lang w:val="en-GB"/>
        </w:rPr>
        <w:fldChar w:fldCharType="begin"/>
      </w:r>
      <w:r w:rsidRPr="008D2A17">
        <w:rPr>
          <w:lang w:val="en-GB"/>
        </w:rPr>
        <w:instrText xml:space="preserve"> SEQ Table \* ARABIC </w:instrText>
      </w:r>
      <w:r w:rsidRPr="008D2A17">
        <w:rPr>
          <w:lang w:val="en-GB"/>
        </w:rPr>
        <w:fldChar w:fldCharType="separate"/>
      </w:r>
      <w:r w:rsidR="00FA5407">
        <w:rPr>
          <w:noProof/>
          <w:lang w:val="en-GB"/>
        </w:rPr>
        <w:t>5</w:t>
      </w:r>
      <w:r w:rsidRPr="008D2A17">
        <w:rPr>
          <w:lang w:val="en-GB"/>
        </w:rPr>
        <w:fldChar w:fldCharType="end"/>
      </w:r>
      <w:bookmarkEnd w:id="1850"/>
      <w:r w:rsidRPr="008D2A17">
        <w:rPr>
          <w:lang w:val="en-GB"/>
        </w:rPr>
        <w:t>: Additional baseline limits for AAS base stations</w:t>
      </w:r>
      <w:bookmarkStart w:id="1851" w:name="_Toc501009339"/>
      <w:bookmarkEnd w:id="1851"/>
      <w:r w:rsidRPr="008D2A17">
        <w:rPr>
          <w:lang w:val="en-GB"/>
        </w:rPr>
        <w:t xml:space="preserve"> </w:t>
      </w:r>
      <w:r w:rsidRPr="007B084F">
        <w:rPr>
          <w:rStyle w:val="ECCHLorange"/>
          <w:shd w:val="clear" w:color="auto" w:fill="auto"/>
          <w:lang w:val="en-GB"/>
        </w:rPr>
        <w:t>above 3800</w:t>
      </w:r>
      <w:r w:rsidR="00AB2111" w:rsidRPr="007B084F">
        <w:rPr>
          <w:rStyle w:val="ECCHLorange"/>
          <w:shd w:val="clear" w:color="auto" w:fill="auto"/>
          <w:lang w:val="en-GB"/>
        </w:rPr>
        <w:t> MHz</w:t>
      </w:r>
      <w:r w:rsidRPr="008D2A17">
        <w:rPr>
          <w:lang w:val="en-GB"/>
        </w:rPr>
        <w:t xml:space="preserve"> for the protection of FSS and FS</w:t>
      </w:r>
    </w:p>
    <w:tbl>
      <w:tblPr>
        <w:tblStyle w:val="ECCTable-redheader"/>
        <w:tblW w:w="9269" w:type="dxa"/>
        <w:tblInd w:w="0" w:type="dxa"/>
        <w:tblLook w:val="01E0" w:firstRow="1" w:lastRow="1" w:firstColumn="1" w:lastColumn="1" w:noHBand="0" w:noVBand="0"/>
      </w:tblPr>
      <w:tblGrid>
        <w:gridCol w:w="2509"/>
        <w:gridCol w:w="2552"/>
        <w:gridCol w:w="4208"/>
      </w:tblGrid>
      <w:tr w:rsidR="00561FFB" w:rsidRPr="008D2A17" w14:paraId="05496524" w14:textId="77777777" w:rsidTr="00BE123F">
        <w:trPr>
          <w:cnfStyle w:val="100000000000" w:firstRow="1" w:lastRow="0" w:firstColumn="0" w:lastColumn="0" w:oddVBand="0" w:evenVBand="0" w:oddHBand="0" w:evenHBand="0" w:firstRowFirstColumn="0" w:firstRowLastColumn="0" w:lastRowFirstColumn="0" w:lastRowLastColumn="0"/>
          <w:trHeight w:val="335"/>
        </w:trPr>
        <w:tc>
          <w:tcPr>
            <w:tcW w:w="2509" w:type="dxa"/>
          </w:tcPr>
          <w:p w14:paraId="484750D6" w14:textId="77777777" w:rsidR="00561FFB" w:rsidRPr="008D2A17" w:rsidRDefault="00561FFB" w:rsidP="00CB39F1">
            <w:pPr>
              <w:keepNext/>
              <w:keepLines/>
              <w:rPr>
                <w:lang w:val="en-GB"/>
              </w:rPr>
            </w:pPr>
            <w:r w:rsidRPr="008D2A17">
              <w:rPr>
                <w:lang w:val="en-GB"/>
              </w:rPr>
              <w:t>BEM element</w:t>
            </w:r>
          </w:p>
        </w:tc>
        <w:tc>
          <w:tcPr>
            <w:tcW w:w="2552" w:type="dxa"/>
          </w:tcPr>
          <w:p w14:paraId="72F4FC2E" w14:textId="77777777" w:rsidR="00561FFB" w:rsidRPr="008D2A17" w:rsidRDefault="00561FFB" w:rsidP="00CB39F1">
            <w:pPr>
              <w:keepNext/>
              <w:keepLines/>
              <w:rPr>
                <w:lang w:val="en-GB"/>
              </w:rPr>
            </w:pPr>
            <w:r w:rsidRPr="008D2A17">
              <w:rPr>
                <w:lang w:val="en-GB"/>
              </w:rPr>
              <w:t>Frequency range</w:t>
            </w:r>
          </w:p>
        </w:tc>
        <w:tc>
          <w:tcPr>
            <w:tcW w:w="4208" w:type="dxa"/>
          </w:tcPr>
          <w:p w14:paraId="3B7B53C4" w14:textId="064E265F" w:rsidR="00561FFB" w:rsidRPr="008D2A17" w:rsidRDefault="00561FFB" w:rsidP="00CB39F1">
            <w:pPr>
              <w:keepNext/>
              <w:keepLines/>
              <w:jc w:val="left"/>
              <w:rPr>
                <w:lang w:val="en-GB"/>
              </w:rPr>
            </w:pPr>
            <w:r w:rsidRPr="008D2A17">
              <w:rPr>
                <w:lang w:val="en-GB"/>
              </w:rPr>
              <w:t xml:space="preserve">AAS </w:t>
            </w:r>
            <w:r w:rsidR="007F1AB6">
              <w:rPr>
                <w:rStyle w:val="ECCHLorange"/>
                <w:shd w:val="clear" w:color="auto" w:fill="auto"/>
                <w:lang w:val="en-GB"/>
              </w:rPr>
              <w:t>TRP</w:t>
            </w:r>
            <w:r w:rsidRPr="008D2A17">
              <w:rPr>
                <w:lang w:val="en-GB"/>
              </w:rPr>
              <w:t xml:space="preserve"> limit dBm/(5MHz) per </w:t>
            </w:r>
            <w:r w:rsidRPr="008D2A17">
              <w:rPr>
                <w:rStyle w:val="ECCHLorange"/>
                <w:shd w:val="clear" w:color="auto" w:fill="auto"/>
                <w:lang w:val="en-GB"/>
              </w:rPr>
              <w:t>cell (1)</w:t>
            </w:r>
          </w:p>
        </w:tc>
      </w:tr>
      <w:tr w:rsidR="00B4183D" w:rsidRPr="00952BF2" w14:paraId="487C39A4" w14:textId="77777777" w:rsidTr="00BE123F">
        <w:trPr>
          <w:trHeight w:val="331"/>
        </w:trPr>
        <w:tc>
          <w:tcPr>
            <w:tcW w:w="2509" w:type="dxa"/>
            <w:vMerge w:val="restart"/>
          </w:tcPr>
          <w:p w14:paraId="6BB9CEDF" w14:textId="6CB81939" w:rsidR="00B4183D" w:rsidRPr="008D2A17" w:rsidRDefault="00B4183D" w:rsidP="00CB39F1">
            <w:pPr>
              <w:pStyle w:val="ECCTabletext"/>
              <w:keepNext/>
              <w:keepLines/>
            </w:pPr>
            <w:r w:rsidRPr="008D2A17">
              <w:t xml:space="preserve">Additional baseline </w:t>
            </w:r>
          </w:p>
        </w:tc>
        <w:tc>
          <w:tcPr>
            <w:tcW w:w="2552" w:type="dxa"/>
          </w:tcPr>
          <w:p w14:paraId="52423513" w14:textId="77777777" w:rsidR="00B4183D" w:rsidRPr="008D2A17" w:rsidRDefault="00B4183D" w:rsidP="00CB39F1">
            <w:pPr>
              <w:pStyle w:val="ECCTabletext"/>
              <w:keepNext/>
              <w:keepLines/>
            </w:pPr>
            <w:r w:rsidRPr="008D2A17">
              <w:t>3800-3805 MHz</w:t>
            </w:r>
          </w:p>
        </w:tc>
        <w:tc>
          <w:tcPr>
            <w:tcW w:w="4208" w:type="dxa"/>
          </w:tcPr>
          <w:p w14:paraId="50FB01AD" w14:textId="7F22CCBF" w:rsidR="00B4183D" w:rsidRPr="00BE123F" w:rsidRDefault="00952BF2" w:rsidP="00952BF2">
            <w:pPr>
              <w:pStyle w:val="ECCTabletext"/>
              <w:keepNext/>
              <w:keepLines/>
              <w:rPr>
                <w:lang w:val="da-DK"/>
              </w:rPr>
            </w:pPr>
            <w:r w:rsidRPr="00BE123F">
              <w:rPr>
                <w:lang w:val="da-DK"/>
              </w:rPr>
              <w:t>Min(PMax'-40, 16)</w:t>
            </w:r>
            <w:r>
              <w:rPr>
                <w:lang w:val="da-DK"/>
              </w:rPr>
              <w:tab/>
            </w:r>
            <w:r w:rsidR="00B4183D" w:rsidRPr="00952BF2">
              <w:rPr>
                <w:lang w:val="da-DK"/>
              </w:rPr>
              <w:t>(2)</w:t>
            </w:r>
          </w:p>
        </w:tc>
      </w:tr>
      <w:tr w:rsidR="00B4183D" w:rsidRPr="00952BF2" w14:paraId="241FC081" w14:textId="77777777" w:rsidTr="00BE123F">
        <w:trPr>
          <w:trHeight w:val="367"/>
        </w:trPr>
        <w:tc>
          <w:tcPr>
            <w:tcW w:w="2509" w:type="dxa"/>
            <w:vMerge/>
          </w:tcPr>
          <w:p w14:paraId="60BC22B7" w14:textId="77777777" w:rsidR="00B4183D" w:rsidRPr="00BE123F" w:rsidRDefault="00B4183D" w:rsidP="00CB39F1">
            <w:pPr>
              <w:pStyle w:val="ECCTabletext"/>
              <w:keepNext/>
              <w:keepLines/>
              <w:rPr>
                <w:lang w:val="da-DK"/>
              </w:rPr>
            </w:pPr>
          </w:p>
        </w:tc>
        <w:tc>
          <w:tcPr>
            <w:tcW w:w="2552" w:type="dxa"/>
          </w:tcPr>
          <w:p w14:paraId="2C8CB407" w14:textId="77777777" w:rsidR="00B4183D" w:rsidRPr="00BE123F" w:rsidRDefault="00B4183D" w:rsidP="00CB39F1">
            <w:pPr>
              <w:pStyle w:val="ECCTabletext"/>
              <w:keepNext/>
              <w:keepLines/>
              <w:rPr>
                <w:lang w:val="da-DK"/>
              </w:rPr>
            </w:pPr>
            <w:r w:rsidRPr="00BE123F">
              <w:rPr>
                <w:lang w:val="da-DK"/>
              </w:rPr>
              <w:t>3805-3810 MHz</w:t>
            </w:r>
          </w:p>
        </w:tc>
        <w:tc>
          <w:tcPr>
            <w:tcW w:w="4208" w:type="dxa"/>
          </w:tcPr>
          <w:p w14:paraId="2CE33973" w14:textId="3555764D" w:rsidR="00B4183D" w:rsidRPr="00BE123F" w:rsidRDefault="00B4183D" w:rsidP="00952BF2">
            <w:pPr>
              <w:pStyle w:val="ECCTabletext"/>
              <w:keepNext/>
              <w:keepLines/>
              <w:rPr>
                <w:lang w:val="da-DK"/>
              </w:rPr>
            </w:pPr>
            <w:r w:rsidRPr="00BE123F">
              <w:rPr>
                <w:lang w:val="da-DK"/>
              </w:rPr>
              <w:t>Min(PMax'-43, 12)</w:t>
            </w:r>
            <w:r w:rsidR="00952BF2">
              <w:rPr>
                <w:lang w:val="da-DK"/>
              </w:rPr>
              <w:tab/>
            </w:r>
            <w:r w:rsidRPr="00952BF2">
              <w:rPr>
                <w:lang w:val="da-DK"/>
              </w:rPr>
              <w:t>(2)</w:t>
            </w:r>
          </w:p>
        </w:tc>
      </w:tr>
      <w:tr w:rsidR="00B4183D" w:rsidRPr="00952BF2" w14:paraId="5CC2789E" w14:textId="77777777" w:rsidTr="00BE123F">
        <w:trPr>
          <w:trHeight w:val="346"/>
        </w:trPr>
        <w:tc>
          <w:tcPr>
            <w:tcW w:w="2509" w:type="dxa"/>
            <w:vMerge/>
          </w:tcPr>
          <w:p w14:paraId="7128D287" w14:textId="77777777" w:rsidR="00B4183D" w:rsidRPr="00BE123F" w:rsidRDefault="00B4183D" w:rsidP="00CB39F1">
            <w:pPr>
              <w:pStyle w:val="ECCTabletext"/>
              <w:keepNext/>
              <w:keepLines/>
              <w:rPr>
                <w:lang w:val="da-DK"/>
              </w:rPr>
            </w:pPr>
          </w:p>
        </w:tc>
        <w:tc>
          <w:tcPr>
            <w:tcW w:w="2552" w:type="dxa"/>
          </w:tcPr>
          <w:p w14:paraId="462171B0" w14:textId="7515AB1A" w:rsidR="00B4183D" w:rsidRPr="00BE123F" w:rsidRDefault="00B4183D" w:rsidP="00CB39F1">
            <w:pPr>
              <w:pStyle w:val="ECCTabletext"/>
              <w:keepNext/>
              <w:keepLines/>
              <w:rPr>
                <w:lang w:val="da-DK"/>
              </w:rPr>
            </w:pPr>
            <w:r w:rsidRPr="00BE123F">
              <w:rPr>
                <w:lang w:val="da-DK"/>
              </w:rPr>
              <w:t>3810</w:t>
            </w:r>
            <w:r w:rsidRPr="00952BF2">
              <w:rPr>
                <w:lang w:val="da-DK"/>
              </w:rPr>
              <w:t>-3840</w:t>
            </w:r>
            <w:r w:rsidRPr="00BE123F">
              <w:rPr>
                <w:lang w:val="da-DK"/>
              </w:rPr>
              <w:t xml:space="preserve"> MHz </w:t>
            </w:r>
          </w:p>
        </w:tc>
        <w:tc>
          <w:tcPr>
            <w:tcW w:w="4208" w:type="dxa"/>
          </w:tcPr>
          <w:p w14:paraId="0C135577" w14:textId="125C4C79" w:rsidR="00B4183D" w:rsidRPr="00BE123F" w:rsidRDefault="00B4183D" w:rsidP="00952BF2">
            <w:pPr>
              <w:pStyle w:val="ECCTabletext"/>
              <w:keepNext/>
              <w:keepLines/>
              <w:rPr>
                <w:lang w:val="da-DK"/>
              </w:rPr>
            </w:pPr>
            <w:r w:rsidRPr="00BE123F">
              <w:rPr>
                <w:lang w:val="da-DK"/>
              </w:rPr>
              <w:t>Min(PMax'-43, 1)</w:t>
            </w:r>
            <w:r w:rsidR="00952BF2">
              <w:rPr>
                <w:lang w:val="da-DK"/>
              </w:rPr>
              <w:tab/>
            </w:r>
            <w:r w:rsidRPr="00952BF2">
              <w:rPr>
                <w:lang w:val="da-DK"/>
              </w:rPr>
              <w:t>(2)(3)</w:t>
            </w:r>
          </w:p>
        </w:tc>
      </w:tr>
      <w:tr w:rsidR="00B4183D" w:rsidRPr="008D2A17" w14:paraId="43BBD8E6" w14:textId="77777777" w:rsidTr="00952BF2">
        <w:trPr>
          <w:trHeight w:val="346"/>
        </w:trPr>
        <w:tc>
          <w:tcPr>
            <w:tcW w:w="2509" w:type="dxa"/>
            <w:vMerge/>
          </w:tcPr>
          <w:p w14:paraId="2B9A1CB1" w14:textId="77777777" w:rsidR="00B4183D" w:rsidRPr="00952BF2" w:rsidRDefault="00B4183D" w:rsidP="00CB39F1">
            <w:pPr>
              <w:pStyle w:val="ECCTabletext"/>
              <w:rPr>
                <w:lang w:val="da-DK"/>
              </w:rPr>
            </w:pPr>
          </w:p>
        </w:tc>
        <w:tc>
          <w:tcPr>
            <w:tcW w:w="2552" w:type="dxa"/>
          </w:tcPr>
          <w:p w14:paraId="524B7D3A" w14:textId="2ADEBEA2" w:rsidR="00B4183D" w:rsidRPr="00952BF2" w:rsidRDefault="00B4183D" w:rsidP="00CB39F1">
            <w:pPr>
              <w:pStyle w:val="ECCTabletext"/>
              <w:rPr>
                <w:lang w:val="da-DK"/>
              </w:rPr>
            </w:pPr>
            <w:r w:rsidRPr="00952BF2">
              <w:rPr>
                <w:lang w:val="da-DK"/>
              </w:rPr>
              <w:t>Above 3840 MHz</w:t>
            </w:r>
          </w:p>
        </w:tc>
        <w:tc>
          <w:tcPr>
            <w:tcW w:w="4208" w:type="dxa"/>
          </w:tcPr>
          <w:p w14:paraId="35100C7D" w14:textId="1685A8A2" w:rsidR="00B4183D" w:rsidRPr="008D2A17" w:rsidRDefault="00B4183D" w:rsidP="00952BF2">
            <w:pPr>
              <w:pStyle w:val="ECCTabletext"/>
            </w:pPr>
            <w:r w:rsidRPr="00952BF2">
              <w:t xml:space="preserve">-14 </w:t>
            </w:r>
            <w:r w:rsidR="00952BF2" w:rsidRPr="00952BF2">
              <w:tab/>
            </w:r>
            <w:r w:rsidR="00952BF2" w:rsidRPr="00952BF2">
              <w:tab/>
            </w:r>
            <w:r w:rsidR="00952BF2">
              <w:tab/>
            </w:r>
            <w:r w:rsidRPr="008D2A17">
              <w:t>(4)</w:t>
            </w:r>
          </w:p>
        </w:tc>
      </w:tr>
      <w:tr w:rsidR="00561FFB" w:rsidRPr="008D2A17" w14:paraId="68A39906" w14:textId="77777777" w:rsidTr="00952BF2">
        <w:trPr>
          <w:trHeight w:val="346"/>
        </w:trPr>
        <w:tc>
          <w:tcPr>
            <w:tcW w:w="9269" w:type="dxa"/>
            <w:gridSpan w:val="3"/>
          </w:tcPr>
          <w:p w14:paraId="151B1C86" w14:textId="0976818E" w:rsidR="00561FFB" w:rsidRPr="008D2A17" w:rsidRDefault="00561FFB">
            <w:pPr>
              <w:pStyle w:val="ECCTablenote"/>
              <w:rPr>
                <w:rStyle w:val="ECCHLorange"/>
                <w:sz w:val="20"/>
                <w:szCs w:val="24"/>
                <w:lang w:eastAsia="en-US"/>
              </w:rPr>
            </w:pPr>
            <w:r w:rsidRPr="008D2A17">
              <w:rPr>
                <w:rStyle w:val="ECCHLorange"/>
                <w:shd w:val="clear" w:color="auto" w:fill="auto"/>
              </w:rPr>
              <w:t xml:space="preserve">(1) </w:t>
            </w:r>
            <w:r w:rsidRPr="008D2A17">
              <w:t xml:space="preserve">In a multi-sector base station, the radiated power limit </w:t>
            </w:r>
            <w:r w:rsidR="00A47409">
              <w:t>applies</w:t>
            </w:r>
            <w:r w:rsidRPr="008D2A17">
              <w:t xml:space="preserve"> to each one of the individual sectors.</w:t>
            </w:r>
          </w:p>
          <w:p w14:paraId="1287ACA9" w14:textId="3FC5B383" w:rsidR="00E04740" w:rsidRPr="008D2A17" w:rsidRDefault="00561FFB">
            <w:pPr>
              <w:pStyle w:val="ECCTablenote"/>
            </w:pPr>
            <w:r w:rsidRPr="008D2A17">
              <w:t>(</w:t>
            </w:r>
            <w:r w:rsidR="00E04740" w:rsidRPr="008D2A17">
              <w:t>2</w:t>
            </w:r>
            <w:r w:rsidRPr="008D2A17">
              <w:t xml:space="preserve">) </w:t>
            </w:r>
            <w:proofErr w:type="spellStart"/>
            <w:r w:rsidR="00E04740" w:rsidRPr="008D2A17">
              <w:t>PMax</w:t>
            </w:r>
            <w:proofErr w:type="spellEnd"/>
            <w:r w:rsidR="00E04740" w:rsidRPr="008D2A17">
              <w:t xml:space="preserve">' is the maximum mean carrier power in dBm for the base station measured as TRP per carrier in a given cell </w:t>
            </w:r>
          </w:p>
          <w:p w14:paraId="497CB91E" w14:textId="56599F00" w:rsidR="00561FFB" w:rsidRPr="008D2A17" w:rsidRDefault="00561FFB">
            <w:pPr>
              <w:pStyle w:val="ECCTablenote"/>
            </w:pPr>
            <w:r w:rsidRPr="008D2A17">
              <w:t>(</w:t>
            </w:r>
            <w:r w:rsidR="00E04740" w:rsidRPr="008D2A17">
              <w:t>3</w:t>
            </w:r>
            <w:r w:rsidRPr="008D2A17">
              <w:t>) Additional limits may apply on a case by case basis at national level</w:t>
            </w:r>
            <w:r w:rsidR="00010C3C" w:rsidRPr="008D2A17">
              <w:t>.</w:t>
            </w:r>
            <w:r w:rsidRPr="008D2A17">
              <w:t xml:space="preserve"> </w:t>
            </w:r>
          </w:p>
          <w:p w14:paraId="25311FF4" w14:textId="1EAC8CD8" w:rsidR="00561FFB" w:rsidRPr="008D2A17" w:rsidRDefault="00561FFB">
            <w:pPr>
              <w:pStyle w:val="ECCTablenote"/>
            </w:pPr>
            <w:r w:rsidRPr="008D2A17">
              <w:t>(</w:t>
            </w:r>
            <w:r w:rsidR="00E04740" w:rsidRPr="008D2A17">
              <w:t>4</w:t>
            </w:r>
            <w:r w:rsidRPr="008D2A17">
              <w:t xml:space="preserve">) </w:t>
            </w:r>
            <w:r w:rsidR="00010C3C" w:rsidRPr="008D2A17">
              <w:t>D</w:t>
            </w:r>
            <w:r w:rsidRPr="008D2A17">
              <w:t>erived from 3GPP TS 38.104</w:t>
            </w:r>
            <w:r w:rsidR="007B36E5">
              <w:t xml:space="preserve"> </w:t>
            </w:r>
            <w:r w:rsidR="007B36E5">
              <w:fldChar w:fldCharType="begin"/>
            </w:r>
            <w:r w:rsidR="007B36E5">
              <w:instrText xml:space="preserve"> REF _Ref507493620 \r \h </w:instrText>
            </w:r>
            <w:r w:rsidR="007B36E5">
              <w:fldChar w:fldCharType="separate"/>
            </w:r>
            <w:r w:rsidR="00FA5407">
              <w:t>[24]</w:t>
            </w:r>
            <w:r w:rsidR="007B36E5">
              <w:fldChar w:fldCharType="end"/>
            </w:r>
            <w:r w:rsidR="00010C3C" w:rsidRPr="008D2A17">
              <w:t>.</w:t>
            </w:r>
          </w:p>
        </w:tc>
      </w:tr>
    </w:tbl>
    <w:p w14:paraId="333BC945" w14:textId="77777777" w:rsidR="00AD7F41" w:rsidRPr="008D2A17" w:rsidRDefault="00AD7F41" w:rsidP="00AD7F41">
      <w:pPr>
        <w:pStyle w:val="Heading2"/>
        <w:rPr>
          <w:rStyle w:val="ECCHLbold"/>
          <w:b/>
        </w:rPr>
      </w:pPr>
      <w:bookmarkStart w:id="1852" w:name="_Toc501009379"/>
      <w:bookmarkStart w:id="1853" w:name="_Toc501010246"/>
      <w:bookmarkStart w:id="1854" w:name="_Toc500135104"/>
      <w:bookmarkStart w:id="1855" w:name="_Toc500135571"/>
      <w:bookmarkStart w:id="1856" w:name="_Toc500144744"/>
      <w:bookmarkStart w:id="1857" w:name="_Toc500145821"/>
      <w:bookmarkStart w:id="1858" w:name="_Toc500154500"/>
      <w:bookmarkStart w:id="1859" w:name="_Toc500154859"/>
      <w:bookmarkStart w:id="1860" w:name="_Toc500155217"/>
      <w:bookmarkStart w:id="1861" w:name="_Toc500155607"/>
      <w:bookmarkStart w:id="1862" w:name="_Toc500155992"/>
      <w:bookmarkStart w:id="1863" w:name="_Toc500156378"/>
      <w:bookmarkStart w:id="1864" w:name="_Toc500156764"/>
      <w:bookmarkStart w:id="1865" w:name="_Toc500157150"/>
      <w:bookmarkStart w:id="1866" w:name="_Toc500157534"/>
      <w:bookmarkStart w:id="1867" w:name="_Toc500158341"/>
      <w:bookmarkStart w:id="1868" w:name="_Toc500158727"/>
      <w:bookmarkStart w:id="1869" w:name="_Toc500159112"/>
      <w:bookmarkStart w:id="1870" w:name="_Toc500135105"/>
      <w:bookmarkStart w:id="1871" w:name="_Toc500135572"/>
      <w:bookmarkStart w:id="1872" w:name="_Toc500144745"/>
      <w:bookmarkStart w:id="1873" w:name="_Toc500145822"/>
      <w:bookmarkStart w:id="1874" w:name="_Toc500154501"/>
      <w:bookmarkStart w:id="1875" w:name="_Toc500154860"/>
      <w:bookmarkStart w:id="1876" w:name="_Toc500155218"/>
      <w:bookmarkStart w:id="1877" w:name="_Toc500155608"/>
      <w:bookmarkStart w:id="1878" w:name="_Toc500155993"/>
      <w:bookmarkStart w:id="1879" w:name="_Toc500156379"/>
      <w:bookmarkStart w:id="1880" w:name="_Toc500156765"/>
      <w:bookmarkStart w:id="1881" w:name="_Toc500157151"/>
      <w:bookmarkStart w:id="1882" w:name="_Toc500157535"/>
      <w:bookmarkStart w:id="1883" w:name="_Toc500158342"/>
      <w:bookmarkStart w:id="1884" w:name="_Toc500158728"/>
      <w:bookmarkStart w:id="1885" w:name="_Toc500159113"/>
      <w:bookmarkStart w:id="1886" w:name="_Toc500135106"/>
      <w:bookmarkStart w:id="1887" w:name="_Toc500135573"/>
      <w:bookmarkStart w:id="1888" w:name="_Toc500144746"/>
      <w:bookmarkStart w:id="1889" w:name="_Toc500145823"/>
      <w:bookmarkStart w:id="1890" w:name="_Toc500154502"/>
      <w:bookmarkStart w:id="1891" w:name="_Toc500154861"/>
      <w:bookmarkStart w:id="1892" w:name="_Toc500155219"/>
      <w:bookmarkStart w:id="1893" w:name="_Toc500155609"/>
      <w:bookmarkStart w:id="1894" w:name="_Toc500155994"/>
      <w:bookmarkStart w:id="1895" w:name="_Toc500156380"/>
      <w:bookmarkStart w:id="1896" w:name="_Toc500156766"/>
      <w:bookmarkStart w:id="1897" w:name="_Toc500157152"/>
      <w:bookmarkStart w:id="1898" w:name="_Toc500157536"/>
      <w:bookmarkStart w:id="1899" w:name="_Toc500158343"/>
      <w:bookmarkStart w:id="1900" w:name="_Toc500158729"/>
      <w:bookmarkStart w:id="1901" w:name="_Toc500159114"/>
      <w:bookmarkStart w:id="1902" w:name="_Toc500135107"/>
      <w:bookmarkStart w:id="1903" w:name="_Toc500135574"/>
      <w:bookmarkStart w:id="1904" w:name="_Toc500144747"/>
      <w:bookmarkStart w:id="1905" w:name="_Toc500145824"/>
      <w:bookmarkStart w:id="1906" w:name="_Toc500154503"/>
      <w:bookmarkStart w:id="1907" w:name="_Toc500154862"/>
      <w:bookmarkStart w:id="1908" w:name="_Toc500155220"/>
      <w:bookmarkStart w:id="1909" w:name="_Toc500155610"/>
      <w:bookmarkStart w:id="1910" w:name="_Toc500155995"/>
      <w:bookmarkStart w:id="1911" w:name="_Toc500156381"/>
      <w:bookmarkStart w:id="1912" w:name="_Toc500156767"/>
      <w:bookmarkStart w:id="1913" w:name="_Toc500157153"/>
      <w:bookmarkStart w:id="1914" w:name="_Toc500157537"/>
      <w:bookmarkStart w:id="1915" w:name="_Toc500158344"/>
      <w:bookmarkStart w:id="1916" w:name="_Toc500158730"/>
      <w:bookmarkStart w:id="1917" w:name="_Toc500159115"/>
      <w:bookmarkStart w:id="1918" w:name="_Toc500135108"/>
      <w:bookmarkStart w:id="1919" w:name="_Toc500135575"/>
      <w:bookmarkStart w:id="1920" w:name="_Toc500144748"/>
      <w:bookmarkStart w:id="1921" w:name="_Toc500145825"/>
      <w:bookmarkStart w:id="1922" w:name="_Toc500154504"/>
      <w:bookmarkStart w:id="1923" w:name="_Toc500154863"/>
      <w:bookmarkStart w:id="1924" w:name="_Toc500155221"/>
      <w:bookmarkStart w:id="1925" w:name="_Toc500155611"/>
      <w:bookmarkStart w:id="1926" w:name="_Toc500155996"/>
      <w:bookmarkStart w:id="1927" w:name="_Toc500156382"/>
      <w:bookmarkStart w:id="1928" w:name="_Toc500156768"/>
      <w:bookmarkStart w:id="1929" w:name="_Toc500157154"/>
      <w:bookmarkStart w:id="1930" w:name="_Toc500157538"/>
      <w:bookmarkStart w:id="1931" w:name="_Toc500158345"/>
      <w:bookmarkStart w:id="1932" w:name="_Toc500158731"/>
      <w:bookmarkStart w:id="1933" w:name="_Toc500159116"/>
      <w:bookmarkStart w:id="1934" w:name="_Toc500135109"/>
      <w:bookmarkStart w:id="1935" w:name="_Toc500135576"/>
      <w:bookmarkStart w:id="1936" w:name="_Toc500144749"/>
      <w:bookmarkStart w:id="1937" w:name="_Toc500145826"/>
      <w:bookmarkStart w:id="1938" w:name="_Toc500154505"/>
      <w:bookmarkStart w:id="1939" w:name="_Toc500154864"/>
      <w:bookmarkStart w:id="1940" w:name="_Toc500155222"/>
      <w:bookmarkStart w:id="1941" w:name="_Toc500155612"/>
      <w:bookmarkStart w:id="1942" w:name="_Toc500155997"/>
      <w:bookmarkStart w:id="1943" w:name="_Toc500156383"/>
      <w:bookmarkStart w:id="1944" w:name="_Toc500156769"/>
      <w:bookmarkStart w:id="1945" w:name="_Toc500157155"/>
      <w:bookmarkStart w:id="1946" w:name="_Toc500157539"/>
      <w:bookmarkStart w:id="1947" w:name="_Toc500158346"/>
      <w:bookmarkStart w:id="1948" w:name="_Toc500158732"/>
      <w:bookmarkStart w:id="1949" w:name="_Toc500159117"/>
      <w:bookmarkStart w:id="1950" w:name="_Toc500135110"/>
      <w:bookmarkStart w:id="1951" w:name="_Toc500135577"/>
      <w:bookmarkStart w:id="1952" w:name="_Toc500144750"/>
      <w:bookmarkStart w:id="1953" w:name="_Toc500145827"/>
      <w:bookmarkStart w:id="1954" w:name="_Toc500154506"/>
      <w:bookmarkStart w:id="1955" w:name="_Toc500154865"/>
      <w:bookmarkStart w:id="1956" w:name="_Toc500155223"/>
      <w:bookmarkStart w:id="1957" w:name="_Toc500155613"/>
      <w:bookmarkStart w:id="1958" w:name="_Toc500155998"/>
      <w:bookmarkStart w:id="1959" w:name="_Toc500156384"/>
      <w:bookmarkStart w:id="1960" w:name="_Toc500156770"/>
      <w:bookmarkStart w:id="1961" w:name="_Toc500157156"/>
      <w:bookmarkStart w:id="1962" w:name="_Toc500157540"/>
      <w:bookmarkStart w:id="1963" w:name="_Toc500158347"/>
      <w:bookmarkStart w:id="1964" w:name="_Toc500158733"/>
      <w:bookmarkStart w:id="1965" w:name="_Toc500159118"/>
      <w:bookmarkStart w:id="1966" w:name="_Toc500135111"/>
      <w:bookmarkStart w:id="1967" w:name="_Toc500135578"/>
      <w:bookmarkStart w:id="1968" w:name="_Toc500144751"/>
      <w:bookmarkStart w:id="1969" w:name="_Toc500145828"/>
      <w:bookmarkStart w:id="1970" w:name="_Toc500154507"/>
      <w:bookmarkStart w:id="1971" w:name="_Toc500154866"/>
      <w:bookmarkStart w:id="1972" w:name="_Toc500155224"/>
      <w:bookmarkStart w:id="1973" w:name="_Toc500155614"/>
      <w:bookmarkStart w:id="1974" w:name="_Toc500155999"/>
      <w:bookmarkStart w:id="1975" w:name="_Toc500156385"/>
      <w:bookmarkStart w:id="1976" w:name="_Toc500156771"/>
      <w:bookmarkStart w:id="1977" w:name="_Toc500157157"/>
      <w:bookmarkStart w:id="1978" w:name="_Toc500157541"/>
      <w:bookmarkStart w:id="1979" w:name="_Toc500158348"/>
      <w:bookmarkStart w:id="1980" w:name="_Toc500158734"/>
      <w:bookmarkStart w:id="1981" w:name="_Toc500159119"/>
      <w:bookmarkStart w:id="1982" w:name="_Toc500135112"/>
      <w:bookmarkStart w:id="1983" w:name="_Toc500135579"/>
      <w:bookmarkStart w:id="1984" w:name="_Toc500144752"/>
      <w:bookmarkStart w:id="1985" w:name="_Toc500145829"/>
      <w:bookmarkStart w:id="1986" w:name="_Toc500154508"/>
      <w:bookmarkStart w:id="1987" w:name="_Toc500154867"/>
      <w:bookmarkStart w:id="1988" w:name="_Toc500155225"/>
      <w:bookmarkStart w:id="1989" w:name="_Toc500155615"/>
      <w:bookmarkStart w:id="1990" w:name="_Toc500156000"/>
      <w:bookmarkStart w:id="1991" w:name="_Toc500156386"/>
      <w:bookmarkStart w:id="1992" w:name="_Toc500156772"/>
      <w:bookmarkStart w:id="1993" w:name="_Toc500157158"/>
      <w:bookmarkStart w:id="1994" w:name="_Toc500157542"/>
      <w:bookmarkStart w:id="1995" w:name="_Toc500158349"/>
      <w:bookmarkStart w:id="1996" w:name="_Toc500158735"/>
      <w:bookmarkStart w:id="1997" w:name="_Toc500159120"/>
      <w:bookmarkStart w:id="1998" w:name="_Toc500135113"/>
      <w:bookmarkStart w:id="1999" w:name="_Toc500135580"/>
      <w:bookmarkStart w:id="2000" w:name="_Toc500144753"/>
      <w:bookmarkStart w:id="2001" w:name="_Toc500145830"/>
      <w:bookmarkStart w:id="2002" w:name="_Toc500154509"/>
      <w:bookmarkStart w:id="2003" w:name="_Toc500154868"/>
      <w:bookmarkStart w:id="2004" w:name="_Toc500155226"/>
      <w:bookmarkStart w:id="2005" w:name="_Toc500155616"/>
      <w:bookmarkStart w:id="2006" w:name="_Toc500156001"/>
      <w:bookmarkStart w:id="2007" w:name="_Toc500156387"/>
      <w:bookmarkStart w:id="2008" w:name="_Toc500156773"/>
      <w:bookmarkStart w:id="2009" w:name="_Toc500157159"/>
      <w:bookmarkStart w:id="2010" w:name="_Toc500157543"/>
      <w:bookmarkStart w:id="2011" w:name="_Toc500158350"/>
      <w:bookmarkStart w:id="2012" w:name="_Toc500158736"/>
      <w:bookmarkStart w:id="2013" w:name="_Toc500159121"/>
      <w:bookmarkStart w:id="2014" w:name="_Toc500135114"/>
      <w:bookmarkStart w:id="2015" w:name="_Toc500135581"/>
      <w:bookmarkStart w:id="2016" w:name="_Toc500144754"/>
      <w:bookmarkStart w:id="2017" w:name="_Toc500145831"/>
      <w:bookmarkStart w:id="2018" w:name="_Toc500154510"/>
      <w:bookmarkStart w:id="2019" w:name="_Toc500154869"/>
      <w:bookmarkStart w:id="2020" w:name="_Toc500155227"/>
      <w:bookmarkStart w:id="2021" w:name="_Toc500155617"/>
      <w:bookmarkStart w:id="2022" w:name="_Toc500156002"/>
      <w:bookmarkStart w:id="2023" w:name="_Toc500156388"/>
      <w:bookmarkStart w:id="2024" w:name="_Toc500156774"/>
      <w:bookmarkStart w:id="2025" w:name="_Toc500157160"/>
      <w:bookmarkStart w:id="2026" w:name="_Toc500157544"/>
      <w:bookmarkStart w:id="2027" w:name="_Toc500158351"/>
      <w:bookmarkStart w:id="2028" w:name="_Toc500158737"/>
      <w:bookmarkStart w:id="2029" w:name="_Toc500159122"/>
      <w:bookmarkStart w:id="2030" w:name="_Toc500135115"/>
      <w:bookmarkStart w:id="2031" w:name="_Toc500135582"/>
      <w:bookmarkStart w:id="2032" w:name="_Toc500144755"/>
      <w:bookmarkStart w:id="2033" w:name="_Toc500145832"/>
      <w:bookmarkStart w:id="2034" w:name="_Toc500154511"/>
      <w:bookmarkStart w:id="2035" w:name="_Toc500154870"/>
      <w:bookmarkStart w:id="2036" w:name="_Toc500155228"/>
      <w:bookmarkStart w:id="2037" w:name="_Toc500155618"/>
      <w:bookmarkStart w:id="2038" w:name="_Toc500156003"/>
      <w:bookmarkStart w:id="2039" w:name="_Toc500156389"/>
      <w:bookmarkStart w:id="2040" w:name="_Toc500156775"/>
      <w:bookmarkStart w:id="2041" w:name="_Toc500157161"/>
      <w:bookmarkStart w:id="2042" w:name="_Toc500157545"/>
      <w:bookmarkStart w:id="2043" w:name="_Toc500158352"/>
      <w:bookmarkStart w:id="2044" w:name="_Toc500158738"/>
      <w:bookmarkStart w:id="2045" w:name="_Toc500159123"/>
      <w:bookmarkStart w:id="2046" w:name="_Toc500135116"/>
      <w:bookmarkStart w:id="2047" w:name="_Toc500135583"/>
      <w:bookmarkStart w:id="2048" w:name="_Toc500144756"/>
      <w:bookmarkStart w:id="2049" w:name="_Toc500145833"/>
      <w:bookmarkStart w:id="2050" w:name="_Toc500154512"/>
      <w:bookmarkStart w:id="2051" w:name="_Toc500154871"/>
      <w:bookmarkStart w:id="2052" w:name="_Toc500155229"/>
      <w:bookmarkStart w:id="2053" w:name="_Toc500155619"/>
      <w:bookmarkStart w:id="2054" w:name="_Toc500156004"/>
      <w:bookmarkStart w:id="2055" w:name="_Toc500156390"/>
      <w:bookmarkStart w:id="2056" w:name="_Toc500156776"/>
      <w:bookmarkStart w:id="2057" w:name="_Toc500157162"/>
      <w:bookmarkStart w:id="2058" w:name="_Toc500157546"/>
      <w:bookmarkStart w:id="2059" w:name="_Toc500158353"/>
      <w:bookmarkStart w:id="2060" w:name="_Toc500158739"/>
      <w:bookmarkStart w:id="2061" w:name="_Toc500159124"/>
      <w:bookmarkStart w:id="2062" w:name="_Toc492420461"/>
      <w:bookmarkStart w:id="2063" w:name="_Toc492421057"/>
      <w:bookmarkStart w:id="2064" w:name="_Toc492420462"/>
      <w:bookmarkStart w:id="2065" w:name="_Toc492421058"/>
      <w:bookmarkStart w:id="2066" w:name="_Toc500247369"/>
      <w:bookmarkStart w:id="2067" w:name="_Toc500931706"/>
      <w:bookmarkStart w:id="2068" w:name="_Toc501012944"/>
      <w:bookmarkStart w:id="2069" w:name="_Toc514428351"/>
      <w:bookmarkStart w:id="2070" w:name="_Toc507766116"/>
      <w:bookmarkEnd w:id="1839"/>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r w:rsidRPr="008D2A17">
        <w:rPr>
          <w:rStyle w:val="ECCHLbold"/>
          <w:b/>
        </w:rPr>
        <w:t>In-block power limit</w:t>
      </w:r>
      <w:bookmarkEnd w:id="2066"/>
      <w:bookmarkEnd w:id="2067"/>
      <w:bookmarkEnd w:id="2068"/>
      <w:bookmarkEnd w:id="2069"/>
      <w:bookmarkEnd w:id="2070"/>
    </w:p>
    <w:p w14:paraId="46FABBA2" w14:textId="29B6D584" w:rsidR="00E74398" w:rsidRPr="008D2A17" w:rsidRDefault="00E74398" w:rsidP="00EA1D94">
      <w:pPr>
        <w:pStyle w:val="ECCBulletsLv1"/>
        <w:numPr>
          <w:ilvl w:val="0"/>
          <w:numId w:val="0"/>
        </w:numPr>
      </w:pPr>
      <w:r w:rsidRPr="008D2A17">
        <w:t xml:space="preserve">CEPT confirms that BS in-block EIRP is not </w:t>
      </w:r>
      <w:proofErr w:type="gramStart"/>
      <w:r w:rsidRPr="008D2A17">
        <w:t>mandatory,</w:t>
      </w:r>
      <w:proofErr w:type="gramEnd"/>
      <w:r w:rsidRPr="008D2A17">
        <w:t xml:space="preserve"> therefore, there is no need to include a reference limit in the regulatory framework for </w:t>
      </w:r>
      <w:r w:rsidR="00EA1D94" w:rsidRPr="008D2A17">
        <w:t>either</w:t>
      </w:r>
      <w:r w:rsidRPr="008D2A17">
        <w:t xml:space="preserve"> non</w:t>
      </w:r>
      <w:r w:rsidR="00444A5C" w:rsidRPr="008D2A17">
        <w:t>-</w:t>
      </w:r>
      <w:r w:rsidRPr="008D2A17">
        <w:t xml:space="preserve">AAS </w:t>
      </w:r>
      <w:r w:rsidR="00EA1D94" w:rsidRPr="008D2A17">
        <w:t>or</w:t>
      </w:r>
      <w:r w:rsidRPr="008D2A17">
        <w:t xml:space="preserve"> AAS systems. Administration wishing to include a limit in their authori</w:t>
      </w:r>
      <w:r w:rsidR="00952BF2">
        <w:t>s</w:t>
      </w:r>
      <w:r w:rsidRPr="008D2A17">
        <w:t>ation or to use a limit for coordination purpose may define such limits on a national basis.</w:t>
      </w:r>
    </w:p>
    <w:p w14:paraId="29EFE4E4" w14:textId="2BA3E990" w:rsidR="00864F8F" w:rsidRPr="008D2A17" w:rsidRDefault="00864F8F" w:rsidP="00864F8F">
      <w:pPr>
        <w:pStyle w:val="Heading2"/>
        <w:rPr>
          <w:rStyle w:val="ECCHLbold"/>
          <w:b/>
        </w:rPr>
      </w:pPr>
      <w:bookmarkStart w:id="2071" w:name="_Toc501012945"/>
      <w:bookmarkStart w:id="2072" w:name="_Toc514428352"/>
      <w:bookmarkStart w:id="2073" w:name="_Toc500931707"/>
      <w:bookmarkStart w:id="2074" w:name="_Toc501012946"/>
      <w:bookmarkEnd w:id="2071"/>
      <w:r w:rsidRPr="008D2A17">
        <w:rPr>
          <w:rStyle w:val="ECCHLbold"/>
          <w:b/>
        </w:rPr>
        <w:t>UE In-block requirement</w:t>
      </w:r>
      <w:bookmarkEnd w:id="2072"/>
    </w:p>
    <w:p w14:paraId="69403FFE" w14:textId="291DDC1C" w:rsidR="000B0247" w:rsidRPr="008D2A17" w:rsidRDefault="000B0247" w:rsidP="00AD7F41">
      <w:pPr>
        <w:pStyle w:val="ECCParagraph"/>
      </w:pPr>
      <w:r w:rsidRPr="008D2A17">
        <w:t>As for the technical condition for user equipment (UEs)</w:t>
      </w:r>
      <w:r w:rsidR="00010C3C" w:rsidRPr="008D2A17">
        <w:t>,</w:t>
      </w:r>
      <w:r w:rsidRPr="008D2A17">
        <w:t xml:space="preserve"> it is recommended that the in-block TRP for mobile UEs does not exceed 28 dBm. The in-block radiated power limit for fixed/nomadic UEs may be agreed on a national basis provided that cross-border obligations are fulfilled. </w:t>
      </w:r>
    </w:p>
    <w:p w14:paraId="1AA927FC" w14:textId="77777777" w:rsidR="00AD7F41" w:rsidRPr="008D2A17" w:rsidRDefault="004F4178" w:rsidP="00381B4F">
      <w:pPr>
        <w:pStyle w:val="Heading1"/>
      </w:pPr>
      <w:bookmarkStart w:id="2075" w:name="_Toc514428353"/>
      <w:r w:rsidRPr="008D2A17">
        <w:lastRenderedPageBreak/>
        <w:t>Cross-border</w:t>
      </w:r>
      <w:r w:rsidR="00AD7F41" w:rsidRPr="008D2A17">
        <w:t xml:space="preserve"> coordination</w:t>
      </w:r>
      <w:bookmarkEnd w:id="2073"/>
      <w:bookmarkEnd w:id="2074"/>
      <w:bookmarkEnd w:id="2075"/>
      <w:r w:rsidR="00AD7F41" w:rsidRPr="008D2A17">
        <w:t xml:space="preserve"> </w:t>
      </w:r>
    </w:p>
    <w:p w14:paraId="666FB49A" w14:textId="671D459B" w:rsidR="00AD7F41" w:rsidRPr="008D2A17" w:rsidRDefault="004F4178" w:rsidP="00AD7F41">
      <w:pPr>
        <w:pStyle w:val="ECCParagraph"/>
      </w:pPr>
      <w:r w:rsidRPr="008D2A17">
        <w:t>Cross-border</w:t>
      </w:r>
      <w:r w:rsidR="00AD7F41" w:rsidRPr="008D2A17">
        <w:t xml:space="preserve"> coordination is managed on a bilateral and multilateral basis between </w:t>
      </w:r>
      <w:r w:rsidR="00EA1D94" w:rsidRPr="008D2A17">
        <w:t>Member States</w:t>
      </w:r>
      <w:r w:rsidR="00AD7F41" w:rsidRPr="008D2A17">
        <w:t>. Even in the context of the current fragmented usage in the 3400-3800</w:t>
      </w:r>
      <w:r w:rsidR="00AB2111" w:rsidRPr="008D2A17">
        <w:t> MHz</w:t>
      </w:r>
      <w:r w:rsidR="00AD7F41" w:rsidRPr="008D2A17">
        <w:t xml:space="preserve"> band, </w:t>
      </w:r>
      <w:r w:rsidR="00EA1D94" w:rsidRPr="008D2A17">
        <w:t>Member States</w:t>
      </w:r>
      <w:r w:rsidR="00AD7F41" w:rsidRPr="008D2A17">
        <w:t xml:space="preserve"> do not currently experience unmanageable </w:t>
      </w:r>
      <w:r w:rsidRPr="008D2A17">
        <w:t>cross-border</w:t>
      </w:r>
      <w:r w:rsidR="00AD7F41" w:rsidRPr="008D2A17">
        <w:t xml:space="preserve"> coordination issues. It should be noted that </w:t>
      </w:r>
      <w:r w:rsidRPr="008D2A17">
        <w:t>cross-border</w:t>
      </w:r>
      <w:r w:rsidR="00AD7F41" w:rsidRPr="008D2A17">
        <w:t xml:space="preserve"> coordination parameters differ from the harmonised technical conditions proposed in this CEPT report</w:t>
      </w:r>
      <w:r w:rsidR="00F42BBB" w:rsidRPr="008D2A17">
        <w:t>.</w:t>
      </w:r>
      <w:r w:rsidR="00AD7F41" w:rsidRPr="008D2A17">
        <w:t xml:space="preserve"> </w:t>
      </w:r>
    </w:p>
    <w:p w14:paraId="667071C7" w14:textId="6904327C" w:rsidR="00AD7F41" w:rsidRPr="008D2A17" w:rsidRDefault="00AD7F41" w:rsidP="00AD7F41">
      <w:pPr>
        <w:pStyle w:val="ECCParagraph"/>
      </w:pPr>
      <w:r w:rsidRPr="008D2A17">
        <w:t xml:space="preserve">Initiatives from </w:t>
      </w:r>
      <w:r w:rsidR="00EA1D94" w:rsidRPr="008D2A17">
        <w:t>Member States</w:t>
      </w:r>
      <w:r w:rsidRPr="008D2A17">
        <w:t xml:space="preserve"> to deploy 5G in this band and ongoing work to re-organise the band to provide contiguous blocks of spectrum should make bilateral and multilateral negotiations less complex. CEPT is developing recommendations to support the </w:t>
      </w:r>
      <w:r w:rsidR="00293A15" w:rsidRPr="008D2A17">
        <w:t>bi</w:t>
      </w:r>
      <w:r w:rsidRPr="008D2A17">
        <w:t>lateral/multilateral negotiation and will ensure 5G is addressed in these recommendations.</w:t>
      </w:r>
    </w:p>
    <w:p w14:paraId="02C9C679" w14:textId="61119D74" w:rsidR="001E0621" w:rsidRPr="008D2A17" w:rsidRDefault="001E0621" w:rsidP="00AD7F41">
      <w:pPr>
        <w:pStyle w:val="ECCParagraph"/>
      </w:pPr>
      <w:r w:rsidRPr="008D2A17">
        <w:t>It is noted that in the Radio Regulations</w:t>
      </w:r>
      <w:r w:rsidR="00293A15" w:rsidRPr="008D2A17">
        <w:t xml:space="preserve"> </w:t>
      </w:r>
      <w:r w:rsidR="00293A15" w:rsidRPr="008D2A17">
        <w:fldChar w:fldCharType="begin"/>
      </w:r>
      <w:r w:rsidR="00293A15" w:rsidRPr="008D2A17">
        <w:instrText xml:space="preserve"> REF _Ref507751326 \r \h </w:instrText>
      </w:r>
      <w:r w:rsidR="00BF7B90" w:rsidRPr="008D2A17">
        <w:instrText xml:space="preserve"> \* MERGEFORMAT </w:instrText>
      </w:r>
      <w:r w:rsidR="00293A15" w:rsidRPr="008D2A17">
        <w:fldChar w:fldCharType="separate"/>
      </w:r>
      <w:r w:rsidR="00FA5407">
        <w:t>[4]</w:t>
      </w:r>
      <w:r w:rsidR="00293A15" w:rsidRPr="008D2A17">
        <w:fldChar w:fldCharType="end"/>
      </w:r>
      <w:r w:rsidRPr="008D2A17">
        <w:t xml:space="preserve">, the mobile service has a secondary allocation in the frequency range 3600-3800 MHz, while in the ECA Table (ERC Report 25) </w:t>
      </w:r>
      <w:r w:rsidR="00293A15" w:rsidRPr="008D2A17">
        <w:fldChar w:fldCharType="begin"/>
      </w:r>
      <w:r w:rsidR="00293A15" w:rsidRPr="008D2A17">
        <w:instrText xml:space="preserve"> REF _Ref507751334 \r \h </w:instrText>
      </w:r>
      <w:r w:rsidR="00BF7B90" w:rsidRPr="008D2A17">
        <w:instrText xml:space="preserve"> \* MERGEFORMAT </w:instrText>
      </w:r>
      <w:r w:rsidR="00293A15" w:rsidRPr="008D2A17">
        <w:fldChar w:fldCharType="separate"/>
      </w:r>
      <w:r w:rsidR="00FA5407">
        <w:t>[5]</w:t>
      </w:r>
      <w:r w:rsidR="00293A15" w:rsidRPr="008D2A17">
        <w:fldChar w:fldCharType="end"/>
      </w:r>
      <w:r w:rsidR="00293A15" w:rsidRPr="008D2A17">
        <w:t xml:space="preserve"> </w:t>
      </w:r>
      <w:r w:rsidRPr="008D2A17">
        <w:t>the mobile service has a primary allocation in this frequency range.</w:t>
      </w:r>
    </w:p>
    <w:p w14:paraId="11CFC802" w14:textId="77777777" w:rsidR="00AD7F41" w:rsidRPr="008D2A17" w:rsidRDefault="00AD7F41" w:rsidP="00381B4F">
      <w:pPr>
        <w:pStyle w:val="Heading1"/>
      </w:pPr>
      <w:bookmarkStart w:id="2076" w:name="_Toc492420464"/>
      <w:bookmarkStart w:id="2077" w:name="_Toc492421060"/>
      <w:bookmarkStart w:id="2078" w:name="_Toc489012410"/>
      <w:bookmarkStart w:id="2079" w:name="_Toc500247370"/>
      <w:bookmarkStart w:id="2080" w:name="_Toc500931708"/>
      <w:bookmarkStart w:id="2081" w:name="_Toc501012947"/>
      <w:bookmarkStart w:id="2082" w:name="_Toc514428354"/>
      <w:bookmarkStart w:id="2083" w:name="_Toc507766118"/>
      <w:bookmarkEnd w:id="2076"/>
      <w:bookmarkEnd w:id="2077"/>
      <w:r w:rsidRPr="008D2A17">
        <w:lastRenderedPageBreak/>
        <w:t>Conclusions</w:t>
      </w:r>
      <w:bookmarkEnd w:id="2078"/>
      <w:bookmarkEnd w:id="2079"/>
      <w:bookmarkEnd w:id="2080"/>
      <w:bookmarkEnd w:id="2081"/>
      <w:bookmarkEnd w:id="2082"/>
      <w:bookmarkEnd w:id="2083"/>
    </w:p>
    <w:p w14:paraId="6B38A31B" w14:textId="7CFCBE40" w:rsidR="00AD7F41" w:rsidRPr="008D2A17" w:rsidRDefault="00AD7F41" w:rsidP="00AD7F41">
      <w:pPr>
        <w:pStyle w:val="ECCParagraph"/>
      </w:pPr>
      <w:r w:rsidRPr="008D2A17">
        <w:t>This report has assessed the existing regulatory framework for 3400-3800</w:t>
      </w:r>
      <w:r w:rsidR="00AB2111" w:rsidRPr="008D2A17">
        <w:t> MHz</w:t>
      </w:r>
      <w:r w:rsidRPr="008D2A17">
        <w:t xml:space="preserve"> to assess it</w:t>
      </w:r>
      <w:r w:rsidR="00DB21B6" w:rsidRPr="008D2A17">
        <w:t>s</w:t>
      </w:r>
      <w:r w:rsidRPr="008D2A17">
        <w:t xml:space="preserve"> suitability for 5G, focusing in particular on the use of AAS base stations. </w:t>
      </w:r>
      <w:r w:rsidR="00810A00" w:rsidRPr="008E4FD6">
        <w:t>The limits have been derived based on outdoor deployment scenarios</w:t>
      </w:r>
      <w:r w:rsidR="006C05BB" w:rsidRPr="008E4FD6">
        <w:t>.</w:t>
      </w:r>
    </w:p>
    <w:p w14:paraId="76D6445B" w14:textId="65B042F9" w:rsidR="00AD7F41" w:rsidRPr="008D2A17" w:rsidRDefault="00AD7F41" w:rsidP="00AD7F41">
      <w:pPr>
        <w:pStyle w:val="ECCParagraph"/>
        <w:tabs>
          <w:tab w:val="left" w:pos="7233"/>
        </w:tabs>
      </w:pPr>
      <w:r w:rsidRPr="008D2A17">
        <w:t>The following changes</w:t>
      </w:r>
      <w:r w:rsidR="00756B8F" w:rsidRPr="008D2A17">
        <w:t xml:space="preserve"> </w:t>
      </w:r>
      <w:r w:rsidRPr="008D2A17">
        <w:t>are proposed to the existing framework as a result of this analysis:</w:t>
      </w:r>
    </w:p>
    <w:p w14:paraId="1DE88B00" w14:textId="1F428FFC" w:rsidR="00BB73C3" w:rsidRDefault="00BB73C3" w:rsidP="00BB73C3">
      <w:pPr>
        <w:pStyle w:val="ECCBulletsLv1"/>
      </w:pPr>
      <w:r w:rsidRPr="00BB73C3">
        <w:t>High throughput 5G use cases benefit from wide contiguous frequency allocations. Current 5G NR specifications support channel bandwidths up to 100 MHz. Therefore, the spectrum should be provided in a manner allowing for at least 3x50 MHz of contiguous spectrum;</w:t>
      </w:r>
    </w:p>
    <w:p w14:paraId="22BBB335" w14:textId="579A7BDB" w:rsidR="00AD7F41" w:rsidRPr="008D2A17" w:rsidRDefault="00AD7F41" w:rsidP="00AD7F41">
      <w:pPr>
        <w:pStyle w:val="ECCBulletsLv1"/>
      </w:pPr>
      <w:r w:rsidRPr="008D2A17">
        <w:t>There is no need to consider separate frequency arrangements for 3400-3600</w:t>
      </w:r>
      <w:r w:rsidR="00AB2111" w:rsidRPr="008D2A17">
        <w:t> MHz</w:t>
      </w:r>
      <w:r w:rsidRPr="008D2A17">
        <w:t xml:space="preserve"> and 3600</w:t>
      </w:r>
      <w:r w:rsidR="00952BF2">
        <w:t>­</w:t>
      </w:r>
      <w:r w:rsidRPr="008D2A17">
        <w:t>3800</w:t>
      </w:r>
      <w:r w:rsidR="00AB2111" w:rsidRPr="008D2A17">
        <w:t> MHz</w:t>
      </w:r>
      <w:r w:rsidRPr="008D2A17">
        <w:t xml:space="preserve"> from a regulatory perspective. The unpaired arrangement is therefore selected as the only option for the 3400-3800</w:t>
      </w:r>
      <w:r w:rsidR="00AB2111" w:rsidRPr="008D2A17">
        <w:t> MHz</w:t>
      </w:r>
      <w:r w:rsidRPr="008D2A17">
        <w:t xml:space="preserve"> band</w:t>
      </w:r>
      <w:r w:rsidR="00340381" w:rsidRPr="008D2A17">
        <w:t>;</w:t>
      </w:r>
      <w:r w:rsidR="00EE1E9F" w:rsidRPr="008D2A17">
        <w:t xml:space="preserve"> </w:t>
      </w:r>
    </w:p>
    <w:p w14:paraId="15D6D013" w14:textId="5C8E5B12" w:rsidR="00AD7F41" w:rsidRPr="008D2A17" w:rsidRDefault="00670EDE" w:rsidP="00AD7F41">
      <w:pPr>
        <w:pStyle w:val="ECCBulletsLv1"/>
      </w:pPr>
      <w:r w:rsidRPr="008D2A17">
        <w:t xml:space="preserve">The levels of existing out-of-block power limits for coexistence of synchronised WBB ECS BS are proposed to be used for AAS base stations, specified as TRP limits for the </w:t>
      </w:r>
      <w:r w:rsidR="009656B2" w:rsidRPr="008D2A17">
        <w:t>cell</w:t>
      </w:r>
      <w:r w:rsidR="00923C6D" w:rsidRPr="008D2A17">
        <w:rPr>
          <w:rStyle w:val="FootnoteReference"/>
        </w:rPr>
        <w:footnoteReference w:id="11"/>
      </w:r>
      <w:r w:rsidR="00340381" w:rsidRPr="008D2A17">
        <w:t>;</w:t>
      </w:r>
    </w:p>
    <w:p w14:paraId="6CF917E1" w14:textId="20C6EEA5" w:rsidR="00DB21B6" w:rsidRPr="008D2A17" w:rsidRDefault="00670EDE" w:rsidP="00DB21B6">
      <w:pPr>
        <w:pStyle w:val="ECCBulletsLv1"/>
        <w:spacing w:after="120"/>
        <w:ind w:left="697" w:hanging="357"/>
      </w:pPr>
      <w:r w:rsidRPr="008D2A17">
        <w:t>An out-of-block power limit of -43 dBm</w:t>
      </w:r>
      <w:proofErr w:type="gramStart"/>
      <w:r w:rsidRPr="008D2A17">
        <w:t>/</w:t>
      </w:r>
      <w:r w:rsidR="00293A15" w:rsidRPr="008D2A17">
        <w:t>(</w:t>
      </w:r>
      <w:proofErr w:type="gramEnd"/>
      <w:r w:rsidRPr="008D2A17">
        <w:t>5</w:t>
      </w:r>
      <w:r w:rsidR="00AB2111" w:rsidRPr="008D2A17">
        <w:t> MHz</w:t>
      </w:r>
      <w:r w:rsidR="00293A15" w:rsidRPr="008D2A17">
        <w:t>)</w:t>
      </w:r>
      <w:r w:rsidRPr="008D2A17">
        <w:t xml:space="preserve"> TRP is proposed </w:t>
      </w:r>
      <w:r w:rsidR="003A2C09" w:rsidRPr="008D2A17">
        <w:t xml:space="preserve">as the restricted baseline </w:t>
      </w:r>
      <w:r w:rsidRPr="008D2A17">
        <w:t>for coexistence of unsynchronised and semi-</w:t>
      </w:r>
      <w:r w:rsidR="00293A15" w:rsidRPr="008D2A17">
        <w:t xml:space="preserve">synchronised </w:t>
      </w:r>
      <w:r w:rsidRPr="008D2A17">
        <w:t>WBB ECS BS if no geographic</w:t>
      </w:r>
      <w:r w:rsidRPr="00BE123F">
        <w:rPr>
          <w:rStyle w:val="ECCHLorange"/>
          <w:shd w:val="clear" w:color="auto" w:fill="auto"/>
        </w:rPr>
        <w:t xml:space="preserve"> </w:t>
      </w:r>
      <w:r w:rsidR="0058562E" w:rsidRPr="008D2A17">
        <w:rPr>
          <w:rStyle w:val="ECCHLorange"/>
          <w:shd w:val="clear" w:color="auto" w:fill="auto"/>
        </w:rPr>
        <w:t>or</w:t>
      </w:r>
      <w:r w:rsidR="0058562E" w:rsidRPr="008D2A17">
        <w:t xml:space="preserve"> </w:t>
      </w:r>
      <w:r w:rsidR="0058562E" w:rsidRPr="008D2A17">
        <w:rPr>
          <w:rStyle w:val="ECCHLorange"/>
          <w:shd w:val="clear" w:color="auto" w:fill="auto"/>
        </w:rPr>
        <w:t>indoor/outdoor</w:t>
      </w:r>
      <w:r w:rsidR="0058562E" w:rsidRPr="008D2A17">
        <w:t xml:space="preserve"> </w:t>
      </w:r>
      <w:r w:rsidRPr="008D2A17">
        <w:t xml:space="preserve">separation is available. </w:t>
      </w:r>
      <w:r w:rsidR="00433B9C" w:rsidRPr="008D2A17">
        <w:t>Less stringent technical parameters, if agreed among the operators of such networks, may also be used. In addition</w:t>
      </w:r>
      <w:r w:rsidRPr="008D2A17">
        <w:t xml:space="preserve">, depending on national circumstances, </w:t>
      </w:r>
      <w:r w:rsidR="00EA1D94" w:rsidRPr="008D2A17">
        <w:t>Member States</w:t>
      </w:r>
      <w:r w:rsidRPr="008D2A17">
        <w:t xml:space="preserve"> may define relaxed baseline limit applying to specific implementation cases</w:t>
      </w:r>
      <w:r w:rsidR="00D21103" w:rsidRPr="008D2A17">
        <w:t xml:space="preserve"> to ensure a more efficient usage of spectrum</w:t>
      </w:r>
      <w:r w:rsidRPr="008D2A17">
        <w:t>.</w:t>
      </w:r>
      <w:r w:rsidR="00010C3C" w:rsidRPr="008D2A17">
        <w:t xml:space="preserve"> </w:t>
      </w:r>
      <w:r w:rsidR="00DB21B6" w:rsidRPr="008D2A17">
        <w:t>Specific measures to facilitate unsynchronised operation include:</w:t>
      </w:r>
    </w:p>
    <w:p w14:paraId="2B160EAC" w14:textId="7A77C776" w:rsidR="00DB21B6" w:rsidRPr="008D2A17" w:rsidRDefault="00DB21B6" w:rsidP="00DB21B6">
      <w:pPr>
        <w:pStyle w:val="ECCBulletsLv1"/>
        <w:numPr>
          <w:ilvl w:val="1"/>
          <w:numId w:val="11"/>
        </w:numPr>
        <w:spacing w:after="120"/>
        <w:ind w:left="1775" w:hanging="357"/>
      </w:pPr>
      <w:r w:rsidRPr="008D2A17">
        <w:t>Frequency separations and/or restricted blocks;</w:t>
      </w:r>
    </w:p>
    <w:p w14:paraId="083DA0BF" w14:textId="77777777" w:rsidR="00DB21B6" w:rsidRPr="008D2A17" w:rsidRDefault="00DB21B6" w:rsidP="00DB21B6">
      <w:pPr>
        <w:pStyle w:val="ECCBulletsLv1"/>
        <w:numPr>
          <w:ilvl w:val="1"/>
          <w:numId w:val="11"/>
        </w:numPr>
        <w:spacing w:after="120"/>
        <w:ind w:left="1775" w:hanging="357"/>
      </w:pPr>
      <w:r w:rsidRPr="008D2A17">
        <w:t>Additional filter to be applied at the WBB ECS base station transmitters and receivers;</w:t>
      </w:r>
    </w:p>
    <w:p w14:paraId="3F4C8512" w14:textId="77777777" w:rsidR="00DB21B6" w:rsidRPr="008D2A17" w:rsidRDefault="00DB21B6" w:rsidP="00DB21B6">
      <w:pPr>
        <w:pStyle w:val="ECCBulletsLv1"/>
        <w:numPr>
          <w:ilvl w:val="1"/>
          <w:numId w:val="11"/>
        </w:numPr>
        <w:spacing w:after="120"/>
        <w:ind w:left="1775" w:hanging="357"/>
      </w:pPr>
      <w:r w:rsidRPr="008D2A17">
        <w:t xml:space="preserve">Site coordination between operators: inter-site distance separation (for </w:t>
      </w:r>
      <w:proofErr w:type="spellStart"/>
      <w:r w:rsidRPr="008D2A17">
        <w:t>non co-</w:t>
      </w:r>
      <w:proofErr w:type="spellEnd"/>
      <w:r w:rsidRPr="008D2A17">
        <w:t>located sites), antenna separation distances and site engineering (for co-located sites);</w:t>
      </w:r>
    </w:p>
    <w:p w14:paraId="7599DA87" w14:textId="77777777" w:rsidR="00DB21B6" w:rsidRPr="008D2A17" w:rsidRDefault="00DB21B6" w:rsidP="00DB21B6">
      <w:pPr>
        <w:pStyle w:val="ECCBulletsLv1"/>
        <w:numPr>
          <w:ilvl w:val="1"/>
          <w:numId w:val="11"/>
        </w:numPr>
      </w:pPr>
      <w:r w:rsidRPr="008D2A17">
        <w:t>Reduction of the base station output power.</w:t>
      </w:r>
    </w:p>
    <w:p w14:paraId="2A6168D3" w14:textId="688FA769" w:rsidR="00DB21B6" w:rsidRPr="008D2A17" w:rsidRDefault="00E04740" w:rsidP="00DB21B6">
      <w:pPr>
        <w:pStyle w:val="ECCBulletsLv1"/>
      </w:pPr>
      <w:r w:rsidRPr="008D2A17">
        <w:t xml:space="preserve">An additional baseline is proposed for countries wishing to protect radar below 3400 MHz. Coordination may be required, for example a coordination distance of up to 12 km around fixed terrestrial radars, based on </w:t>
      </w:r>
      <w:proofErr w:type="gramStart"/>
      <w:r w:rsidRPr="008D2A17">
        <w:t>a</w:t>
      </w:r>
      <w:proofErr w:type="gramEnd"/>
      <w:r w:rsidRPr="008D2A17">
        <w:t xml:space="preserve"> AAS BS </w:t>
      </w:r>
      <w:r w:rsidR="007F1AB6">
        <w:t>TRP</w:t>
      </w:r>
      <w:r w:rsidRPr="008D2A17">
        <w:t xml:space="preserve"> limit of -52 dBm/MHz per cell. Such coordination is the responsibility of the relevant administration. It is noted that, for AAS base stations, manufacturers have indicated that the power limit of </w:t>
      </w:r>
      <w:r w:rsidRPr="00BB73C3">
        <w:t>-52</w:t>
      </w:r>
      <w:r w:rsidRPr="008D2A17">
        <w:t xml:space="preserve"> dBm/MHz would imply, under current technology, about 20 MHz frequency separation between the block edge and the additional baseline limit below 3400 MHz;</w:t>
      </w:r>
    </w:p>
    <w:p w14:paraId="701661E7" w14:textId="76F55A47" w:rsidR="007C11CF" w:rsidRDefault="00C03D56" w:rsidP="00C03D56">
      <w:pPr>
        <w:pStyle w:val="ECCBulletsLv1"/>
      </w:pPr>
      <w:r w:rsidRPr="008D2A17">
        <w:t>For protection of FSS and FS above 3800 MHz, a set of additional baselines is proposed for AAS and non-AAS base stations to support the coordination process to be carried out at national level on case</w:t>
      </w:r>
      <w:r w:rsidR="00952BF2">
        <w:t>-by-</w:t>
      </w:r>
      <w:r w:rsidRPr="008D2A17">
        <w:t>case basis with support from the operation</w:t>
      </w:r>
      <w:r w:rsidR="00952BF2">
        <w:t>al</w:t>
      </w:r>
      <w:r w:rsidRPr="008D2A17">
        <w:t xml:space="preserve"> guidelines from ECC Report 254 </w:t>
      </w:r>
      <w:r w:rsidRPr="008D2A17">
        <w:rPr>
          <w:b/>
          <w:bCs/>
          <w:iCs/>
          <w:caps/>
        </w:rPr>
        <w:fldChar w:fldCharType="begin"/>
      </w:r>
      <w:r w:rsidRPr="008D2A17">
        <w:instrText xml:space="preserve"> REF _Ref500264610 \r \h </w:instrText>
      </w:r>
      <w:r w:rsidRPr="008D2A17">
        <w:rPr>
          <w:b/>
          <w:bCs/>
          <w:iCs/>
          <w:caps/>
        </w:rPr>
        <w:instrText xml:space="preserve"> \* MERGEFORMAT </w:instrText>
      </w:r>
      <w:r w:rsidRPr="008D2A17">
        <w:rPr>
          <w:b/>
          <w:bCs/>
          <w:iCs/>
          <w:caps/>
        </w:rPr>
      </w:r>
      <w:r w:rsidRPr="008D2A17">
        <w:rPr>
          <w:b/>
          <w:bCs/>
          <w:iCs/>
          <w:caps/>
        </w:rPr>
        <w:fldChar w:fldCharType="separate"/>
      </w:r>
      <w:r w:rsidR="00FA5407">
        <w:t>[2]</w:t>
      </w:r>
      <w:r w:rsidRPr="008D2A17">
        <w:rPr>
          <w:b/>
          <w:bCs/>
          <w:iCs/>
          <w:caps/>
        </w:rPr>
        <w:fldChar w:fldCharType="end"/>
      </w:r>
      <w:r w:rsidRPr="008D2A17">
        <w:rPr>
          <w:b/>
          <w:bCs/>
          <w:iCs/>
          <w:caps/>
        </w:rPr>
        <w:t>;</w:t>
      </w:r>
      <w:r w:rsidRPr="008D2A17">
        <w:t xml:space="preserve"> </w:t>
      </w:r>
    </w:p>
    <w:p w14:paraId="5366060C" w14:textId="60C496EA" w:rsidR="00BB73C3" w:rsidRDefault="00BB73C3" w:rsidP="00C03D56">
      <w:pPr>
        <w:pStyle w:val="ECCBulletsLv1"/>
      </w:pPr>
      <w:r>
        <w:t xml:space="preserve">The </w:t>
      </w:r>
      <w:r w:rsidRPr="008D2A17">
        <w:t>in-block e.i.r.p. limit for</w:t>
      </w:r>
      <w:r w:rsidRPr="00BE123F">
        <w:rPr>
          <w:rStyle w:val="ECCHLorange"/>
          <w:shd w:val="clear" w:color="auto" w:fill="auto"/>
        </w:rPr>
        <w:t xml:space="preserve"> non-AAS </w:t>
      </w:r>
      <w:r w:rsidRPr="008D2A17">
        <w:t>base stations is not mandatory. Any in block limit for AAS or non-AAS may be defined on a national basis;</w:t>
      </w:r>
    </w:p>
    <w:p w14:paraId="124AFD91" w14:textId="54BE3563" w:rsidR="00E8590C" w:rsidRPr="008D2A17" w:rsidRDefault="00E8590C" w:rsidP="00E8590C">
      <w:pPr>
        <w:pStyle w:val="ECCBulletsLv1"/>
      </w:pPr>
      <w:r w:rsidRPr="008D2A17">
        <w:t>As for the technical condition for user equipment (UEs) it is recommended that the in-block TRP for mobile UEs does not exceed 28 dBm. The in-block radiated power limit for fixed/nomadic UEs may be agreed on a national basis provided that cross-bo</w:t>
      </w:r>
      <w:r w:rsidR="00952BF2">
        <w:t>rder obligations are fulfilled.</w:t>
      </w:r>
    </w:p>
    <w:p w14:paraId="1526F51B" w14:textId="21BF039B" w:rsidR="00670EDE" w:rsidRPr="008D2A17" w:rsidRDefault="00670EDE" w:rsidP="00BE123F">
      <w:pPr>
        <w:pStyle w:val="ECCBulletsLv1"/>
        <w:numPr>
          <w:ilvl w:val="0"/>
          <w:numId w:val="0"/>
        </w:numPr>
        <w:ind w:left="700" w:hanging="360"/>
      </w:pPr>
      <w:r w:rsidRPr="008D2A17">
        <w:t>Coexistence between LTE and 5G NR in adjacent frequencies is ensured when:</w:t>
      </w:r>
    </w:p>
    <w:p w14:paraId="1295C4A2" w14:textId="60F30764" w:rsidR="00670EDE" w:rsidRPr="008D2A17" w:rsidRDefault="00CE0DB1" w:rsidP="007A591F">
      <w:pPr>
        <w:pStyle w:val="ECCBulletsLv1"/>
        <w:spacing w:after="120"/>
        <w:ind w:left="697" w:hanging="357"/>
      </w:pPr>
      <w:r w:rsidRPr="008D2A17">
        <w:lastRenderedPageBreak/>
        <w:t>Each system r</w:t>
      </w:r>
      <w:r w:rsidR="00670EDE" w:rsidRPr="008D2A17">
        <w:t>espect</w:t>
      </w:r>
      <w:r w:rsidRPr="008D2A17">
        <w:t>s</w:t>
      </w:r>
      <w:r w:rsidR="00670EDE" w:rsidRPr="008D2A17">
        <w:t xml:space="preserve"> the</w:t>
      </w:r>
      <w:r w:rsidRPr="008D2A17">
        <w:t xml:space="preserve"> relevant applicable</w:t>
      </w:r>
      <w:r w:rsidR="00670EDE" w:rsidRPr="008D2A17">
        <w:t xml:space="preserve"> baseline level in case of synchronised operation</w:t>
      </w:r>
      <w:r w:rsidR="007A591F" w:rsidRPr="008D2A17">
        <w:t xml:space="preserve"> </w:t>
      </w:r>
      <w:r w:rsidR="00326526" w:rsidRPr="008D2A17">
        <w:t>for AAS or non</w:t>
      </w:r>
      <w:r w:rsidR="00444A5C" w:rsidRPr="008D2A17">
        <w:t>-</w:t>
      </w:r>
      <w:r w:rsidR="00326526" w:rsidRPr="008D2A17">
        <w:t>AAS systems</w:t>
      </w:r>
      <w:r w:rsidR="00EE47BB" w:rsidRPr="008D2A17">
        <w:t>;</w:t>
      </w:r>
      <w:r w:rsidR="00A63236" w:rsidRPr="008D2A17">
        <w:t xml:space="preserve"> or</w:t>
      </w:r>
    </w:p>
    <w:p w14:paraId="16A53AB1" w14:textId="5996644D" w:rsidR="00670EDE" w:rsidRPr="008D2A17" w:rsidRDefault="00CE0DB1" w:rsidP="007A591F">
      <w:pPr>
        <w:pStyle w:val="ECCBulletsLv1"/>
      </w:pPr>
      <w:r w:rsidRPr="008D2A17">
        <w:t>Each system r</w:t>
      </w:r>
      <w:r w:rsidR="00670EDE" w:rsidRPr="008D2A17">
        <w:t>espect</w:t>
      </w:r>
      <w:r w:rsidRPr="008D2A17">
        <w:t>s</w:t>
      </w:r>
      <w:r w:rsidR="00670EDE" w:rsidRPr="008D2A17">
        <w:t xml:space="preserve"> the</w:t>
      </w:r>
      <w:r w:rsidRPr="008D2A17">
        <w:t xml:space="preserve"> relevant applicable</w:t>
      </w:r>
      <w:r w:rsidR="00670EDE" w:rsidRPr="008D2A17">
        <w:t xml:space="preserve"> restricted baseline level in case of </w:t>
      </w:r>
      <w:r w:rsidR="00EE47BB" w:rsidRPr="008D2A17">
        <w:t>un</w:t>
      </w:r>
      <w:r w:rsidR="00670EDE" w:rsidRPr="008D2A17">
        <w:t xml:space="preserve">synchronised </w:t>
      </w:r>
      <w:r w:rsidR="00EE47BB" w:rsidRPr="008D2A17">
        <w:t xml:space="preserve">operation </w:t>
      </w:r>
      <w:r w:rsidR="00326526" w:rsidRPr="008D2A17">
        <w:t>for AAS or non</w:t>
      </w:r>
      <w:r w:rsidR="00444A5C" w:rsidRPr="008D2A17">
        <w:t>-</w:t>
      </w:r>
      <w:r w:rsidR="00326526" w:rsidRPr="008D2A17">
        <w:t>AAS systems</w:t>
      </w:r>
      <w:r w:rsidR="00401246" w:rsidRPr="008D2A17">
        <w:t>.</w:t>
      </w:r>
    </w:p>
    <w:p w14:paraId="5BC968D9" w14:textId="77777777" w:rsidR="00670EDE" w:rsidRPr="008D2A17" w:rsidRDefault="00670EDE" w:rsidP="00DB21B6">
      <w:pPr>
        <w:pStyle w:val="ECCParagraph"/>
      </w:pPr>
      <w:r w:rsidRPr="008D2A17">
        <w:t>Synchronised operation between 5G NR and LTE is technically feasible but may lead to higher latency and reduced flexibility in the UL/DL transmission ratio, although networks could be designed to overcome some of these drawbacks.</w:t>
      </w:r>
    </w:p>
    <w:p w14:paraId="58C830C9" w14:textId="06C0DB71" w:rsidR="0094535F" w:rsidRPr="008D2A17" w:rsidRDefault="00670EDE" w:rsidP="00DB21B6">
      <w:pPr>
        <w:pStyle w:val="ECCParagraph"/>
      </w:pPr>
      <w:r w:rsidRPr="008D2A17">
        <w:t xml:space="preserve">In case of unsynchronised operation of 5G NR and LTE networks, respecting the restricted baseline level for </w:t>
      </w:r>
      <w:r w:rsidR="009B0494" w:rsidRPr="008D2A17">
        <w:rPr>
          <w:rStyle w:val="ECCHLorange"/>
          <w:shd w:val="clear" w:color="auto" w:fill="auto"/>
        </w:rPr>
        <w:t>un</w:t>
      </w:r>
      <w:r w:rsidRPr="008D2A17">
        <w:rPr>
          <w:rStyle w:val="ECCHLorange"/>
          <w:shd w:val="clear" w:color="auto" w:fill="auto"/>
        </w:rPr>
        <w:t>synchronised</w:t>
      </w:r>
      <w:r w:rsidRPr="00BE123F">
        <w:rPr>
          <w:rStyle w:val="ECCHLorange"/>
          <w:shd w:val="clear" w:color="auto" w:fill="auto"/>
        </w:rPr>
        <w:t xml:space="preserve"> </w:t>
      </w:r>
      <w:r w:rsidR="00DB21B6" w:rsidRPr="00BE123F">
        <w:rPr>
          <w:rStyle w:val="ECCHLorange"/>
          <w:shd w:val="clear" w:color="auto" w:fill="auto"/>
        </w:rPr>
        <w:t>ECS WBB</w:t>
      </w:r>
      <w:r w:rsidRPr="00BE123F">
        <w:rPr>
          <w:rStyle w:val="ECCHLorange"/>
          <w:shd w:val="clear" w:color="auto" w:fill="auto"/>
        </w:rPr>
        <w:t xml:space="preserve"> coexistence would be challenging to implement as AAS systems cannot be fitted with additional external filters. </w:t>
      </w:r>
      <w:r w:rsidR="009B0494" w:rsidRPr="008D2A17">
        <w:rPr>
          <w:rStyle w:val="ECCHLorange"/>
          <w:shd w:val="clear" w:color="auto" w:fill="auto"/>
        </w:rPr>
        <w:t>Assuming it would be economically feasible to implement the required additional filters, in addition</w:t>
      </w:r>
      <w:r w:rsidR="0008102F">
        <w:rPr>
          <w:rStyle w:val="ECCHLorange"/>
          <w:shd w:val="clear" w:color="auto" w:fill="auto"/>
        </w:rPr>
        <w:t>,</w:t>
      </w:r>
      <w:r w:rsidR="009B0494" w:rsidRPr="008D2A17">
        <w:rPr>
          <w:rStyle w:val="ECCHLorange"/>
          <w:shd w:val="clear" w:color="auto" w:fill="auto"/>
        </w:rPr>
        <w:t xml:space="preserve"> a</w:t>
      </w:r>
      <w:r w:rsidRPr="00BE123F">
        <w:rPr>
          <w:rStyle w:val="ECCHLorange"/>
          <w:shd w:val="clear" w:color="auto" w:fill="auto"/>
        </w:rPr>
        <w:t xml:space="preserve"> frequency separation is likely to be required</w:t>
      </w:r>
      <w:r w:rsidR="0008102F">
        <w:rPr>
          <w:rStyle w:val="ECCHLorange"/>
          <w:shd w:val="clear" w:color="auto" w:fill="auto"/>
        </w:rPr>
        <w:t>,</w:t>
      </w:r>
      <w:r w:rsidRPr="00BE123F">
        <w:rPr>
          <w:rStyle w:val="ECCHLorange"/>
          <w:shd w:val="clear" w:color="auto" w:fill="auto"/>
        </w:rPr>
        <w:t xml:space="preserve"> and studies should be conducted to </w:t>
      </w:r>
      <w:r w:rsidR="009B0494" w:rsidRPr="008D2A17">
        <w:rPr>
          <w:rStyle w:val="ECCHLorange"/>
          <w:shd w:val="clear" w:color="auto" w:fill="auto"/>
        </w:rPr>
        <w:t xml:space="preserve">confirm the need for such separation and </w:t>
      </w:r>
      <w:r w:rsidRPr="008D2A17">
        <w:rPr>
          <w:rStyle w:val="ECCHLorange"/>
          <w:shd w:val="clear" w:color="auto" w:fill="auto"/>
        </w:rPr>
        <w:t xml:space="preserve">to </w:t>
      </w:r>
      <w:r w:rsidRPr="00BE123F">
        <w:rPr>
          <w:rStyle w:val="ECCHLorange"/>
          <w:shd w:val="clear" w:color="auto" w:fill="auto"/>
        </w:rPr>
        <w:t>determine the width of such frequency separation</w:t>
      </w:r>
      <w:r w:rsidR="009B0494" w:rsidRPr="008D2A17">
        <w:rPr>
          <w:rStyle w:val="ECCHLorange"/>
          <w:shd w:val="clear" w:color="auto" w:fill="auto"/>
        </w:rPr>
        <w:t xml:space="preserve"> (simulations that were carried out </w:t>
      </w:r>
      <w:r w:rsidR="009B0494" w:rsidRPr="008D2A17">
        <w:rPr>
          <w:rStyle w:val="ECCHLorange"/>
          <w:shd w:val="clear" w:color="auto" w:fill="auto"/>
        </w:rPr>
        <w:fldChar w:fldCharType="begin"/>
      </w:r>
      <w:r w:rsidR="009B0494" w:rsidRPr="008D2A17">
        <w:rPr>
          <w:rStyle w:val="ECCHLorange"/>
          <w:shd w:val="clear" w:color="auto" w:fill="auto"/>
        </w:rPr>
        <w:instrText xml:space="preserve"> REF _Ref505354114 \r \h </w:instrText>
      </w:r>
      <w:r w:rsidR="00754AAE" w:rsidRPr="008D2A17">
        <w:rPr>
          <w:rStyle w:val="ECCHLorange"/>
          <w:shd w:val="clear" w:color="auto" w:fill="auto"/>
        </w:rPr>
        <w:instrText xml:space="preserve"> \* MERGEFORMAT </w:instrText>
      </w:r>
      <w:r w:rsidR="009B0494" w:rsidRPr="008D2A17">
        <w:rPr>
          <w:rStyle w:val="ECCHLorange"/>
          <w:shd w:val="clear" w:color="auto" w:fill="auto"/>
        </w:rPr>
      </w:r>
      <w:r w:rsidR="009B0494" w:rsidRPr="008D2A17">
        <w:rPr>
          <w:rStyle w:val="ECCHLorange"/>
          <w:shd w:val="clear" w:color="auto" w:fill="auto"/>
        </w:rPr>
        <w:fldChar w:fldCharType="separate"/>
      </w:r>
      <w:r w:rsidR="00FA5407">
        <w:rPr>
          <w:rStyle w:val="ECCHLorange"/>
          <w:shd w:val="clear" w:color="auto" w:fill="auto"/>
        </w:rPr>
        <w:t>[14]</w:t>
      </w:r>
      <w:r w:rsidR="009B0494" w:rsidRPr="008D2A17">
        <w:rPr>
          <w:rStyle w:val="ECCHLorange"/>
          <w:shd w:val="clear" w:color="auto" w:fill="auto"/>
        </w:rPr>
        <w:fldChar w:fldCharType="end"/>
      </w:r>
      <w:r w:rsidR="009B0494" w:rsidRPr="008D2A17">
        <w:rPr>
          <w:rStyle w:val="ECCHLorange"/>
          <w:shd w:val="clear" w:color="auto" w:fill="auto"/>
        </w:rPr>
        <w:t xml:space="preserve"> for the coexistence between unsynchronised MFCNs at 3400-3800 MHz may provide valuable reference).</w:t>
      </w:r>
    </w:p>
    <w:p w14:paraId="130474B3" w14:textId="77777777" w:rsidR="00AB46DF" w:rsidRPr="008D2A17" w:rsidRDefault="00AD7F41" w:rsidP="007A591F">
      <w:pPr>
        <w:pStyle w:val="ECCParagraph"/>
      </w:pPr>
      <w:r w:rsidRPr="008D2A17">
        <w:t>Cross-border co-ordination can be sufficiently addressed through existing bilateral and multi-lateral procedures, supported by ECC Recommendations. CEPT will work to ensure Recommendations are 5G compatible.</w:t>
      </w:r>
      <w:bookmarkEnd w:id="864"/>
      <w:bookmarkEnd w:id="865"/>
    </w:p>
    <w:p w14:paraId="1D4EA856" w14:textId="2FAF4396" w:rsidR="00AB46DF" w:rsidRPr="008D2A17" w:rsidRDefault="00AB46DF">
      <w:pPr>
        <w:rPr>
          <w:lang w:val="en-GB"/>
        </w:rPr>
        <w:sectPr w:rsidR="00AB46DF" w:rsidRPr="008D2A17">
          <w:headerReference w:type="even" r:id="rId14"/>
          <w:headerReference w:type="default" r:id="rId15"/>
          <w:headerReference w:type="first" r:id="rId16"/>
          <w:pgSz w:w="11907" w:h="16840" w:code="9"/>
          <w:pgMar w:top="1440" w:right="1134" w:bottom="1440" w:left="1134" w:header="709" w:footer="709" w:gutter="0"/>
          <w:cols w:space="708"/>
          <w:docGrid w:linePitch="360"/>
        </w:sectPr>
      </w:pPr>
    </w:p>
    <w:p w14:paraId="6D9CA7EF" w14:textId="77777777" w:rsidR="00C653AD" w:rsidRPr="008D2A17" w:rsidRDefault="003C3EE4" w:rsidP="00BE123F">
      <w:pPr>
        <w:pStyle w:val="ECCAnnexheading1"/>
      </w:pPr>
      <w:bookmarkStart w:id="2084" w:name="_Toc514428355"/>
      <w:bookmarkStart w:id="2085" w:name="_Toc507766119"/>
      <w:r w:rsidRPr="008D2A17">
        <w:lastRenderedPageBreak/>
        <w:t>cept mandate</w:t>
      </w:r>
      <w:bookmarkEnd w:id="2084"/>
      <w:bookmarkEnd w:id="2085"/>
    </w:p>
    <w:tbl>
      <w:tblPr>
        <w:tblW w:w="9469" w:type="dxa"/>
        <w:tblLayout w:type="fixed"/>
        <w:tblCellMar>
          <w:left w:w="0" w:type="dxa"/>
          <w:right w:w="0" w:type="dxa"/>
        </w:tblCellMar>
        <w:tblLook w:val="0000" w:firstRow="0" w:lastRow="0" w:firstColumn="0" w:lastColumn="0" w:noHBand="0" w:noVBand="0"/>
      </w:tblPr>
      <w:tblGrid>
        <w:gridCol w:w="1814"/>
        <w:gridCol w:w="7655"/>
      </w:tblGrid>
      <w:tr w:rsidR="00C653AD" w:rsidRPr="008D2A17" w14:paraId="2924FF6F" w14:textId="77777777" w:rsidTr="005A4985">
        <w:trPr>
          <w:trHeight w:val="1440"/>
        </w:trPr>
        <w:tc>
          <w:tcPr>
            <w:tcW w:w="1814" w:type="dxa"/>
          </w:tcPr>
          <w:p w14:paraId="2DE35A9C" w14:textId="77777777" w:rsidR="00C653AD" w:rsidRPr="008D2A17" w:rsidRDefault="00C653AD" w:rsidP="005A4985">
            <w:pPr>
              <w:widowControl w:val="0"/>
              <w:spacing w:after="240"/>
              <w:ind w:left="720" w:right="-454"/>
              <w:jc w:val="both"/>
              <w:rPr>
                <w:snapToGrid w:val="0"/>
                <w:sz w:val="24"/>
                <w:szCs w:val="20"/>
                <w:lang w:val="en-GB"/>
              </w:rPr>
            </w:pPr>
            <w:r w:rsidRPr="008D2A17">
              <w:rPr>
                <w:noProof/>
                <w:sz w:val="24"/>
                <w:szCs w:val="20"/>
                <w:lang w:val="da-DK" w:eastAsia="da-DK"/>
              </w:rPr>
              <w:drawing>
                <wp:inline distT="0" distB="0" distL="0" distR="0" wp14:anchorId="2FA414DA" wp14:editId="57A5155C">
                  <wp:extent cx="1117600" cy="5461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546100"/>
                          </a:xfrm>
                          <a:prstGeom prst="rect">
                            <a:avLst/>
                          </a:prstGeom>
                          <a:noFill/>
                          <a:ln>
                            <a:noFill/>
                          </a:ln>
                        </pic:spPr>
                      </pic:pic>
                    </a:graphicData>
                  </a:graphic>
                </wp:inline>
              </w:drawing>
            </w:r>
          </w:p>
        </w:tc>
        <w:tc>
          <w:tcPr>
            <w:tcW w:w="7655" w:type="dxa"/>
          </w:tcPr>
          <w:p w14:paraId="0617E3F9" w14:textId="77777777" w:rsidR="00C653AD" w:rsidRPr="008D2A17" w:rsidRDefault="00C653AD" w:rsidP="005A4985">
            <w:pPr>
              <w:pStyle w:val="ZCom"/>
              <w:ind w:right="-454"/>
            </w:pPr>
            <w:r w:rsidRPr="008D2A17">
              <w:t>EUROPEAN COMMISSION</w:t>
            </w:r>
          </w:p>
          <w:p w14:paraId="5D917E01" w14:textId="77777777" w:rsidR="00C653AD" w:rsidRPr="008D2A17" w:rsidRDefault="00C653AD" w:rsidP="005A4985">
            <w:pPr>
              <w:pStyle w:val="ZDGName"/>
              <w:ind w:right="-454"/>
            </w:pPr>
            <w:r w:rsidRPr="008D2A17">
              <w:t>Communications Networks Content &amp; Technology Directorate-General</w:t>
            </w:r>
          </w:p>
          <w:p w14:paraId="319BCF32" w14:textId="77777777" w:rsidR="00C653AD" w:rsidRPr="008D2A17" w:rsidRDefault="00C653AD" w:rsidP="005A4985">
            <w:pPr>
              <w:pStyle w:val="ZDGName"/>
              <w:ind w:right="-454"/>
            </w:pPr>
          </w:p>
          <w:p w14:paraId="41687B0B" w14:textId="77777777" w:rsidR="00C653AD" w:rsidRPr="008D2A17" w:rsidRDefault="00C653AD" w:rsidP="005A4985">
            <w:pPr>
              <w:pStyle w:val="ZDGName"/>
              <w:ind w:right="-454"/>
            </w:pPr>
            <w:r w:rsidRPr="008D2A17">
              <w:t>Electronic Communications Networks &amp; Services</w:t>
            </w:r>
          </w:p>
          <w:p w14:paraId="60453294" w14:textId="77777777" w:rsidR="00C653AD" w:rsidRPr="008D2A17" w:rsidRDefault="00C653AD" w:rsidP="005A4985">
            <w:pPr>
              <w:pStyle w:val="ZDGName"/>
              <w:widowControl/>
              <w:rPr>
                <w:rFonts w:ascii="Helvetica" w:hAnsi="Helvetica"/>
                <w:b/>
              </w:rPr>
            </w:pPr>
            <w:r w:rsidRPr="008D2A17">
              <w:rPr>
                <w:b/>
              </w:rPr>
              <w:t xml:space="preserve">Spectrum </w:t>
            </w:r>
          </w:p>
          <w:p w14:paraId="59B252F2" w14:textId="77777777" w:rsidR="00C653AD" w:rsidRPr="008D2A17" w:rsidRDefault="00C653AD" w:rsidP="005A4985">
            <w:pPr>
              <w:widowControl w:val="0"/>
              <w:spacing w:after="240"/>
              <w:ind w:left="720" w:right="-454"/>
              <w:jc w:val="both"/>
              <w:rPr>
                <w:snapToGrid w:val="0"/>
                <w:sz w:val="16"/>
                <w:szCs w:val="20"/>
                <w:lang w:val="en-GB"/>
              </w:rPr>
            </w:pPr>
          </w:p>
        </w:tc>
      </w:tr>
    </w:tbl>
    <w:p w14:paraId="0B67FFEC" w14:textId="77777777" w:rsidR="00C653AD" w:rsidRPr="008D2A17" w:rsidRDefault="00C653AD" w:rsidP="00C653AD">
      <w:pPr>
        <w:ind w:left="5103" w:right="-567"/>
        <w:rPr>
          <w:rFonts w:ascii="Times New Roman" w:hAnsi="Times New Roman"/>
          <w:sz w:val="24"/>
          <w:szCs w:val="20"/>
          <w:lang w:val="en-GB" w:eastAsia="fr-BE"/>
        </w:rPr>
      </w:pPr>
      <w:r w:rsidRPr="008D2A17">
        <w:rPr>
          <w:rFonts w:ascii="Times New Roman" w:hAnsi="Times New Roman"/>
          <w:sz w:val="24"/>
          <w:szCs w:val="20"/>
          <w:lang w:val="en-GB" w:eastAsia="fr-BE"/>
        </w:rPr>
        <w:t>Brussels, 7 December 2016</w:t>
      </w:r>
    </w:p>
    <w:p w14:paraId="2FD1B5DC" w14:textId="77777777" w:rsidR="00C653AD" w:rsidRPr="008D2A17" w:rsidRDefault="00C653AD" w:rsidP="00C653AD">
      <w:pPr>
        <w:spacing w:after="240"/>
        <w:ind w:left="5103"/>
        <w:rPr>
          <w:rFonts w:ascii="Times New Roman" w:hAnsi="Times New Roman"/>
          <w:sz w:val="24"/>
          <w:lang w:val="en-GB" w:eastAsia="fr-BE"/>
        </w:rPr>
      </w:pPr>
      <w:r w:rsidRPr="008D2A17">
        <w:rPr>
          <w:rFonts w:ascii="Times New Roman" w:hAnsi="Times New Roman"/>
          <w:sz w:val="24"/>
          <w:lang w:val="en-GB" w:eastAsia="fr-BE"/>
        </w:rPr>
        <w:t>DG CONNECT/B4</w:t>
      </w:r>
    </w:p>
    <w:p w14:paraId="1B3A8A72" w14:textId="77777777" w:rsidR="00C653AD" w:rsidRPr="008D2A17" w:rsidRDefault="00C653AD" w:rsidP="00C653AD">
      <w:pPr>
        <w:spacing w:before="240" w:after="600"/>
        <w:ind w:left="5103"/>
        <w:rPr>
          <w:rFonts w:ascii="Times New Roman" w:hAnsi="Times New Roman"/>
          <w:b/>
          <w:sz w:val="24"/>
          <w:szCs w:val="20"/>
          <w:lang w:val="en-GB" w:eastAsia="fr-BE"/>
        </w:rPr>
      </w:pPr>
      <w:r w:rsidRPr="008D2A17">
        <w:rPr>
          <w:rFonts w:ascii="Times New Roman" w:hAnsi="Times New Roman"/>
          <w:b/>
          <w:sz w:val="24"/>
          <w:szCs w:val="20"/>
          <w:lang w:val="en-GB" w:eastAsia="fr-BE"/>
        </w:rPr>
        <w:t>RSCOM16-40rev3</w:t>
      </w:r>
    </w:p>
    <w:p w14:paraId="2FDE02DE" w14:textId="77777777" w:rsidR="00C653AD" w:rsidRPr="008D2A17" w:rsidRDefault="00C653AD" w:rsidP="00C653AD">
      <w:pPr>
        <w:pBdr>
          <w:top w:val="double" w:sz="4" w:space="1" w:color="auto"/>
          <w:left w:val="double" w:sz="4" w:space="4" w:color="auto"/>
          <w:bottom w:val="double" w:sz="4" w:space="1" w:color="auto"/>
          <w:right w:val="double" w:sz="4" w:space="4" w:color="auto"/>
        </w:pBdr>
        <w:spacing w:after="720"/>
        <w:ind w:left="5103"/>
        <w:jc w:val="center"/>
        <w:rPr>
          <w:rFonts w:ascii="Times New Roman" w:hAnsi="Times New Roman"/>
          <w:b/>
          <w:sz w:val="24"/>
          <w:szCs w:val="20"/>
          <w:lang w:val="en-GB" w:eastAsia="fr-BE"/>
        </w:rPr>
      </w:pPr>
      <w:r w:rsidRPr="008D2A17">
        <w:rPr>
          <w:rFonts w:ascii="Times New Roman" w:hAnsi="Times New Roman"/>
          <w:b/>
          <w:sz w:val="24"/>
          <w:szCs w:val="20"/>
          <w:lang w:val="en-GB" w:eastAsia="fr-BE"/>
        </w:rPr>
        <w:br/>
        <w:t>PUBLIC</w:t>
      </w:r>
      <w:r w:rsidRPr="008D2A17">
        <w:rPr>
          <w:rFonts w:ascii="Times New Roman" w:hAnsi="Times New Roman"/>
          <w:b/>
          <w:sz w:val="24"/>
          <w:szCs w:val="20"/>
          <w:lang w:val="en-GB" w:eastAsia="fr-BE"/>
        </w:rPr>
        <w:br/>
      </w:r>
    </w:p>
    <w:p w14:paraId="7320D51D" w14:textId="77777777" w:rsidR="00C653AD" w:rsidRPr="008D2A17" w:rsidRDefault="00C653AD" w:rsidP="00C653AD">
      <w:pPr>
        <w:pStyle w:val="AddressTR"/>
        <w:jc w:val="center"/>
        <w:rPr>
          <w:b/>
        </w:rPr>
      </w:pPr>
    </w:p>
    <w:p w14:paraId="4D9CAAE7" w14:textId="71C09A8B" w:rsidR="00C653AD" w:rsidRPr="008D2A17" w:rsidRDefault="00C653AD" w:rsidP="00C653AD">
      <w:pPr>
        <w:spacing w:after="240"/>
        <w:jc w:val="center"/>
        <w:rPr>
          <w:rFonts w:ascii="Times New Roman" w:hAnsi="Times New Roman"/>
          <w:b/>
          <w:sz w:val="32"/>
          <w:szCs w:val="20"/>
          <w:lang w:val="en-GB" w:eastAsia="fr-BE"/>
        </w:rPr>
      </w:pPr>
      <w:r w:rsidRPr="008D2A17">
        <w:rPr>
          <w:rFonts w:ascii="Times New Roman" w:hAnsi="Times New Roman"/>
          <w:b/>
          <w:sz w:val="32"/>
          <w:szCs w:val="20"/>
          <w:lang w:val="en-GB" w:eastAsia="fr-BE"/>
        </w:rPr>
        <w:t>RADIO SPECTRUM COMMITTEE</w:t>
      </w:r>
    </w:p>
    <w:p w14:paraId="0E553304" w14:textId="77777777" w:rsidR="00C653AD" w:rsidRPr="008D2A17" w:rsidRDefault="00C653AD" w:rsidP="00C653AD">
      <w:pPr>
        <w:spacing w:after="240"/>
        <w:jc w:val="center"/>
        <w:rPr>
          <w:rFonts w:ascii="Times New Roman" w:hAnsi="Times New Roman"/>
          <w:b/>
          <w:sz w:val="28"/>
          <w:szCs w:val="20"/>
          <w:lang w:val="en-GB" w:eastAsia="fr-BE"/>
        </w:rPr>
      </w:pPr>
      <w:r w:rsidRPr="008D2A17">
        <w:rPr>
          <w:rFonts w:ascii="Times New Roman" w:hAnsi="Times New Roman"/>
          <w:b/>
          <w:sz w:val="28"/>
          <w:szCs w:val="20"/>
          <w:lang w:val="en-GB" w:eastAsia="fr-BE"/>
        </w:rPr>
        <w:t>Working Document</w:t>
      </w:r>
    </w:p>
    <w:p w14:paraId="7592E4C9" w14:textId="77777777" w:rsidR="00C653AD" w:rsidRPr="008D2A17" w:rsidRDefault="00C653AD" w:rsidP="00C653AD">
      <w:pPr>
        <w:pBdr>
          <w:top w:val="double" w:sz="4" w:space="1" w:color="auto"/>
          <w:left w:val="double" w:sz="4" w:space="4" w:color="auto"/>
          <w:bottom w:val="double" w:sz="4" w:space="5" w:color="auto"/>
          <w:right w:val="double" w:sz="4" w:space="4" w:color="auto"/>
        </w:pBdr>
        <w:tabs>
          <w:tab w:val="center" w:pos="4308"/>
          <w:tab w:val="left" w:pos="7035"/>
        </w:tabs>
        <w:spacing w:after="240"/>
        <w:jc w:val="center"/>
        <w:rPr>
          <w:rFonts w:ascii="Times New Roman" w:hAnsi="Times New Roman"/>
          <w:b/>
          <w:sz w:val="28"/>
          <w:szCs w:val="20"/>
          <w:lang w:val="en-GB" w:eastAsia="fr-BE"/>
        </w:rPr>
      </w:pPr>
      <w:r w:rsidRPr="008D2A17">
        <w:rPr>
          <w:rFonts w:ascii="Times New Roman" w:hAnsi="Times New Roman"/>
          <w:b/>
          <w:sz w:val="28"/>
          <w:szCs w:val="20"/>
          <w:lang w:val="en-GB" w:eastAsia="fr-BE"/>
        </w:rPr>
        <w:t xml:space="preserve">Opinion of the RSC </w:t>
      </w:r>
      <w:r w:rsidRPr="008D2A17">
        <w:rPr>
          <w:rFonts w:ascii="Times New Roman" w:hAnsi="Times New Roman"/>
          <w:b/>
          <w:sz w:val="28"/>
          <w:szCs w:val="20"/>
          <w:lang w:val="en-GB" w:eastAsia="fr-BE"/>
        </w:rPr>
        <w:br/>
        <w:t>pursuant to Advisory Procedure under Article 4 of Regulation 182/2011/EU and Article 4.2 of Radio Spectrum Decision 676/2002/EC</w:t>
      </w:r>
    </w:p>
    <w:p w14:paraId="1F5FE609" w14:textId="77777777" w:rsidR="00C653AD" w:rsidRPr="008D2A17" w:rsidRDefault="00C653AD" w:rsidP="00C653AD">
      <w:pPr>
        <w:spacing w:before="240" w:after="240"/>
        <w:ind w:left="1418" w:hanging="1418"/>
        <w:jc w:val="both"/>
        <w:rPr>
          <w:rFonts w:ascii="Times New Roman" w:hAnsi="Times New Roman"/>
          <w:b/>
          <w:sz w:val="24"/>
          <w:szCs w:val="20"/>
          <w:lang w:val="en-GB" w:eastAsia="fr-BE"/>
        </w:rPr>
      </w:pPr>
      <w:r w:rsidRPr="008D2A17">
        <w:rPr>
          <w:rFonts w:ascii="Times New Roman" w:hAnsi="Times New Roman"/>
          <w:b/>
          <w:sz w:val="24"/>
          <w:szCs w:val="20"/>
          <w:lang w:val="en-GB" w:eastAsia="fr-BE"/>
        </w:rPr>
        <w:t>Subject:</w:t>
      </w:r>
      <w:r w:rsidRPr="008D2A17">
        <w:rPr>
          <w:rFonts w:ascii="Times New Roman" w:hAnsi="Times New Roman"/>
          <w:b/>
          <w:sz w:val="24"/>
          <w:szCs w:val="20"/>
          <w:lang w:val="en-GB" w:eastAsia="fr-BE"/>
        </w:rPr>
        <w:tab/>
        <w:t>Mandate to CEPT to develop harmonised technical conditions for spectrum use in support of the introduction of next-generation (5G) terrestrial wireless systems in the Union</w:t>
      </w:r>
    </w:p>
    <w:p w14:paraId="3D08BA37" w14:textId="77777777" w:rsidR="00C653AD" w:rsidRPr="008D2A17" w:rsidRDefault="00C653AD" w:rsidP="00C653AD">
      <w:pPr>
        <w:spacing w:after="240"/>
        <w:jc w:val="both"/>
        <w:rPr>
          <w:rFonts w:ascii="Times New Roman" w:hAnsi="Times New Roman"/>
          <w:sz w:val="24"/>
          <w:szCs w:val="20"/>
          <w:lang w:val="en-GB" w:eastAsia="fr-BE"/>
        </w:rPr>
      </w:pPr>
    </w:p>
    <w:p w14:paraId="12DCACBF" w14:textId="77777777" w:rsidR="00C653AD" w:rsidRPr="008D2A17" w:rsidRDefault="00C653AD" w:rsidP="00C653AD">
      <w:pPr>
        <w:pBdr>
          <w:top w:val="single" w:sz="4" w:space="1" w:color="auto"/>
          <w:left w:val="single" w:sz="4" w:space="4" w:color="auto"/>
          <w:bottom w:val="single" w:sz="4" w:space="1" w:color="auto"/>
          <w:right w:val="single" w:sz="4" w:space="4" w:color="auto"/>
        </w:pBdr>
        <w:spacing w:after="240"/>
        <w:jc w:val="center"/>
        <w:rPr>
          <w:rFonts w:ascii="Times New Roman" w:hAnsi="Times New Roman"/>
          <w:i/>
          <w:snapToGrid w:val="0"/>
          <w:sz w:val="24"/>
          <w:szCs w:val="20"/>
          <w:lang w:val="en-GB"/>
        </w:rPr>
      </w:pPr>
      <w:r w:rsidRPr="008D2A17">
        <w:rPr>
          <w:rFonts w:ascii="Times New Roman" w:hAnsi="Times New Roman"/>
          <w:i/>
          <w:snapToGrid w:val="0"/>
          <w:sz w:val="24"/>
          <w:szCs w:val="20"/>
          <w:lang w:val="en-GB"/>
        </w:rPr>
        <w:t>This is a Committee working document which does not necessarily reflect the official position of the Commission. No inferences should be drawn from this document as to the precise form or content of future measures to be submitted by the Commission. The Commission accepts no responsibility or liability whatsoever with regard to any information or data referred to in this document.</w:t>
      </w:r>
    </w:p>
    <w:p w14:paraId="36DBC9EB" w14:textId="77777777" w:rsidR="00C653AD" w:rsidRPr="008D2A17" w:rsidRDefault="00C653AD" w:rsidP="00C653AD">
      <w:pPr>
        <w:spacing w:after="240"/>
        <w:jc w:val="center"/>
        <w:rPr>
          <w:rFonts w:ascii="Times New Roman" w:hAnsi="Times New Roman"/>
          <w:b/>
          <w:sz w:val="24"/>
          <w:szCs w:val="20"/>
          <w:lang w:val="en-GB" w:eastAsia="fr-BE"/>
        </w:rPr>
        <w:sectPr w:rsidR="00C653AD" w:rsidRPr="008D2A17">
          <w:headerReference w:type="default" r:id="rId18"/>
          <w:footerReference w:type="even" r:id="rId19"/>
          <w:footerReference w:type="default" r:id="rId20"/>
          <w:footerReference w:type="first" r:id="rId21"/>
          <w:pgSz w:w="11906" w:h="16838"/>
          <w:pgMar w:top="1020" w:right="1701" w:bottom="1020" w:left="1587" w:header="601" w:footer="1077" w:gutter="0"/>
          <w:cols w:space="720"/>
          <w:titlePg/>
        </w:sectPr>
      </w:pPr>
    </w:p>
    <w:p w14:paraId="28DE0E7F" w14:textId="77777777" w:rsidR="00C653AD" w:rsidRPr="008D2A17" w:rsidRDefault="00C653AD" w:rsidP="00C653AD">
      <w:pPr>
        <w:spacing w:after="120"/>
        <w:jc w:val="center"/>
        <w:rPr>
          <w:rFonts w:ascii="Times New Roman" w:hAnsi="Times New Roman"/>
          <w:b/>
          <w:smallCaps/>
          <w:sz w:val="24"/>
          <w:szCs w:val="20"/>
          <w:lang w:val="en-GB" w:eastAsia="fr-BE"/>
        </w:rPr>
      </w:pPr>
      <w:r w:rsidRPr="008D2A17">
        <w:rPr>
          <w:rFonts w:ascii="Times New Roman" w:hAnsi="Times New Roman"/>
          <w:b/>
          <w:smallCaps/>
          <w:sz w:val="24"/>
          <w:szCs w:val="20"/>
          <w:lang w:val="en-GB" w:eastAsia="fr-BE"/>
        </w:rPr>
        <w:lastRenderedPageBreak/>
        <w:t>Mandate to CEPT</w:t>
      </w:r>
    </w:p>
    <w:p w14:paraId="69DED49B" w14:textId="77777777" w:rsidR="00C653AD" w:rsidRPr="008D2A17" w:rsidRDefault="00C653AD" w:rsidP="00C653AD">
      <w:pPr>
        <w:spacing w:after="360"/>
        <w:jc w:val="center"/>
        <w:rPr>
          <w:rFonts w:ascii="Times New Roman" w:hAnsi="Times New Roman"/>
          <w:sz w:val="24"/>
          <w:szCs w:val="20"/>
          <w:lang w:val="en-GB" w:eastAsia="fr-BE"/>
        </w:rPr>
      </w:pPr>
      <w:r w:rsidRPr="008D2A17">
        <w:rPr>
          <w:rFonts w:ascii="Times New Roman" w:hAnsi="Times New Roman"/>
          <w:b/>
          <w:smallCaps/>
          <w:sz w:val="24"/>
          <w:szCs w:val="20"/>
          <w:lang w:val="en-GB" w:eastAsia="fr-BE"/>
        </w:rPr>
        <w:t xml:space="preserve"> </w:t>
      </w:r>
      <w:r w:rsidRPr="008D2A17">
        <w:rPr>
          <w:rFonts w:ascii="Times New Roman" w:hAnsi="Times New Roman"/>
          <w:b/>
          <w:smallCaps/>
          <w:sz w:val="24"/>
          <w:szCs w:val="20"/>
          <w:lang w:val="en-GB" w:eastAsia="fr-BE"/>
        </w:rPr>
        <w:br/>
        <w:t>to develop harmonised technical conditions for spectrum use in support of the introduction of next-generation (5G) terrestrial wireless systems in the Union</w:t>
      </w:r>
    </w:p>
    <w:p w14:paraId="248F4089" w14:textId="77777777" w:rsidR="00C653AD" w:rsidRPr="008D2A17" w:rsidRDefault="00C653AD" w:rsidP="00C653AD">
      <w:pPr>
        <w:pStyle w:val="Text"/>
        <w:rPr>
          <w:rFonts w:ascii="Times New Roman" w:hAnsi="Times New Roman"/>
          <w:sz w:val="24"/>
          <w:szCs w:val="24"/>
          <w:lang w:val="en-GB"/>
        </w:rPr>
      </w:pPr>
      <w:bookmarkStart w:id="2086" w:name="_Toc479675619"/>
      <w:r w:rsidRPr="008D2A17">
        <w:rPr>
          <w:rFonts w:ascii="Times New Roman" w:hAnsi="Times New Roman"/>
          <w:sz w:val="24"/>
          <w:szCs w:val="24"/>
          <w:lang w:val="en-GB"/>
        </w:rPr>
        <w:t>Purpose</w:t>
      </w:r>
      <w:bookmarkEnd w:id="2086"/>
      <w:r w:rsidRPr="008D2A17">
        <w:rPr>
          <w:rFonts w:ascii="Times New Roman" w:hAnsi="Times New Roman"/>
          <w:sz w:val="24"/>
          <w:szCs w:val="24"/>
          <w:lang w:val="en-GB"/>
        </w:rPr>
        <w:t xml:space="preserve"> </w:t>
      </w:r>
    </w:p>
    <w:p w14:paraId="26AB95C6" w14:textId="77777777" w:rsidR="00C653AD" w:rsidRPr="008D2A17" w:rsidRDefault="00C653AD" w:rsidP="00C653AD">
      <w:pPr>
        <w:spacing w:after="240"/>
        <w:jc w:val="both"/>
        <w:rPr>
          <w:rFonts w:ascii="Times New Roman" w:hAnsi="Times New Roman"/>
          <w:sz w:val="24"/>
          <w:szCs w:val="20"/>
          <w:lang w:val="en-GB" w:eastAsia="fr-BE"/>
        </w:rPr>
      </w:pPr>
      <w:r w:rsidRPr="008D2A17">
        <w:rPr>
          <w:rFonts w:ascii="Times New Roman" w:hAnsi="Times New Roman"/>
          <w:sz w:val="24"/>
          <w:szCs w:val="20"/>
          <w:lang w:val="en-GB" w:eastAsia="fr-BE"/>
        </w:rPr>
        <w:t xml:space="preserve">This Mandate should deliver harmonised technical conditions, including sharing conditions wherever needed, which are suitable for the initial launch (by the year 2020) of next-generation (5G) terrestrial wireless systems in the Union, in selected frequency bands. These conditions should comply with the overarching Union spectrum policy principles of technology and service neutrality and efficient use. In particular, they should ensure the (continued) provision of wireless broadband electronic communications services including relevant 5G usage scenarios such as wireless broadband or the Internet of Things. 5G terrestrial wireless systems are likely to operate both, in existing EU-harmonised frequency bands below 6 GHz and in pioneer frequency bands above 24 GHz. </w:t>
      </w:r>
    </w:p>
    <w:p w14:paraId="1F9D83C8" w14:textId="04F5CA86" w:rsidR="00C653AD" w:rsidRPr="008D2A17" w:rsidRDefault="00C653AD" w:rsidP="00C653AD">
      <w:pPr>
        <w:spacing w:after="240"/>
        <w:jc w:val="both"/>
        <w:rPr>
          <w:rFonts w:ascii="Times New Roman" w:hAnsi="Times New Roman"/>
          <w:sz w:val="24"/>
          <w:szCs w:val="20"/>
          <w:lang w:val="en-GB" w:eastAsia="fr-BE"/>
        </w:rPr>
      </w:pPr>
      <w:r w:rsidRPr="008D2A17">
        <w:rPr>
          <w:rFonts w:ascii="Times New Roman" w:hAnsi="Times New Roman"/>
          <w:sz w:val="24"/>
          <w:szCs w:val="20"/>
          <w:lang w:val="en-GB" w:eastAsia="fr-BE"/>
        </w:rPr>
        <w:t xml:space="preserve">Timely availability of spectrum designated to 5G in the Union is </w:t>
      </w:r>
      <w:proofErr w:type="gramStart"/>
      <w:r w:rsidRPr="008D2A17">
        <w:rPr>
          <w:rFonts w:ascii="Times New Roman" w:hAnsi="Times New Roman"/>
          <w:sz w:val="24"/>
          <w:szCs w:val="20"/>
          <w:lang w:val="en-GB" w:eastAsia="fr-BE"/>
        </w:rPr>
        <w:t>key</w:t>
      </w:r>
      <w:proofErr w:type="gramEnd"/>
      <w:r w:rsidRPr="008D2A17">
        <w:rPr>
          <w:rFonts w:ascii="Times New Roman" w:hAnsi="Times New Roman"/>
          <w:sz w:val="24"/>
          <w:szCs w:val="20"/>
          <w:lang w:val="en-GB" w:eastAsia="fr-BE"/>
        </w:rPr>
        <w:t xml:space="preserve"> for keeping up with the pace of global 5G developments and early infrastructure deployment</w:t>
      </w:r>
      <w:r w:rsidRPr="008D2A17">
        <w:rPr>
          <w:rFonts w:ascii="Times New Roman" w:hAnsi="Times New Roman"/>
          <w:sz w:val="24"/>
          <w:szCs w:val="20"/>
          <w:vertAlign w:val="superscript"/>
          <w:lang w:val="en-GB" w:eastAsia="fr-BE"/>
        </w:rPr>
        <w:footnoteReference w:id="12"/>
      </w:r>
      <w:r w:rsidRPr="008D2A17">
        <w:rPr>
          <w:rFonts w:ascii="Times New Roman" w:hAnsi="Times New Roman"/>
          <w:sz w:val="24"/>
          <w:szCs w:val="20"/>
          <w:lang w:val="en-GB" w:eastAsia="fr-BE"/>
        </w:rPr>
        <w:t>. Therefore, timely deliverables under this Mandate are needed with focus on early available ('pioneer') frequency bands, in order to enable their harmonisation and use for 5G terrestrial wireless systems in the Union. Depending on the evolving assessment of 5G spectrum needs at Union level as well as international developments, the Commission may consider one or more follow-up mandates to CEPT.</w:t>
      </w:r>
    </w:p>
    <w:p w14:paraId="78D541A1" w14:textId="77777777" w:rsidR="00C653AD" w:rsidRPr="008D2A17" w:rsidRDefault="00C653AD" w:rsidP="0062167A">
      <w:pPr>
        <w:pStyle w:val="ListParagraph"/>
        <w:keepNext/>
        <w:numPr>
          <w:ilvl w:val="0"/>
          <w:numId w:val="18"/>
        </w:numPr>
        <w:tabs>
          <w:tab w:val="num" w:pos="480"/>
        </w:tabs>
        <w:spacing w:before="240" w:after="240"/>
        <w:jc w:val="both"/>
        <w:outlineLvl w:val="0"/>
        <w:rPr>
          <w:rFonts w:ascii="Times New Roman" w:hAnsi="Times New Roman"/>
          <w:b/>
          <w:smallCaps/>
          <w:sz w:val="24"/>
          <w:szCs w:val="20"/>
          <w:lang w:val="en-GB"/>
        </w:rPr>
      </w:pPr>
      <w:bookmarkStart w:id="2087" w:name="_Toc479675620"/>
      <w:bookmarkStart w:id="2088" w:name="_Toc514428356"/>
      <w:bookmarkStart w:id="2089" w:name="_Toc507766120"/>
      <w:r w:rsidRPr="008D2A17">
        <w:rPr>
          <w:rFonts w:ascii="Times New Roman" w:hAnsi="Times New Roman"/>
          <w:b/>
          <w:smallCaps/>
          <w:sz w:val="24"/>
          <w:szCs w:val="20"/>
          <w:lang w:val="en-GB"/>
        </w:rPr>
        <w:t>Policy context and inputs</w:t>
      </w:r>
      <w:bookmarkEnd w:id="2087"/>
      <w:bookmarkEnd w:id="2088"/>
      <w:bookmarkEnd w:id="2089"/>
      <w:r w:rsidRPr="008D2A17">
        <w:rPr>
          <w:rFonts w:ascii="Times New Roman" w:hAnsi="Times New Roman"/>
          <w:b/>
          <w:smallCaps/>
          <w:sz w:val="24"/>
          <w:szCs w:val="20"/>
          <w:lang w:val="en-GB"/>
        </w:rPr>
        <w:t xml:space="preserve"> </w:t>
      </w:r>
    </w:p>
    <w:p w14:paraId="2843C39D" w14:textId="77777777" w:rsidR="00C653AD" w:rsidRPr="008D2A17" w:rsidRDefault="00C653AD" w:rsidP="00C653AD">
      <w:pPr>
        <w:spacing w:after="240"/>
        <w:jc w:val="both"/>
        <w:rPr>
          <w:rFonts w:ascii="Times New Roman" w:hAnsi="Times New Roman"/>
          <w:sz w:val="24"/>
          <w:szCs w:val="20"/>
          <w:lang w:val="en-GB" w:eastAsia="fr-BE"/>
        </w:rPr>
      </w:pPr>
      <w:r w:rsidRPr="008D2A17">
        <w:rPr>
          <w:rFonts w:ascii="Times New Roman" w:hAnsi="Times New Roman"/>
          <w:sz w:val="24"/>
          <w:szCs w:val="20"/>
          <w:lang w:val="en-GB" w:eastAsia="fr-BE"/>
        </w:rPr>
        <w:t>The ITU-R vision for the next-generation mobile telecommunications</w:t>
      </w:r>
      <w:bookmarkStart w:id="2090" w:name="_Ref454892478"/>
      <w:r w:rsidRPr="008D2A17">
        <w:rPr>
          <w:rFonts w:ascii="Times New Roman" w:hAnsi="Times New Roman"/>
          <w:sz w:val="24"/>
          <w:szCs w:val="20"/>
          <w:vertAlign w:val="superscript"/>
          <w:lang w:val="en-GB" w:eastAsia="fr-BE"/>
        </w:rPr>
        <w:footnoteReference w:id="13"/>
      </w:r>
      <w:bookmarkEnd w:id="2090"/>
      <w:r w:rsidRPr="008D2A17">
        <w:rPr>
          <w:rFonts w:ascii="Times New Roman" w:hAnsi="Times New Roman"/>
          <w:sz w:val="24"/>
          <w:szCs w:val="20"/>
          <w:lang w:val="en-GB" w:eastAsia="fr-BE"/>
        </w:rPr>
        <w:t xml:space="preserve"> outlines three major 5G usage scenarios for the time frame of 2020 and beyond – enhanced mobile broadband (eMBB), massive machine type communications (mMTC), and ultra-reliable and low latency communications (URLLC). Furthermore, WRC-15 initiated studies on a list of potential additional frequency bands for next-generation (5G) terrestrial wireless systems within the 24.25-86 GHz frequency range</w:t>
      </w:r>
      <w:r w:rsidRPr="008D2A17">
        <w:rPr>
          <w:rFonts w:ascii="Times New Roman" w:hAnsi="Times New Roman"/>
          <w:sz w:val="24"/>
          <w:szCs w:val="20"/>
          <w:vertAlign w:val="superscript"/>
          <w:lang w:val="en-GB" w:eastAsia="fr-BE"/>
        </w:rPr>
        <w:footnoteReference w:id="14"/>
      </w:r>
      <w:r w:rsidRPr="008D2A17">
        <w:rPr>
          <w:rFonts w:ascii="Times New Roman" w:hAnsi="Times New Roman"/>
          <w:sz w:val="24"/>
          <w:szCs w:val="20"/>
          <w:lang w:val="en-GB" w:eastAsia="fr-BE"/>
        </w:rPr>
        <w:t xml:space="preserve">, which should provide deliverables to enable WRC-19 to take a decision under agenda item 1.13 with a focus on global harmonisation. </w:t>
      </w:r>
    </w:p>
    <w:p w14:paraId="4AB416E8" w14:textId="77777777" w:rsidR="00C653AD" w:rsidRPr="008D2A17" w:rsidRDefault="00C653AD" w:rsidP="00C653AD">
      <w:pPr>
        <w:spacing w:after="240"/>
        <w:jc w:val="both"/>
        <w:rPr>
          <w:rFonts w:ascii="Times New Roman" w:hAnsi="Times New Roman"/>
          <w:sz w:val="24"/>
          <w:szCs w:val="20"/>
          <w:lang w:val="en-GB" w:eastAsia="fr-BE"/>
        </w:rPr>
      </w:pPr>
      <w:r w:rsidRPr="008D2A17">
        <w:rPr>
          <w:rFonts w:ascii="Times New Roman" w:hAnsi="Times New Roman"/>
          <w:sz w:val="24"/>
          <w:szCs w:val="20"/>
          <w:lang w:val="en-GB" w:eastAsia="fr-BE"/>
        </w:rPr>
        <w:t>The 5G Infrastructure Public Private Partnership (5G-PPP)</w:t>
      </w:r>
      <w:r w:rsidRPr="008D2A17">
        <w:rPr>
          <w:rFonts w:ascii="Times New Roman" w:hAnsi="Times New Roman"/>
          <w:sz w:val="24"/>
          <w:szCs w:val="20"/>
          <w:vertAlign w:val="superscript"/>
          <w:lang w:val="en-GB" w:eastAsia="fr-BE"/>
        </w:rPr>
        <w:footnoteReference w:id="15"/>
      </w:r>
      <w:r w:rsidRPr="008D2A17">
        <w:rPr>
          <w:rFonts w:ascii="Times New Roman" w:hAnsi="Times New Roman"/>
          <w:sz w:val="24"/>
          <w:szCs w:val="20"/>
          <w:lang w:val="en-GB" w:eastAsia="fr-BE"/>
        </w:rPr>
        <w:t xml:space="preserve"> was launched by the European Commission in 2013 with the goal to develop 5G communication systems and services for the provision of ubiquitous super-fast connectivity and seamless service delivery and thus to foster European leadership in technology and standardisation. The 5G-PPP Infrastructure Association (IA) has delivered concept papers</w:t>
      </w:r>
      <w:r w:rsidRPr="008D2A17">
        <w:rPr>
          <w:rFonts w:ascii="Times New Roman" w:hAnsi="Times New Roman"/>
          <w:sz w:val="24"/>
          <w:szCs w:val="20"/>
          <w:vertAlign w:val="superscript"/>
          <w:lang w:val="en-GB" w:eastAsia="fr-BE"/>
        </w:rPr>
        <w:footnoteReference w:id="16"/>
      </w:r>
      <w:r w:rsidRPr="008D2A17">
        <w:rPr>
          <w:rFonts w:ascii="Times New Roman" w:hAnsi="Times New Roman"/>
          <w:sz w:val="24"/>
          <w:szCs w:val="20"/>
          <w:lang w:val="en-GB" w:eastAsia="fr-BE"/>
        </w:rPr>
        <w:t xml:space="preserve"> on a 5G vision as well as on the significance of novel use cases </w:t>
      </w:r>
      <w:r w:rsidRPr="008D2A17">
        <w:rPr>
          <w:rFonts w:ascii="Times New Roman" w:hAnsi="Times New Roman"/>
          <w:sz w:val="24"/>
          <w:szCs w:val="20"/>
          <w:lang w:val="en-GB" w:eastAsia="fr-BE"/>
        </w:rPr>
        <w:lastRenderedPageBreak/>
        <w:t>originating from connectivity to specific vertical sectors (such as transport, healthcare or media). In terms of spectrum, the 5G-PPP IA emphasizes the need for very wide contiguous carrier bandwidths (e.g. hundreds of MHz up to several GHz) to be provided at a very high overall system capacity with focus on carrier frequencies above 6 GHz. Furthermore, vertical sectors are considered drivers of 5G requirements from the outset with high priority, in particular within frequency bands below 6 GHz. It is also recommended to consider any new bands for 5G use based on assessment and recognition of other services using, or planning to use, these bands. The 5G-PPP IA has liaised with the Radio Spectrum Policy Group (RSPG)</w:t>
      </w:r>
      <w:r w:rsidRPr="008D2A17">
        <w:rPr>
          <w:rFonts w:ascii="Times New Roman" w:hAnsi="Times New Roman"/>
          <w:sz w:val="24"/>
          <w:szCs w:val="20"/>
          <w:vertAlign w:val="superscript"/>
          <w:lang w:val="en-GB" w:eastAsia="fr-BE"/>
        </w:rPr>
        <w:footnoteReference w:id="17"/>
      </w:r>
      <w:r w:rsidRPr="008D2A17">
        <w:rPr>
          <w:rFonts w:ascii="Times New Roman" w:hAnsi="Times New Roman"/>
          <w:sz w:val="24"/>
          <w:szCs w:val="20"/>
          <w:lang w:val="en-GB" w:eastAsia="fr-BE"/>
        </w:rPr>
        <w:t xml:space="preserve"> regarding pioneer frequency bands for the Union.</w:t>
      </w:r>
    </w:p>
    <w:p w14:paraId="79DF96F2" w14:textId="77777777" w:rsidR="00C653AD" w:rsidRPr="008D2A17" w:rsidRDefault="00C653AD" w:rsidP="00C653AD">
      <w:pPr>
        <w:spacing w:after="240"/>
        <w:jc w:val="both"/>
        <w:rPr>
          <w:rFonts w:ascii="Times New Roman" w:hAnsi="Times New Roman"/>
          <w:sz w:val="24"/>
          <w:szCs w:val="20"/>
          <w:lang w:val="en-GB" w:eastAsia="fr-BE"/>
        </w:rPr>
      </w:pPr>
      <w:r w:rsidRPr="008D2A17">
        <w:rPr>
          <w:rFonts w:ascii="Times New Roman" w:hAnsi="Times New Roman"/>
          <w:sz w:val="24"/>
          <w:szCs w:val="20"/>
          <w:lang w:val="en-GB" w:eastAsia="fr-BE"/>
        </w:rPr>
        <w:t>In April 2016, the Commission adopted a package on the "Digitisation of the European Industry"</w:t>
      </w:r>
      <w:r w:rsidRPr="008D2A17">
        <w:rPr>
          <w:rFonts w:ascii="Times New Roman" w:hAnsi="Times New Roman"/>
          <w:sz w:val="24"/>
          <w:szCs w:val="20"/>
          <w:vertAlign w:val="superscript"/>
          <w:lang w:val="en-GB" w:eastAsia="fr-BE"/>
        </w:rPr>
        <w:footnoteReference w:id="18"/>
      </w:r>
      <w:r w:rsidRPr="008D2A17">
        <w:rPr>
          <w:rFonts w:ascii="Times New Roman" w:hAnsi="Times New Roman"/>
          <w:sz w:val="24"/>
          <w:szCs w:val="20"/>
          <w:lang w:val="en-GB" w:eastAsia="fr-BE"/>
        </w:rPr>
        <w:t>, which identified as a political priority for the Union use cases for next-generation wireless services in the context of the Internet of Things but also stressed the need to prepare the introduction of next-generation wireless broadband services. In September 2016, the Commission adopted its Communication to the Council and the European Parliament "5G for Europe: An Action Plan"</w:t>
      </w:r>
      <w:r w:rsidRPr="008D2A17">
        <w:rPr>
          <w:rFonts w:ascii="Times New Roman" w:hAnsi="Times New Roman"/>
          <w:sz w:val="24"/>
          <w:szCs w:val="20"/>
          <w:vertAlign w:val="superscript"/>
          <w:lang w:val="en-GB" w:eastAsia="fr-BE"/>
        </w:rPr>
        <w:footnoteReference w:id="19"/>
      </w:r>
      <w:r w:rsidRPr="008D2A17">
        <w:rPr>
          <w:rFonts w:ascii="Times New Roman" w:hAnsi="Times New Roman"/>
          <w:sz w:val="24"/>
          <w:szCs w:val="20"/>
          <w:lang w:val="en-GB" w:eastAsia="fr-BE"/>
        </w:rPr>
        <w:t>, which inter alia puts forward proposed actions on the EU-level identification and harmonisation of spectrum for 5G – pioneer frequency bands as well as additional bands – based on the opinion of the RSPG. The preparatory work for the 5G Action Plan drew on a major input from industry in the telecom and vertical sectors – the "5G Manifesto for timely deployment of 5G in Europe"</w:t>
      </w:r>
      <w:r w:rsidRPr="008D2A17">
        <w:rPr>
          <w:rFonts w:ascii="Times New Roman" w:hAnsi="Times New Roman"/>
          <w:sz w:val="24"/>
          <w:szCs w:val="20"/>
          <w:vertAlign w:val="superscript"/>
          <w:lang w:val="en-GB" w:eastAsia="fr-BE"/>
        </w:rPr>
        <w:footnoteReference w:id="20"/>
      </w:r>
      <w:r w:rsidRPr="008D2A17">
        <w:rPr>
          <w:rFonts w:ascii="Times New Roman" w:hAnsi="Times New Roman"/>
          <w:sz w:val="24"/>
          <w:szCs w:val="20"/>
          <w:lang w:val="en-GB" w:eastAsia="fr-BE"/>
        </w:rPr>
        <w:t xml:space="preserve"> – which includes recommendations on pioneer frequency bands for 5G use in consistency with the views of the 5G-PPP. </w:t>
      </w:r>
    </w:p>
    <w:p w14:paraId="11AECBDC" w14:textId="64672C40" w:rsidR="00C653AD" w:rsidRPr="008D2A17" w:rsidRDefault="00C653AD" w:rsidP="00C653AD">
      <w:pPr>
        <w:spacing w:after="240"/>
        <w:jc w:val="both"/>
        <w:rPr>
          <w:rFonts w:ascii="Times New Roman" w:hAnsi="Times New Roman"/>
          <w:sz w:val="24"/>
          <w:szCs w:val="20"/>
          <w:lang w:val="en-GB" w:eastAsia="fr-BE"/>
        </w:rPr>
      </w:pPr>
      <w:r w:rsidRPr="008D2A17">
        <w:rPr>
          <w:rFonts w:ascii="Times New Roman" w:hAnsi="Times New Roman"/>
          <w:sz w:val="24"/>
          <w:szCs w:val="20"/>
          <w:lang w:val="en-GB" w:eastAsia="fr-BE"/>
        </w:rPr>
        <w:t>Therefore, next-generation (5G) terrestrial wireless systems should operate both, in existing EU-harmonised frequency bands below 6 GHz and in new frequency bands above 24 GHz. Potential hybrid business models using fixed or mobile terrestrial network infrastructure and satellite platforms may impact on spectrum use in 5G frequency bands above 24 GHz in the context of providing complementary or convergent services.</w:t>
      </w:r>
    </w:p>
    <w:p w14:paraId="79CF79D4" w14:textId="77777777" w:rsidR="00C653AD" w:rsidRPr="008D2A17" w:rsidRDefault="00C653AD" w:rsidP="00C653AD">
      <w:pPr>
        <w:spacing w:after="240"/>
        <w:jc w:val="both"/>
        <w:rPr>
          <w:rFonts w:ascii="Times New Roman" w:hAnsi="Times New Roman"/>
          <w:sz w:val="24"/>
          <w:szCs w:val="20"/>
          <w:lang w:val="en-GB" w:eastAsia="fr-BE"/>
        </w:rPr>
      </w:pPr>
      <w:r w:rsidRPr="008D2A17">
        <w:rPr>
          <w:rFonts w:ascii="Times New Roman" w:hAnsi="Times New Roman"/>
          <w:sz w:val="24"/>
          <w:szCs w:val="20"/>
          <w:lang w:val="en-GB" w:eastAsia="fr-BE"/>
        </w:rPr>
        <w:t>The following EU-harmonised frequency bands for terrestrial systems capable of providing wireless broadband electronic communications services are already potentially available for future 5G use:</w:t>
      </w:r>
    </w:p>
    <w:p w14:paraId="2781C216" w14:textId="77777777" w:rsidR="00C653AD" w:rsidRPr="008D2A17" w:rsidRDefault="00C653AD" w:rsidP="0062167A">
      <w:pPr>
        <w:numPr>
          <w:ilvl w:val="0"/>
          <w:numId w:val="17"/>
        </w:numPr>
        <w:spacing w:after="240"/>
        <w:jc w:val="both"/>
        <w:rPr>
          <w:rFonts w:ascii="Times New Roman" w:hAnsi="Times New Roman"/>
          <w:sz w:val="24"/>
          <w:szCs w:val="20"/>
          <w:lang w:val="en-GB" w:eastAsia="fr-BE"/>
        </w:rPr>
      </w:pPr>
      <w:r w:rsidRPr="008D2A17">
        <w:rPr>
          <w:rFonts w:ascii="Times New Roman" w:hAnsi="Times New Roman"/>
          <w:sz w:val="24"/>
          <w:szCs w:val="20"/>
          <w:lang w:val="en-GB" w:eastAsia="fr-BE"/>
        </w:rPr>
        <w:t>Below 1 GHz</w:t>
      </w:r>
      <w:r w:rsidRPr="008D2A17">
        <w:rPr>
          <w:rFonts w:ascii="Times New Roman" w:hAnsi="Times New Roman"/>
          <w:sz w:val="24"/>
          <w:szCs w:val="20"/>
          <w:vertAlign w:val="superscript"/>
          <w:lang w:val="en-GB" w:eastAsia="fr-BE"/>
        </w:rPr>
        <w:footnoteReference w:id="21"/>
      </w:r>
      <w:r w:rsidRPr="008D2A17">
        <w:rPr>
          <w:rFonts w:ascii="Times New Roman" w:hAnsi="Times New Roman"/>
          <w:sz w:val="24"/>
          <w:szCs w:val="20"/>
          <w:lang w:val="en-GB" w:eastAsia="fr-BE"/>
        </w:rPr>
        <w:t>: 694-790 MHz ('700 MHz band'), 790-862 MHz ('800 MHz band'), 880-915 MHz and 925-960 MHz ('900 MHz band').</w:t>
      </w:r>
    </w:p>
    <w:p w14:paraId="37FF9A70" w14:textId="77777777" w:rsidR="00C653AD" w:rsidRPr="008D2A17" w:rsidRDefault="00C653AD" w:rsidP="0062167A">
      <w:pPr>
        <w:numPr>
          <w:ilvl w:val="0"/>
          <w:numId w:val="17"/>
        </w:numPr>
        <w:spacing w:after="240"/>
        <w:jc w:val="both"/>
        <w:rPr>
          <w:rFonts w:ascii="Times New Roman" w:hAnsi="Times New Roman"/>
          <w:sz w:val="24"/>
          <w:szCs w:val="20"/>
          <w:lang w:val="en-GB" w:eastAsia="fr-BE"/>
        </w:rPr>
      </w:pPr>
      <w:r w:rsidRPr="008D2A17">
        <w:rPr>
          <w:rFonts w:ascii="Times New Roman" w:hAnsi="Times New Roman"/>
          <w:sz w:val="24"/>
          <w:szCs w:val="20"/>
          <w:lang w:val="en-GB" w:eastAsia="fr-BE"/>
        </w:rPr>
        <w:t>Above 1 GHz</w:t>
      </w:r>
      <w:r w:rsidRPr="008D2A17">
        <w:rPr>
          <w:rFonts w:ascii="Times New Roman" w:hAnsi="Times New Roman"/>
          <w:sz w:val="24"/>
          <w:szCs w:val="20"/>
          <w:vertAlign w:val="superscript"/>
          <w:lang w:val="en-GB" w:eastAsia="fr-BE"/>
        </w:rPr>
        <w:footnoteReference w:id="22"/>
      </w:r>
      <w:r w:rsidRPr="008D2A17">
        <w:rPr>
          <w:rFonts w:ascii="Times New Roman" w:hAnsi="Times New Roman"/>
          <w:sz w:val="24"/>
          <w:szCs w:val="20"/>
          <w:lang w:val="en-GB" w:eastAsia="fr-BE"/>
        </w:rPr>
        <w:t>: 1452-1492 MHz ('1.5 GHz band'), 1710-1785 MHz and 1805-1880 MHz ('1800 MHz band'), 1920-1980 MHz and 2110-2170 MHz ('paired terrestrial 2 GHz band'), 2500-2690 MHz ('2.6 GHz band'), 3400-3800 MHz ('3.6 GHz band').</w:t>
      </w:r>
    </w:p>
    <w:p w14:paraId="63D4895C" w14:textId="77777777" w:rsidR="00C653AD" w:rsidRPr="008D2A17" w:rsidRDefault="00C653AD" w:rsidP="00C653AD">
      <w:pPr>
        <w:spacing w:after="240"/>
        <w:jc w:val="both"/>
        <w:rPr>
          <w:rFonts w:ascii="Times New Roman" w:hAnsi="Times New Roman"/>
          <w:sz w:val="24"/>
          <w:szCs w:val="20"/>
          <w:lang w:val="en-GB" w:eastAsia="fr-BE"/>
        </w:rPr>
      </w:pPr>
      <w:r w:rsidRPr="008D2A17">
        <w:rPr>
          <w:rFonts w:ascii="Times New Roman" w:hAnsi="Times New Roman"/>
          <w:sz w:val="24"/>
          <w:szCs w:val="20"/>
          <w:lang w:val="en-GB" w:eastAsia="fr-BE"/>
        </w:rPr>
        <w:lastRenderedPageBreak/>
        <w:t xml:space="preserve">It should be noted that in all these frequency bands, with the exception of the 900 MHz and 1800 MHz bands, the harmonised technical conditions are based on the concept of block edge masks, in order to facilitate a technologically neutral approach and least restrictive conditions, which allows for the use of any technology that complies with the block edge mask. For the 900 MHz and 1800 MHz frequency bands, the harmonised technical conditions are based on specific technologies referenced through ETSI standards, which are evolving to enable 5G use. </w:t>
      </w:r>
    </w:p>
    <w:p w14:paraId="6BA683FB" w14:textId="77777777" w:rsidR="00C653AD" w:rsidRPr="008D2A17" w:rsidRDefault="00C653AD" w:rsidP="00C653AD">
      <w:pPr>
        <w:spacing w:after="240"/>
        <w:jc w:val="both"/>
        <w:rPr>
          <w:rFonts w:ascii="Times New Roman" w:hAnsi="Times New Roman"/>
          <w:sz w:val="24"/>
          <w:szCs w:val="20"/>
          <w:lang w:val="en-GB" w:eastAsia="fr-BE"/>
        </w:rPr>
      </w:pPr>
      <w:r w:rsidRPr="008D2A17">
        <w:rPr>
          <w:rFonts w:ascii="Times New Roman" w:hAnsi="Times New Roman"/>
          <w:sz w:val="24"/>
          <w:szCs w:val="20"/>
          <w:lang w:val="en-GB" w:eastAsia="fr-BE"/>
        </w:rPr>
        <w:t>EU-harmonised bands for wireless broadband electronic communications services are potentially to be used for providing amongst other services vehicle-to-anything (V2X) connectivity, machine-to-machine or other IoT applications, e.g. by means of cellular networks. In this regard, the Commission has adopted a Communication on European Strategy on Cooperative Intelligent Transport Systems</w:t>
      </w:r>
      <w:r w:rsidRPr="008D2A17">
        <w:rPr>
          <w:rFonts w:ascii="Times New Roman" w:hAnsi="Times New Roman"/>
          <w:sz w:val="24"/>
          <w:szCs w:val="20"/>
          <w:vertAlign w:val="superscript"/>
          <w:lang w:val="en-GB" w:eastAsia="fr-BE"/>
        </w:rPr>
        <w:footnoteReference w:id="23"/>
      </w:r>
      <w:r w:rsidRPr="008D2A17">
        <w:rPr>
          <w:rFonts w:ascii="Times New Roman" w:hAnsi="Times New Roman"/>
          <w:sz w:val="24"/>
          <w:szCs w:val="20"/>
          <w:lang w:val="en-GB" w:eastAsia="fr-BE"/>
        </w:rPr>
        <w:t>.</w:t>
      </w:r>
    </w:p>
    <w:p w14:paraId="6E223429" w14:textId="77777777" w:rsidR="00C653AD" w:rsidRPr="008D2A17" w:rsidRDefault="00C653AD" w:rsidP="00C653AD">
      <w:pPr>
        <w:spacing w:after="240"/>
        <w:jc w:val="both"/>
        <w:rPr>
          <w:rFonts w:ascii="Times New Roman" w:hAnsi="Times New Roman"/>
          <w:sz w:val="24"/>
          <w:szCs w:val="20"/>
          <w:lang w:val="en-GB" w:eastAsia="fr-BE"/>
        </w:rPr>
      </w:pPr>
      <w:r w:rsidRPr="008D2A17">
        <w:rPr>
          <w:rFonts w:ascii="Times New Roman" w:hAnsi="Times New Roman"/>
          <w:sz w:val="24"/>
          <w:szCs w:val="20"/>
          <w:lang w:val="en-GB" w:eastAsia="fr-BE"/>
        </w:rPr>
        <w:t>In its "Strategic Roadmap towards 5G for Europe: Opinion on spectrum related aspects for next-generation wireless systems (5G)"</w:t>
      </w:r>
      <w:bookmarkStart w:id="2093" w:name="_Ref467158380"/>
      <w:r w:rsidRPr="008D2A17">
        <w:rPr>
          <w:rFonts w:ascii="Times New Roman" w:hAnsi="Times New Roman"/>
          <w:sz w:val="24"/>
          <w:szCs w:val="20"/>
          <w:vertAlign w:val="superscript"/>
          <w:lang w:val="en-GB" w:eastAsia="fr-BE"/>
        </w:rPr>
        <w:footnoteReference w:id="24"/>
      </w:r>
      <w:bookmarkEnd w:id="2093"/>
      <w:r w:rsidRPr="008D2A17">
        <w:rPr>
          <w:rFonts w:ascii="Times New Roman" w:hAnsi="Times New Roman"/>
          <w:sz w:val="24"/>
          <w:szCs w:val="20"/>
          <w:lang w:val="en-GB" w:eastAsia="fr-BE"/>
        </w:rPr>
        <w:t>, the RSPG sets out its priorities and recommendations for pioneer frequency bands for the introduction of 5G terrestrial wireless systems in Europe as follows:</w:t>
      </w:r>
    </w:p>
    <w:p w14:paraId="3137EC07" w14:textId="65198E94" w:rsidR="00C653AD" w:rsidRPr="008D2A17" w:rsidRDefault="00C653AD" w:rsidP="0062167A">
      <w:pPr>
        <w:numPr>
          <w:ilvl w:val="0"/>
          <w:numId w:val="15"/>
        </w:numPr>
        <w:spacing w:after="240"/>
        <w:jc w:val="both"/>
        <w:rPr>
          <w:rFonts w:ascii="Times New Roman" w:hAnsi="Times New Roman"/>
          <w:sz w:val="24"/>
          <w:szCs w:val="20"/>
          <w:lang w:val="en-GB" w:eastAsia="fr-BE"/>
        </w:rPr>
      </w:pPr>
      <w:r w:rsidRPr="008D2A17">
        <w:rPr>
          <w:rFonts w:ascii="Times New Roman" w:hAnsi="Times New Roman"/>
          <w:sz w:val="24"/>
          <w:szCs w:val="20"/>
          <w:lang w:val="en-GB" w:eastAsia="fr-BE"/>
        </w:rPr>
        <w:t xml:space="preserve">The RSPG considers the frequency band </w:t>
      </w:r>
      <w:r w:rsidRPr="008D2A17">
        <w:rPr>
          <w:rFonts w:ascii="Times New Roman" w:hAnsi="Times New Roman"/>
          <w:b/>
          <w:sz w:val="24"/>
          <w:szCs w:val="20"/>
          <w:lang w:val="en-GB" w:eastAsia="fr-BE"/>
        </w:rPr>
        <w:t>3400-3800 MHz</w:t>
      </w:r>
      <w:r w:rsidRPr="008D2A17">
        <w:rPr>
          <w:rFonts w:ascii="Times New Roman" w:hAnsi="Times New Roman"/>
          <w:sz w:val="24"/>
          <w:szCs w:val="20"/>
          <w:lang w:val="en-GB" w:eastAsia="fr-BE"/>
        </w:rPr>
        <w:t xml:space="preserve"> to be the </w:t>
      </w:r>
      <w:r w:rsidRPr="008D2A17">
        <w:rPr>
          <w:rFonts w:ascii="Times New Roman" w:hAnsi="Times New Roman"/>
          <w:b/>
          <w:sz w:val="24"/>
          <w:szCs w:val="20"/>
          <w:lang w:val="en-GB" w:eastAsia="fr-BE"/>
        </w:rPr>
        <w:t>primary band</w:t>
      </w:r>
      <w:r w:rsidRPr="008D2A17">
        <w:rPr>
          <w:rFonts w:ascii="Times New Roman" w:hAnsi="Times New Roman"/>
          <w:sz w:val="24"/>
          <w:szCs w:val="20"/>
          <w:lang w:val="en-GB" w:eastAsia="fr-BE"/>
        </w:rPr>
        <w:t xml:space="preserve"> suitable for the introduction of 5G-based services in Europe even </w:t>
      </w:r>
      <w:r w:rsidRPr="008D2A17">
        <w:rPr>
          <w:rFonts w:ascii="Times New Roman" w:hAnsi="Times New Roman"/>
          <w:b/>
          <w:sz w:val="24"/>
          <w:szCs w:val="20"/>
          <w:lang w:val="en-GB" w:eastAsia="fr-BE"/>
        </w:rPr>
        <w:t>before 2020</w:t>
      </w:r>
      <w:r w:rsidRPr="008D2A17">
        <w:rPr>
          <w:rFonts w:ascii="Times New Roman" w:hAnsi="Times New Roman"/>
          <w:sz w:val="24"/>
          <w:szCs w:val="20"/>
          <w:lang w:val="en-GB" w:eastAsia="fr-BE"/>
        </w:rPr>
        <w:t xml:space="preserve"> given that it is already harmonised for mobile networks and offers wide channel bandwidth</w:t>
      </w:r>
      <w:r w:rsidRPr="008D2A17">
        <w:rPr>
          <w:rFonts w:ascii="Times New Roman" w:hAnsi="Times New Roman"/>
          <w:sz w:val="24"/>
          <w:szCs w:val="20"/>
          <w:vertAlign w:val="superscript"/>
          <w:lang w:val="en-GB" w:eastAsia="fr-BE"/>
        </w:rPr>
        <w:footnoteReference w:id="25"/>
      </w:r>
      <w:r w:rsidRPr="008D2A17">
        <w:rPr>
          <w:rFonts w:ascii="Times New Roman" w:hAnsi="Times New Roman"/>
          <w:sz w:val="24"/>
          <w:szCs w:val="20"/>
          <w:lang w:val="en-GB" w:eastAsia="fr-BE"/>
        </w:rPr>
        <w:t xml:space="preserve">. </w:t>
      </w:r>
    </w:p>
    <w:p w14:paraId="49668802" w14:textId="77777777" w:rsidR="00C653AD" w:rsidRPr="008D2A17" w:rsidRDefault="00C653AD" w:rsidP="0062167A">
      <w:pPr>
        <w:numPr>
          <w:ilvl w:val="0"/>
          <w:numId w:val="15"/>
        </w:numPr>
        <w:spacing w:after="240"/>
        <w:jc w:val="both"/>
        <w:rPr>
          <w:rFonts w:ascii="Times New Roman" w:hAnsi="Times New Roman"/>
          <w:sz w:val="24"/>
          <w:szCs w:val="20"/>
          <w:lang w:val="en-GB" w:eastAsia="fr-BE"/>
        </w:rPr>
      </w:pPr>
      <w:r w:rsidRPr="008D2A17">
        <w:rPr>
          <w:rFonts w:ascii="Times New Roman" w:hAnsi="Times New Roman"/>
          <w:sz w:val="24"/>
          <w:szCs w:val="20"/>
          <w:lang w:val="en-GB" w:eastAsia="fr-BE"/>
        </w:rPr>
        <w:t xml:space="preserve">The RSPG is of the opinion that 5G will need to be deployed also in bands already </w:t>
      </w:r>
      <w:r w:rsidRPr="008D2A17">
        <w:rPr>
          <w:rFonts w:ascii="Times New Roman" w:hAnsi="Times New Roman"/>
          <w:b/>
          <w:sz w:val="24"/>
          <w:szCs w:val="20"/>
          <w:lang w:val="en-GB" w:eastAsia="fr-BE"/>
        </w:rPr>
        <w:t>harmonised below 1 GHz</w:t>
      </w:r>
      <w:r w:rsidRPr="008D2A17">
        <w:rPr>
          <w:rFonts w:ascii="Times New Roman" w:hAnsi="Times New Roman"/>
          <w:sz w:val="24"/>
          <w:szCs w:val="20"/>
          <w:lang w:val="en-GB" w:eastAsia="fr-BE"/>
        </w:rPr>
        <w:t xml:space="preserve">, including particularly </w:t>
      </w:r>
      <w:r w:rsidRPr="008D2A17">
        <w:rPr>
          <w:rFonts w:ascii="Times New Roman" w:hAnsi="Times New Roman"/>
          <w:b/>
          <w:sz w:val="24"/>
          <w:szCs w:val="20"/>
          <w:lang w:val="en-GB" w:eastAsia="fr-BE"/>
        </w:rPr>
        <w:t>the 700 MHz band</w:t>
      </w:r>
      <w:r w:rsidRPr="008D2A17">
        <w:rPr>
          <w:rFonts w:ascii="Times New Roman" w:hAnsi="Times New Roman"/>
          <w:b/>
          <w:sz w:val="24"/>
          <w:szCs w:val="20"/>
          <w:vertAlign w:val="superscript"/>
          <w:lang w:val="en-GB" w:eastAsia="fr-BE"/>
        </w:rPr>
        <w:footnoteReference w:id="26"/>
      </w:r>
      <w:r w:rsidRPr="008D2A17">
        <w:rPr>
          <w:rFonts w:ascii="Times New Roman" w:hAnsi="Times New Roman"/>
          <w:sz w:val="24"/>
          <w:szCs w:val="20"/>
          <w:lang w:val="en-GB" w:eastAsia="fr-BE"/>
        </w:rPr>
        <w:t>, in order to enable nation-wide and indoor 5G coverage.</w:t>
      </w:r>
    </w:p>
    <w:p w14:paraId="7D7C88CB" w14:textId="77777777" w:rsidR="00C653AD" w:rsidRPr="008D2A17" w:rsidRDefault="00C653AD" w:rsidP="0062167A">
      <w:pPr>
        <w:numPr>
          <w:ilvl w:val="0"/>
          <w:numId w:val="15"/>
        </w:numPr>
        <w:spacing w:after="240"/>
        <w:jc w:val="both"/>
        <w:rPr>
          <w:rFonts w:ascii="Times New Roman" w:hAnsi="Times New Roman"/>
          <w:sz w:val="24"/>
          <w:szCs w:val="20"/>
          <w:lang w:val="en-GB" w:eastAsia="fr-BE"/>
        </w:rPr>
      </w:pPr>
      <w:r w:rsidRPr="008D2A17">
        <w:rPr>
          <w:rFonts w:ascii="Times New Roman" w:hAnsi="Times New Roman"/>
          <w:sz w:val="24"/>
          <w:szCs w:val="20"/>
          <w:lang w:val="en-GB" w:eastAsia="fr-BE"/>
        </w:rPr>
        <w:t xml:space="preserve">The RSPG recognises the need to ensure that technical and regulatory conditions for </w:t>
      </w:r>
      <w:r w:rsidRPr="008D2A17">
        <w:rPr>
          <w:rFonts w:ascii="Times New Roman" w:hAnsi="Times New Roman"/>
          <w:b/>
          <w:sz w:val="24"/>
          <w:szCs w:val="20"/>
          <w:lang w:val="en-GB" w:eastAsia="fr-BE"/>
        </w:rPr>
        <w:t>all bands already harmonised</w:t>
      </w:r>
      <w:r w:rsidRPr="008D2A17">
        <w:rPr>
          <w:rFonts w:ascii="Times New Roman" w:hAnsi="Times New Roman"/>
          <w:sz w:val="24"/>
          <w:szCs w:val="20"/>
          <w:lang w:val="en-GB" w:eastAsia="fr-BE"/>
        </w:rPr>
        <w:t xml:space="preserve"> for mobile networks are </w:t>
      </w:r>
      <w:r w:rsidRPr="008D2A17">
        <w:rPr>
          <w:rFonts w:ascii="Times New Roman" w:hAnsi="Times New Roman"/>
          <w:b/>
          <w:sz w:val="24"/>
          <w:szCs w:val="20"/>
          <w:lang w:val="en-GB" w:eastAsia="fr-BE"/>
        </w:rPr>
        <w:t>fit for 5G use</w:t>
      </w:r>
      <w:r w:rsidRPr="008D2A17">
        <w:rPr>
          <w:rFonts w:ascii="Times New Roman" w:hAnsi="Times New Roman"/>
          <w:sz w:val="24"/>
          <w:szCs w:val="20"/>
          <w:lang w:val="en-GB" w:eastAsia="fr-BE"/>
        </w:rPr>
        <w:t>.</w:t>
      </w:r>
    </w:p>
    <w:p w14:paraId="2D98CC4F" w14:textId="77777777" w:rsidR="00C653AD" w:rsidRPr="008D2A17" w:rsidRDefault="00C653AD" w:rsidP="0062167A">
      <w:pPr>
        <w:numPr>
          <w:ilvl w:val="0"/>
          <w:numId w:val="15"/>
        </w:numPr>
        <w:spacing w:after="240"/>
        <w:jc w:val="both"/>
        <w:rPr>
          <w:rFonts w:ascii="Times New Roman" w:hAnsi="Times New Roman"/>
          <w:sz w:val="24"/>
          <w:szCs w:val="20"/>
          <w:lang w:val="en-GB" w:eastAsia="fr-BE"/>
        </w:rPr>
      </w:pPr>
      <w:r w:rsidRPr="008D2A17">
        <w:rPr>
          <w:rFonts w:ascii="Times New Roman" w:hAnsi="Times New Roman"/>
          <w:sz w:val="24"/>
          <w:szCs w:val="20"/>
          <w:lang w:val="en-GB" w:eastAsia="fr-BE"/>
        </w:rPr>
        <w:t xml:space="preserve">The RSPG recommends the </w:t>
      </w:r>
      <w:r w:rsidRPr="008D2A17">
        <w:rPr>
          <w:rFonts w:ascii="Times New Roman" w:hAnsi="Times New Roman"/>
          <w:b/>
          <w:sz w:val="24"/>
          <w:szCs w:val="20"/>
          <w:lang w:val="en-GB" w:eastAsia="fr-BE"/>
        </w:rPr>
        <w:t>24.25-27.5 GHz</w:t>
      </w:r>
      <w:r w:rsidRPr="008D2A17">
        <w:rPr>
          <w:rFonts w:ascii="Times New Roman" w:hAnsi="Times New Roman"/>
          <w:sz w:val="24"/>
          <w:szCs w:val="20"/>
          <w:lang w:val="en-GB" w:eastAsia="fr-BE"/>
        </w:rPr>
        <w:t xml:space="preserve"> (hereinafter '26 GHz') band as a </w:t>
      </w:r>
      <w:r w:rsidRPr="008D2A17">
        <w:rPr>
          <w:rFonts w:ascii="Times New Roman" w:hAnsi="Times New Roman"/>
          <w:b/>
          <w:sz w:val="24"/>
          <w:szCs w:val="20"/>
          <w:lang w:val="en-GB" w:eastAsia="fr-BE"/>
        </w:rPr>
        <w:t>pioneer band</w:t>
      </w:r>
      <w:r w:rsidRPr="008D2A17">
        <w:rPr>
          <w:rFonts w:ascii="Times New Roman" w:hAnsi="Times New Roman"/>
          <w:sz w:val="24"/>
          <w:szCs w:val="20"/>
          <w:lang w:val="en-GB" w:eastAsia="fr-BE"/>
        </w:rPr>
        <w:t xml:space="preserve"> for Europe to be harmonised before 2020. </w:t>
      </w:r>
    </w:p>
    <w:p w14:paraId="59E2B037" w14:textId="77777777" w:rsidR="00C653AD" w:rsidRPr="008D2A17" w:rsidRDefault="00C653AD" w:rsidP="00C653AD">
      <w:pPr>
        <w:spacing w:after="240"/>
        <w:jc w:val="both"/>
        <w:rPr>
          <w:rFonts w:ascii="Times New Roman" w:hAnsi="Times New Roman"/>
          <w:sz w:val="24"/>
          <w:szCs w:val="20"/>
          <w:lang w:val="en-GB" w:eastAsia="fr-BE"/>
        </w:rPr>
      </w:pPr>
      <w:r w:rsidRPr="008D2A17">
        <w:rPr>
          <w:rFonts w:ascii="Times New Roman" w:hAnsi="Times New Roman"/>
          <w:sz w:val="24"/>
          <w:szCs w:val="20"/>
          <w:lang w:val="en-GB" w:eastAsia="fr-BE"/>
        </w:rPr>
        <w:t>Furthermore, the RSPG considers the 31.8-33.4 GHz band as a promising band, and the 40.5-43.5 GHz band as a viable option in the longer term, for 5G use.</w:t>
      </w:r>
    </w:p>
    <w:p w14:paraId="688F0CB0" w14:textId="77777777" w:rsidR="00C653AD" w:rsidRPr="008D2A17" w:rsidRDefault="00C653AD" w:rsidP="00C653AD">
      <w:pPr>
        <w:spacing w:after="240"/>
        <w:jc w:val="both"/>
        <w:rPr>
          <w:rFonts w:ascii="Times New Roman" w:hAnsi="Times New Roman"/>
          <w:sz w:val="24"/>
          <w:szCs w:val="20"/>
          <w:lang w:val="en-GB" w:eastAsia="fr-BE"/>
        </w:rPr>
      </w:pPr>
      <w:r w:rsidRPr="008D2A17">
        <w:rPr>
          <w:rFonts w:ascii="Times New Roman" w:hAnsi="Times New Roman"/>
          <w:sz w:val="24"/>
          <w:szCs w:val="20"/>
          <w:lang w:val="en-GB" w:eastAsia="fr-BE"/>
        </w:rPr>
        <w:t xml:space="preserve">The RSPG expresses a vision that 5G will drive industrial and societal transformation and economic growth in Europe from 2020 and beyond. The strategic roadmap aims to facilitate the launch of 5G on a large scale by 2020, thereby ensuring that the benefits of 5G-based services are available to all European citizens in a timely manner. The RSPG expects that the first major commercial deployments will be based on lower frequencies. One of the reasons is the possibility to reach rapidly a sufficient coverage for addressing enhanced broadband communications and, above all, the machine-type communications market, which may require ubiquity, low latency and low complexity. As regards candidate bands for 5G use above 6 GHz, the RSPG has limited its </w:t>
      </w:r>
      <w:r w:rsidRPr="008D2A17">
        <w:rPr>
          <w:rFonts w:ascii="Times New Roman" w:hAnsi="Times New Roman"/>
          <w:sz w:val="24"/>
          <w:szCs w:val="20"/>
          <w:lang w:val="en-GB" w:eastAsia="fr-BE"/>
        </w:rPr>
        <w:lastRenderedPageBreak/>
        <w:t>consideration to the bands listed by WRC-15, focussing on the frequency bands proposed by Europe at WRC-15, in order to strengthen the global harmonisation opportunities. Therefore, enabling early availability of different pioneer frequency bands under harmonised technical conditions is of strategic importance for the Union for the introduction of commercial 5G services in Europe, possibly preceded by relevant trials and pilots.</w:t>
      </w:r>
    </w:p>
    <w:p w14:paraId="52E6AC8E" w14:textId="77777777" w:rsidR="00C653AD" w:rsidRPr="008D2A17" w:rsidRDefault="00C653AD" w:rsidP="00C653AD">
      <w:pPr>
        <w:spacing w:after="240"/>
        <w:jc w:val="both"/>
        <w:rPr>
          <w:rFonts w:ascii="Times New Roman" w:hAnsi="Times New Roman"/>
          <w:sz w:val="24"/>
          <w:szCs w:val="20"/>
          <w:lang w:val="en-GB" w:eastAsia="fr-BE"/>
        </w:rPr>
      </w:pPr>
      <w:r w:rsidRPr="008D2A17">
        <w:rPr>
          <w:rFonts w:ascii="Times New Roman" w:hAnsi="Times New Roman"/>
          <w:sz w:val="24"/>
          <w:szCs w:val="20"/>
          <w:lang w:val="en-GB" w:eastAsia="fr-BE"/>
        </w:rPr>
        <w:t xml:space="preserve">The status of ITU-level spectrum allocations and the current use of potential frequency bands for 5G, in particular above 24 GHz, necessitate studies to assess </w:t>
      </w:r>
      <w:r w:rsidRPr="008D2A17">
        <w:rPr>
          <w:rFonts w:ascii="Times New Roman" w:hAnsi="Times New Roman"/>
          <w:b/>
          <w:sz w:val="24"/>
          <w:szCs w:val="20"/>
          <w:lang w:val="en-GB" w:eastAsia="fr-BE"/>
        </w:rPr>
        <w:t>shared spectrum use</w:t>
      </w:r>
      <w:r w:rsidRPr="008D2A17">
        <w:rPr>
          <w:rFonts w:ascii="Times New Roman" w:hAnsi="Times New Roman"/>
          <w:sz w:val="24"/>
          <w:szCs w:val="20"/>
          <w:lang w:val="en-GB" w:eastAsia="fr-BE"/>
        </w:rPr>
        <w:t xml:space="preserve"> between 5G terrestrial wireless systems and existing or prospective incumbent use as well as compatibility studies with respect to adjacent bands. Sharing studies are of high relevance with respect to terrestrial backhaul or fixed satellite links, in particular with view to existing and future earth stations in the earth exploration satellite service (EESS), space research service (SRS), the fixed satellite service (FSS), and on-board receivers of data relay satellite systems (DRSS). In this regard, the RSPG provides recommendations on spectrum </w:t>
      </w:r>
      <w:r w:rsidR="001C45AE" w:rsidRPr="008D2A17">
        <w:rPr>
          <w:rFonts w:ascii="Times New Roman" w:hAnsi="Times New Roman"/>
          <w:sz w:val="24"/>
          <w:szCs w:val="20"/>
          <w:lang w:val="en-GB" w:eastAsia="fr-BE"/>
        </w:rPr>
        <w:t>coex</w:t>
      </w:r>
      <w:r w:rsidRPr="008D2A17">
        <w:rPr>
          <w:rFonts w:ascii="Times New Roman" w:hAnsi="Times New Roman"/>
          <w:sz w:val="24"/>
          <w:szCs w:val="20"/>
          <w:lang w:val="en-GB" w:eastAsia="fr-BE"/>
        </w:rPr>
        <w:t xml:space="preserve">istence within the 26 GHz pioneer band, which are relevant for the development of technical conditions for shared spectrum use. </w:t>
      </w:r>
    </w:p>
    <w:p w14:paraId="76769DA6" w14:textId="77777777" w:rsidR="00C653AD" w:rsidRPr="008D2A17" w:rsidRDefault="00C653AD" w:rsidP="00C653AD">
      <w:pPr>
        <w:spacing w:after="240"/>
        <w:jc w:val="both"/>
        <w:rPr>
          <w:rFonts w:ascii="Times New Roman" w:hAnsi="Times New Roman"/>
          <w:sz w:val="24"/>
          <w:szCs w:val="20"/>
          <w:lang w:val="en-GB" w:eastAsia="fr-BE"/>
        </w:rPr>
      </w:pPr>
      <w:r w:rsidRPr="008D2A17">
        <w:rPr>
          <w:rFonts w:ascii="Times New Roman" w:hAnsi="Times New Roman"/>
          <w:sz w:val="24"/>
          <w:szCs w:val="20"/>
          <w:lang w:val="en-GB" w:eastAsia="fr-BE"/>
        </w:rPr>
        <w:t>It should be noted that certain non-European countries have identified spectrum for 5G services on a national basis in frequency bands, which are adjacent to priority bands according to the RSPG opinion, most notably within the 27.5-29.5 GHz ('28 GHz') band</w:t>
      </w:r>
      <w:bookmarkStart w:id="2094" w:name="_Ref465067229"/>
      <w:r w:rsidRPr="008D2A17">
        <w:rPr>
          <w:rFonts w:ascii="Times New Roman" w:hAnsi="Times New Roman"/>
          <w:sz w:val="24"/>
          <w:szCs w:val="20"/>
          <w:vertAlign w:val="superscript"/>
          <w:lang w:val="en-GB" w:eastAsia="fr-BE"/>
        </w:rPr>
        <w:footnoteReference w:id="27"/>
      </w:r>
      <w:bookmarkEnd w:id="2094"/>
      <w:r w:rsidRPr="008D2A17">
        <w:rPr>
          <w:rFonts w:ascii="Times New Roman" w:hAnsi="Times New Roman"/>
          <w:sz w:val="24"/>
          <w:szCs w:val="20"/>
          <w:lang w:val="en-GB" w:eastAsia="fr-BE"/>
        </w:rPr>
        <w:t xml:space="preserve"> or the 37-40 GHz band</w:t>
      </w:r>
      <w:r w:rsidRPr="008D2A17">
        <w:rPr>
          <w:rFonts w:ascii="Times New Roman" w:hAnsi="Times New Roman"/>
          <w:sz w:val="24"/>
          <w:szCs w:val="20"/>
          <w:vertAlign w:val="superscript"/>
          <w:lang w:val="en-GB" w:eastAsia="fr-BE"/>
        </w:rPr>
        <w:footnoteReference w:id="28"/>
      </w:r>
      <w:r w:rsidRPr="008D2A17">
        <w:rPr>
          <w:rFonts w:ascii="Times New Roman" w:hAnsi="Times New Roman"/>
          <w:sz w:val="24"/>
          <w:szCs w:val="20"/>
          <w:lang w:val="en-GB" w:eastAsia="fr-BE"/>
        </w:rPr>
        <w:t>. These developments should be taken into account in order to facilitate global interoperability and economies of scale of equipment based on the implementation of a common tuning range.</w:t>
      </w:r>
    </w:p>
    <w:p w14:paraId="3F8ACFE2" w14:textId="207FC339" w:rsidR="00C653AD" w:rsidRPr="008D2A17" w:rsidRDefault="00C653AD" w:rsidP="00C653AD">
      <w:pPr>
        <w:spacing w:after="240"/>
        <w:jc w:val="both"/>
        <w:rPr>
          <w:rFonts w:ascii="Times New Roman" w:hAnsi="Times New Roman"/>
          <w:sz w:val="24"/>
          <w:szCs w:val="20"/>
          <w:lang w:val="en-GB" w:eastAsia="fr-BE"/>
        </w:rPr>
      </w:pPr>
      <w:r w:rsidRPr="008D2A17">
        <w:rPr>
          <w:rFonts w:ascii="Times New Roman" w:hAnsi="Times New Roman"/>
          <w:sz w:val="24"/>
          <w:szCs w:val="20"/>
          <w:lang w:val="en-GB" w:eastAsia="fr-BE"/>
        </w:rPr>
        <w:t>Therefore, comprehensive studies on the technical conditions for spectrum use in existing EU-harmonised frequency bands below 6 GHz and the pioneer band above 24 GHz</w:t>
      </w:r>
      <w:r w:rsidRPr="008D2A17">
        <w:rPr>
          <w:rFonts w:ascii="Times New Roman" w:hAnsi="Times New Roman"/>
          <w:sz w:val="24"/>
          <w:szCs w:val="20"/>
          <w:vertAlign w:val="superscript"/>
          <w:lang w:val="en-GB" w:eastAsia="fr-BE"/>
        </w:rPr>
        <w:footnoteReference w:id="29"/>
      </w:r>
      <w:r w:rsidRPr="008D2A17">
        <w:rPr>
          <w:rFonts w:ascii="Times New Roman" w:hAnsi="Times New Roman"/>
          <w:sz w:val="24"/>
          <w:szCs w:val="20"/>
          <w:lang w:val="en-GB" w:eastAsia="fr-BE"/>
        </w:rPr>
        <w:t xml:space="preserve"> for the introduction of 5G terrestrial wireless systems are necessary to enable deployment of evolving and new services and applications (under licensed or licence-exempt operation). These studies should be framed by the Union's policy strategy so as to provide an appropriate spectrum mix for various usage scenarios, to study </w:t>
      </w:r>
      <w:r w:rsidR="001C45AE" w:rsidRPr="008D2A17">
        <w:rPr>
          <w:rFonts w:ascii="Times New Roman" w:hAnsi="Times New Roman"/>
          <w:sz w:val="24"/>
          <w:szCs w:val="20"/>
          <w:lang w:val="en-GB" w:eastAsia="fr-BE"/>
        </w:rPr>
        <w:t>coex</w:t>
      </w:r>
      <w:r w:rsidRPr="008D2A17">
        <w:rPr>
          <w:rFonts w:ascii="Times New Roman" w:hAnsi="Times New Roman"/>
          <w:sz w:val="24"/>
          <w:szCs w:val="20"/>
          <w:lang w:val="en-GB" w:eastAsia="fr-BE"/>
        </w:rPr>
        <w:t>istence scenarios with other radio services and to develop a European approach benefiting to the extent possible from global harmonisation. It is likely that results from the work at ITU level will deliver inputs to the studies under this Mandate</w:t>
      </w:r>
      <w:r w:rsidRPr="008D2A17">
        <w:rPr>
          <w:rFonts w:ascii="Times New Roman" w:hAnsi="Times New Roman"/>
          <w:sz w:val="24"/>
          <w:szCs w:val="20"/>
          <w:vertAlign w:val="superscript"/>
          <w:lang w:val="en-GB" w:eastAsia="fr-BE"/>
        </w:rPr>
        <w:footnoteReference w:id="30"/>
      </w:r>
      <w:r w:rsidRPr="008D2A17">
        <w:rPr>
          <w:rFonts w:ascii="Times New Roman" w:hAnsi="Times New Roman"/>
          <w:sz w:val="24"/>
          <w:szCs w:val="20"/>
          <w:lang w:val="en-GB" w:eastAsia="fr-BE"/>
        </w:rPr>
        <w:t xml:space="preserve">. In this regard, CEPT is already conducting studies on the pioneer 3.6 GHz and 26 GHz bands to assess harmonised technical conditions for 5G terrestrial wireless systems, as well as on potential extensions of the 1.5 GHz band. </w:t>
      </w:r>
    </w:p>
    <w:p w14:paraId="4B55DE34" w14:textId="77777777" w:rsidR="00C653AD" w:rsidRPr="008D2A17" w:rsidRDefault="00C653AD" w:rsidP="0062167A">
      <w:pPr>
        <w:keepNext/>
        <w:numPr>
          <w:ilvl w:val="0"/>
          <w:numId w:val="18"/>
        </w:numPr>
        <w:tabs>
          <w:tab w:val="num" w:pos="360"/>
          <w:tab w:val="num" w:pos="480"/>
        </w:tabs>
        <w:spacing w:before="240" w:after="240"/>
        <w:jc w:val="both"/>
        <w:outlineLvl w:val="0"/>
        <w:rPr>
          <w:rFonts w:ascii="Times New Roman" w:hAnsi="Times New Roman"/>
          <w:b/>
          <w:smallCaps/>
          <w:sz w:val="24"/>
          <w:szCs w:val="20"/>
          <w:lang w:val="en-GB"/>
        </w:rPr>
      </w:pPr>
      <w:bookmarkStart w:id="2095" w:name="_Toc479675621"/>
      <w:bookmarkStart w:id="2096" w:name="_Toc514428357"/>
      <w:bookmarkStart w:id="2097" w:name="_Toc507766121"/>
      <w:r w:rsidRPr="008D2A17">
        <w:rPr>
          <w:rFonts w:ascii="Times New Roman" w:hAnsi="Times New Roman"/>
          <w:b/>
          <w:smallCaps/>
          <w:sz w:val="24"/>
          <w:szCs w:val="20"/>
          <w:lang w:val="en-GB"/>
        </w:rPr>
        <w:t>Justification</w:t>
      </w:r>
      <w:bookmarkEnd w:id="2095"/>
      <w:bookmarkEnd w:id="2096"/>
      <w:bookmarkEnd w:id="2097"/>
    </w:p>
    <w:p w14:paraId="383A4735" w14:textId="77777777" w:rsidR="00C653AD" w:rsidRPr="008D2A17" w:rsidRDefault="00C653AD" w:rsidP="00C653AD">
      <w:pPr>
        <w:spacing w:after="240"/>
        <w:jc w:val="both"/>
        <w:rPr>
          <w:rFonts w:ascii="Times New Roman" w:hAnsi="Times New Roman"/>
          <w:sz w:val="24"/>
          <w:szCs w:val="20"/>
          <w:lang w:val="en-GB" w:eastAsia="fr-BE"/>
        </w:rPr>
      </w:pPr>
      <w:r w:rsidRPr="008D2A17">
        <w:rPr>
          <w:rFonts w:ascii="Times New Roman" w:hAnsi="Times New Roman"/>
          <w:sz w:val="24"/>
          <w:szCs w:val="20"/>
          <w:lang w:val="en-GB" w:eastAsia="fr-BE"/>
        </w:rPr>
        <w:t>Pursuant to Article 4(2) of the Radio Spectrum Decision</w:t>
      </w:r>
      <w:r w:rsidRPr="008D2A17">
        <w:rPr>
          <w:rFonts w:ascii="Times New Roman" w:hAnsi="Times New Roman"/>
          <w:sz w:val="24"/>
          <w:szCs w:val="20"/>
          <w:vertAlign w:val="superscript"/>
          <w:lang w:val="en-GB" w:eastAsia="fr-BE"/>
        </w:rPr>
        <w:footnoteReference w:id="31"/>
      </w:r>
      <w:r w:rsidRPr="008D2A17">
        <w:rPr>
          <w:rFonts w:ascii="Times New Roman" w:hAnsi="Times New Roman"/>
          <w:sz w:val="24"/>
          <w:szCs w:val="20"/>
          <w:lang w:val="en-GB" w:eastAsia="fr-BE"/>
        </w:rPr>
        <w:t xml:space="preserve"> the Commission may issue mandates to the CEPT for the development of technical implementing measures with a view to ensuring harmonised conditions for the availability and efficient use of radio spectrum necessary for the functioning of the internal market. Such mandates shall set the tasks to be performed and their </w:t>
      </w:r>
      <w:r w:rsidRPr="008D2A17">
        <w:rPr>
          <w:rFonts w:ascii="Times New Roman" w:hAnsi="Times New Roman"/>
          <w:sz w:val="24"/>
          <w:szCs w:val="20"/>
          <w:lang w:val="en-GB" w:eastAsia="fr-BE"/>
        </w:rPr>
        <w:lastRenderedPageBreak/>
        <w:t>timetable. Pursuant to the Radio Spectrum Decision, activities under the Decision must facilitate policy making with regard to the strategic planning and harmonisation of radio spectrum use as well as ensure the effective implementation of radio spectrum policy in the EU while serving the aim of coordination of policy approaches. Furthermore, they shall take due account of the work of international organisations related to radio spectrum management</w:t>
      </w:r>
      <w:r w:rsidRPr="008D2A17">
        <w:rPr>
          <w:rFonts w:ascii="Times New Roman" w:hAnsi="Times New Roman"/>
          <w:sz w:val="24"/>
          <w:szCs w:val="20"/>
          <w:vertAlign w:val="superscript"/>
          <w:lang w:val="en-GB" w:eastAsia="fr-BE"/>
        </w:rPr>
        <w:footnoteReference w:id="32"/>
      </w:r>
      <w:r w:rsidRPr="008D2A17">
        <w:rPr>
          <w:rFonts w:ascii="Times New Roman" w:hAnsi="Times New Roman"/>
          <w:sz w:val="24"/>
          <w:szCs w:val="20"/>
          <w:lang w:val="en-GB" w:eastAsia="fr-BE"/>
        </w:rPr>
        <w:t xml:space="preserve"> (such as ITU).</w:t>
      </w:r>
    </w:p>
    <w:p w14:paraId="2ECA9FAF" w14:textId="77777777" w:rsidR="00C653AD" w:rsidRPr="008D2A17" w:rsidRDefault="00C653AD" w:rsidP="00C653AD">
      <w:pPr>
        <w:spacing w:after="240"/>
        <w:jc w:val="both"/>
        <w:rPr>
          <w:rFonts w:ascii="Times New Roman" w:hAnsi="Times New Roman"/>
          <w:sz w:val="24"/>
          <w:szCs w:val="20"/>
          <w:lang w:val="en-GB" w:eastAsia="fr-BE"/>
        </w:rPr>
      </w:pPr>
      <w:r w:rsidRPr="008D2A17">
        <w:rPr>
          <w:rFonts w:ascii="Times New Roman" w:hAnsi="Times New Roman"/>
          <w:sz w:val="24"/>
          <w:szCs w:val="20"/>
          <w:lang w:val="en-GB" w:eastAsia="fr-BE"/>
        </w:rPr>
        <w:t>The Radio Spectrum Policy Programme (RSPP) requires Member States, in cooperation with the Commission, to take all steps necessary to ensure that sufficient spectrum for coverage and capacity purposes is available within the Union, in order to enable the Union to have the fastest broadband speeds in the world, thereby making it possible for wireless applications and European leadership in new services to contribute effectively to economic growth, and to achieving the target for all citizens to have access to broadband speeds of not less than 30 Mbps by 2020. Furthermore, the RSPP calls on Member States and the Commission to ensure spectrum availability for the Internet of Things (IoT). The RSPP also stipulates that Member States, in cooperation with the Commission, shall, where appropriate, foster shared use of spectrum</w:t>
      </w:r>
      <w:r w:rsidRPr="008D2A17">
        <w:rPr>
          <w:rFonts w:ascii="Times New Roman" w:hAnsi="Times New Roman"/>
          <w:sz w:val="24"/>
          <w:szCs w:val="20"/>
          <w:vertAlign w:val="superscript"/>
          <w:lang w:val="en-GB" w:eastAsia="fr-BE"/>
        </w:rPr>
        <w:footnoteReference w:id="33"/>
      </w:r>
      <w:r w:rsidRPr="008D2A17">
        <w:rPr>
          <w:rFonts w:ascii="Times New Roman" w:hAnsi="Times New Roman"/>
          <w:sz w:val="24"/>
          <w:szCs w:val="20"/>
          <w:lang w:val="en-GB" w:eastAsia="fr-BE"/>
        </w:rPr>
        <w:t xml:space="preserve">. </w:t>
      </w:r>
    </w:p>
    <w:p w14:paraId="2E5CD7D7" w14:textId="6071140F" w:rsidR="00C653AD" w:rsidRPr="008D2A17" w:rsidRDefault="00C653AD" w:rsidP="00C653AD">
      <w:pPr>
        <w:spacing w:after="240"/>
        <w:jc w:val="both"/>
        <w:rPr>
          <w:rFonts w:ascii="Times New Roman" w:hAnsi="Times New Roman"/>
          <w:sz w:val="24"/>
          <w:lang w:val="en-GB" w:eastAsia="fr-BE"/>
        </w:rPr>
      </w:pPr>
      <w:r w:rsidRPr="008D2A17">
        <w:rPr>
          <w:rFonts w:ascii="Times New Roman" w:hAnsi="Times New Roman"/>
          <w:sz w:val="24"/>
          <w:szCs w:val="20"/>
          <w:lang w:val="en-GB" w:eastAsia="fr-BE"/>
        </w:rPr>
        <w:t xml:space="preserve">Advances in international standardisation as well as rapid international developments regarding 5G trials and spectrum use until 2020 call for a swift and coordinated EU-level process on delivering sufficient and appropriate spectrum for 5G use in the Union according to anticipated deployment of 5G usage scenarios. Therefore, </w:t>
      </w:r>
      <w:r w:rsidRPr="008D2A17">
        <w:rPr>
          <w:rFonts w:ascii="Times New Roman" w:hAnsi="Times New Roman"/>
          <w:sz w:val="24"/>
          <w:lang w:val="en-GB" w:eastAsia="fr-BE"/>
        </w:rPr>
        <w:t>urgent action is needed in line with Union policy priorities and taking due account of relevant progress in international spectrum management to perform technical studies in order to develop harmonised technical conditions for spectrum use for the introduction of 5G terrestrial wireless systems.</w:t>
      </w:r>
    </w:p>
    <w:p w14:paraId="3AD10FB9" w14:textId="77777777" w:rsidR="00C653AD" w:rsidRPr="008D2A17" w:rsidRDefault="00C653AD" w:rsidP="0062167A">
      <w:pPr>
        <w:keepNext/>
        <w:numPr>
          <w:ilvl w:val="0"/>
          <w:numId w:val="18"/>
        </w:numPr>
        <w:tabs>
          <w:tab w:val="num" w:pos="360"/>
          <w:tab w:val="num" w:pos="480"/>
        </w:tabs>
        <w:spacing w:before="240" w:after="240"/>
        <w:jc w:val="both"/>
        <w:outlineLvl w:val="0"/>
        <w:rPr>
          <w:rFonts w:ascii="Times New Roman" w:hAnsi="Times New Roman"/>
          <w:b/>
          <w:smallCaps/>
          <w:sz w:val="24"/>
          <w:szCs w:val="20"/>
          <w:lang w:val="en-GB"/>
        </w:rPr>
      </w:pPr>
      <w:bookmarkStart w:id="2098" w:name="_Toc479675622"/>
      <w:bookmarkStart w:id="2099" w:name="_Toc514428358"/>
      <w:bookmarkStart w:id="2100" w:name="_Toc507766122"/>
      <w:r w:rsidRPr="008D2A17">
        <w:rPr>
          <w:rFonts w:ascii="Times New Roman" w:hAnsi="Times New Roman"/>
          <w:b/>
          <w:smallCaps/>
          <w:sz w:val="24"/>
          <w:szCs w:val="20"/>
          <w:lang w:val="en-GB"/>
        </w:rPr>
        <w:t>Task order and schedule</w:t>
      </w:r>
      <w:bookmarkEnd w:id="2098"/>
      <w:bookmarkEnd w:id="2099"/>
      <w:bookmarkEnd w:id="2100"/>
    </w:p>
    <w:p w14:paraId="01550407" w14:textId="77777777" w:rsidR="00C653AD" w:rsidRPr="008D2A17" w:rsidRDefault="00C653AD" w:rsidP="00C653AD">
      <w:pPr>
        <w:spacing w:after="240"/>
        <w:jc w:val="both"/>
        <w:rPr>
          <w:rFonts w:ascii="Times New Roman" w:hAnsi="Times New Roman"/>
          <w:sz w:val="24"/>
          <w:szCs w:val="20"/>
          <w:lang w:val="en-GB" w:eastAsia="fr-BE"/>
        </w:rPr>
      </w:pPr>
      <w:r w:rsidRPr="008D2A17">
        <w:rPr>
          <w:rFonts w:ascii="Times New Roman" w:hAnsi="Times New Roman"/>
          <w:sz w:val="24"/>
          <w:szCs w:val="20"/>
          <w:lang w:val="en-GB" w:eastAsia="fr-BE"/>
        </w:rPr>
        <w:t xml:space="preserve">CEPT is herewith mandated to develop </w:t>
      </w:r>
      <w:r w:rsidRPr="008D2A17">
        <w:rPr>
          <w:rFonts w:ascii="Times New Roman" w:hAnsi="Times New Roman"/>
          <w:sz w:val="24"/>
          <w:lang w:val="en-GB" w:eastAsia="fr-BE"/>
        </w:rPr>
        <w:t>harmonised technical conditions for spectrum use of selected frequency bands, which is suitable for 5G terrestrial wireless systems,</w:t>
      </w:r>
      <w:r w:rsidRPr="008D2A17">
        <w:rPr>
          <w:rFonts w:ascii="Times New Roman" w:hAnsi="Times New Roman"/>
          <w:sz w:val="24"/>
          <w:szCs w:val="20"/>
          <w:lang w:val="en-GB" w:eastAsia="fr-BE"/>
        </w:rPr>
        <w:t xml:space="preserve"> in compliance with the policy priorities set out in this Mandate. These conditions should allow the provisions of wireless broadband electronic communications services including 5G usage scenarios and </w:t>
      </w:r>
      <w:r w:rsidRPr="008D2A17">
        <w:rPr>
          <w:rFonts w:ascii="Times New Roman" w:hAnsi="Times New Roman"/>
          <w:sz w:val="24"/>
          <w:lang w:val="en-GB" w:eastAsia="fr-BE"/>
        </w:rPr>
        <w:t xml:space="preserve">take into account needs for shared spectrum use with existing or prospective incumbent uses. CEPT should give </w:t>
      </w:r>
      <w:r w:rsidRPr="008D2A17">
        <w:rPr>
          <w:rFonts w:ascii="Times New Roman" w:hAnsi="Times New Roman"/>
          <w:sz w:val="24"/>
          <w:szCs w:val="20"/>
          <w:lang w:val="en-GB" w:eastAsia="fr-BE"/>
        </w:rPr>
        <w:t>utmost consideration</w:t>
      </w:r>
      <w:r w:rsidRPr="008D2A17">
        <w:rPr>
          <w:rFonts w:ascii="Times New Roman" w:hAnsi="Times New Roman"/>
          <w:sz w:val="24"/>
          <w:lang w:val="en-GB" w:eastAsia="fr-BE"/>
        </w:rPr>
        <w:t xml:space="preserve"> to </w:t>
      </w:r>
      <w:r w:rsidRPr="008D2A17">
        <w:rPr>
          <w:rFonts w:ascii="Times New Roman" w:hAnsi="Times New Roman"/>
          <w:sz w:val="24"/>
          <w:szCs w:val="20"/>
          <w:lang w:val="en-GB" w:eastAsia="fr-BE"/>
        </w:rPr>
        <w:t>overarching Union-level spectrum policy objectives</w:t>
      </w:r>
      <w:r w:rsidRPr="008D2A17">
        <w:rPr>
          <w:rFonts w:ascii="Times New Roman" w:hAnsi="Times New Roman"/>
          <w:sz w:val="24"/>
          <w:szCs w:val="20"/>
          <w:vertAlign w:val="superscript"/>
          <w:lang w:val="en-GB" w:eastAsia="fr-BE"/>
        </w:rPr>
        <w:footnoteReference w:id="34"/>
      </w:r>
      <w:r w:rsidRPr="008D2A17">
        <w:rPr>
          <w:rFonts w:ascii="Times New Roman" w:hAnsi="Times New Roman"/>
          <w:sz w:val="24"/>
          <w:szCs w:val="20"/>
          <w:lang w:val="en-GB" w:eastAsia="fr-BE"/>
        </w:rPr>
        <w:t xml:space="preserve"> such as efficient spectrum use and take utmost account of applicable principles of Union law such as technological and service neutrality, non-discrimination and proportionality insofar as technically possible. </w:t>
      </w:r>
    </w:p>
    <w:p w14:paraId="35882F86" w14:textId="77777777" w:rsidR="00C653AD" w:rsidRPr="008D2A17" w:rsidRDefault="00C653AD" w:rsidP="00C653AD">
      <w:pPr>
        <w:spacing w:after="240"/>
        <w:jc w:val="both"/>
        <w:rPr>
          <w:rFonts w:ascii="Times New Roman" w:hAnsi="Times New Roman"/>
          <w:sz w:val="24"/>
          <w:szCs w:val="20"/>
          <w:lang w:val="en-GB" w:eastAsia="fr-BE"/>
        </w:rPr>
      </w:pPr>
      <w:r w:rsidRPr="008D2A17">
        <w:rPr>
          <w:rFonts w:ascii="Times New Roman" w:hAnsi="Times New Roman"/>
          <w:sz w:val="24"/>
          <w:szCs w:val="20"/>
          <w:lang w:val="en-GB" w:eastAsia="fr-BE"/>
        </w:rPr>
        <w:t xml:space="preserve">CEPT is requested to collaborate actively with the European Telecommunications Standardisation Institute (ETSI) which develops harmonised standards for conformity under the Radio Equipment Directive. In particular, CEPT should take into consideration emerging technologies and ETSI (harmonised) standards, which define 5G systems and facilitate shared spectrum use or foster economies of scale. Furthermore, CEPT is requested to take into account relevant developments at international </w:t>
      </w:r>
      <w:proofErr w:type="gramStart"/>
      <w:r w:rsidRPr="008D2A17">
        <w:rPr>
          <w:rFonts w:ascii="Times New Roman" w:hAnsi="Times New Roman"/>
          <w:sz w:val="24"/>
          <w:szCs w:val="20"/>
          <w:lang w:val="en-GB" w:eastAsia="fr-BE"/>
        </w:rPr>
        <w:t>level  and</w:t>
      </w:r>
      <w:proofErr w:type="gramEnd"/>
      <w:r w:rsidRPr="008D2A17">
        <w:rPr>
          <w:rFonts w:ascii="Times New Roman" w:hAnsi="Times New Roman"/>
          <w:sz w:val="24"/>
          <w:szCs w:val="20"/>
          <w:lang w:val="en-GB" w:eastAsia="fr-BE"/>
        </w:rPr>
        <w:t xml:space="preserve"> to consider possible synergies.</w:t>
      </w:r>
    </w:p>
    <w:p w14:paraId="4493FD40" w14:textId="2E9C62F9" w:rsidR="00C653AD" w:rsidRPr="008D2A17" w:rsidRDefault="00C653AD" w:rsidP="00C653AD">
      <w:pPr>
        <w:spacing w:after="240"/>
        <w:jc w:val="both"/>
        <w:rPr>
          <w:rFonts w:ascii="Times New Roman" w:hAnsi="Times New Roman"/>
          <w:sz w:val="24"/>
          <w:szCs w:val="20"/>
          <w:lang w:val="en-GB" w:eastAsia="fr-BE"/>
        </w:rPr>
      </w:pPr>
      <w:r w:rsidRPr="008D2A17">
        <w:rPr>
          <w:rFonts w:ascii="Times New Roman" w:hAnsi="Times New Roman"/>
          <w:sz w:val="24"/>
          <w:szCs w:val="20"/>
          <w:lang w:val="en-GB" w:eastAsia="fr-BE"/>
        </w:rPr>
        <w:t>When developing harmonised technical conditions, CEPT shall focus its efforts on the pioneer bands as identified in this Mandate and take due account of the relevant RSPG recommendations</w:t>
      </w:r>
      <w:r w:rsidRPr="00661C15">
        <w:rPr>
          <w:rFonts w:ascii="Times New Roman" w:hAnsi="Times New Roman"/>
          <w:sz w:val="24"/>
          <w:szCs w:val="20"/>
          <w:vertAlign w:val="superscript"/>
          <w:lang w:val="en-GB" w:eastAsia="fr-BE"/>
        </w:rPr>
        <w:fldChar w:fldCharType="begin"/>
      </w:r>
      <w:r w:rsidRPr="00661C15">
        <w:rPr>
          <w:rFonts w:ascii="Times New Roman" w:hAnsi="Times New Roman"/>
          <w:sz w:val="24"/>
          <w:szCs w:val="20"/>
          <w:vertAlign w:val="superscript"/>
          <w:lang w:val="en-GB" w:eastAsia="fr-BE"/>
        </w:rPr>
        <w:instrText xml:space="preserve"> NOTEREF _Ref467158380 \f \h  \* MERGEFORMAT </w:instrText>
      </w:r>
      <w:r w:rsidRPr="00661C15">
        <w:rPr>
          <w:rFonts w:ascii="Times New Roman" w:hAnsi="Times New Roman"/>
          <w:sz w:val="24"/>
          <w:szCs w:val="20"/>
          <w:vertAlign w:val="superscript"/>
          <w:lang w:val="en-GB" w:eastAsia="fr-BE"/>
        </w:rPr>
      </w:r>
      <w:r w:rsidRPr="00661C15">
        <w:rPr>
          <w:rFonts w:ascii="Times New Roman" w:hAnsi="Times New Roman"/>
          <w:sz w:val="24"/>
          <w:szCs w:val="20"/>
          <w:vertAlign w:val="superscript"/>
          <w:lang w:val="en-GB" w:eastAsia="fr-BE"/>
        </w:rPr>
        <w:fldChar w:fldCharType="separate"/>
      </w:r>
      <w:r w:rsidR="00FA5407" w:rsidRPr="00661C15">
        <w:rPr>
          <w:rFonts w:ascii="Times New Roman" w:hAnsi="Times New Roman"/>
          <w:sz w:val="24"/>
          <w:szCs w:val="20"/>
          <w:vertAlign w:val="superscript"/>
          <w:lang w:val="en-GB" w:eastAsia="fr-BE"/>
        </w:rPr>
        <w:t>23</w:t>
      </w:r>
      <w:r w:rsidRPr="00661C15">
        <w:rPr>
          <w:rFonts w:ascii="Times New Roman" w:hAnsi="Times New Roman"/>
          <w:sz w:val="24"/>
          <w:szCs w:val="20"/>
          <w:vertAlign w:val="superscript"/>
          <w:lang w:val="en-GB" w:eastAsia="fr-BE"/>
        </w:rPr>
        <w:fldChar w:fldCharType="end"/>
      </w:r>
      <w:r w:rsidRPr="00661C15">
        <w:rPr>
          <w:rFonts w:ascii="Times New Roman" w:hAnsi="Times New Roman"/>
          <w:sz w:val="24"/>
          <w:szCs w:val="20"/>
          <w:vertAlign w:val="superscript"/>
          <w:lang w:val="en-GB" w:eastAsia="fr-BE"/>
        </w:rPr>
        <w:t xml:space="preserve"> i</w:t>
      </w:r>
      <w:r w:rsidRPr="008D2A17">
        <w:rPr>
          <w:rFonts w:ascii="Times New Roman" w:hAnsi="Times New Roman"/>
          <w:sz w:val="24"/>
          <w:szCs w:val="20"/>
          <w:lang w:val="en-GB" w:eastAsia="fr-BE"/>
        </w:rPr>
        <w:t xml:space="preserve">n respect to other radio services. More specifically, CEPT </w:t>
      </w:r>
      <w:r w:rsidRPr="008D2A17">
        <w:rPr>
          <w:rFonts w:ascii="Times New Roman" w:hAnsi="Times New Roman"/>
          <w:sz w:val="24"/>
          <w:szCs w:val="20"/>
          <w:shd w:val="clear" w:color="auto" w:fill="FFFFFF"/>
          <w:lang w:val="en-GB" w:eastAsia="fr-BE"/>
        </w:rPr>
        <w:t xml:space="preserve">is mandated </w:t>
      </w:r>
      <w:r w:rsidRPr="008D2A17">
        <w:rPr>
          <w:rFonts w:ascii="Times New Roman" w:hAnsi="Times New Roman"/>
          <w:sz w:val="24"/>
          <w:szCs w:val="20"/>
          <w:lang w:val="en-GB" w:eastAsia="fr-BE"/>
        </w:rPr>
        <w:t xml:space="preserve">to perform the following </w:t>
      </w:r>
      <w:r w:rsidRPr="008D2A17">
        <w:rPr>
          <w:rFonts w:ascii="Times New Roman" w:hAnsi="Times New Roman"/>
          <w:sz w:val="24"/>
          <w:szCs w:val="20"/>
          <w:lang w:val="en-GB" w:eastAsia="fr-BE"/>
        </w:rPr>
        <w:lastRenderedPageBreak/>
        <w:t xml:space="preserve">tasks </w:t>
      </w:r>
      <w:r w:rsidRPr="008D2A17">
        <w:rPr>
          <w:rFonts w:ascii="Times New Roman" w:hAnsi="Times New Roman"/>
          <w:sz w:val="24"/>
          <w:lang w:val="en-GB" w:eastAsia="fr-BE"/>
        </w:rPr>
        <w:t xml:space="preserve">with view to creating </w:t>
      </w:r>
      <w:r w:rsidRPr="008D2A17">
        <w:rPr>
          <w:rFonts w:ascii="Times New Roman" w:hAnsi="Times New Roman"/>
          <w:sz w:val="24"/>
          <w:szCs w:val="20"/>
          <w:lang w:val="en-GB" w:eastAsia="fr-BE"/>
        </w:rPr>
        <w:t xml:space="preserve">sufficiently precise harmonised technical </w:t>
      </w:r>
      <w:r w:rsidRPr="008D2A17">
        <w:rPr>
          <w:rFonts w:ascii="Times New Roman" w:hAnsi="Times New Roman"/>
          <w:sz w:val="24"/>
          <w:lang w:val="en-GB" w:eastAsia="fr-BE"/>
        </w:rPr>
        <w:t xml:space="preserve">conditions </w:t>
      </w:r>
      <w:r w:rsidRPr="008D2A17">
        <w:rPr>
          <w:rFonts w:ascii="Times New Roman" w:hAnsi="Times New Roman"/>
          <w:sz w:val="24"/>
          <w:szCs w:val="20"/>
          <w:lang w:val="en-GB" w:eastAsia="fr-BE"/>
        </w:rPr>
        <w:t>for the development of EU-wide equipment for the introduction of 5G terrestrial wireless systems in the Union:</w:t>
      </w:r>
    </w:p>
    <w:p w14:paraId="7C674FD2" w14:textId="77777777" w:rsidR="00C653AD" w:rsidRPr="008D2A17" w:rsidRDefault="00C653AD" w:rsidP="0062167A">
      <w:pPr>
        <w:numPr>
          <w:ilvl w:val="0"/>
          <w:numId w:val="16"/>
        </w:numPr>
        <w:spacing w:after="240"/>
        <w:ind w:left="720" w:hanging="480"/>
        <w:jc w:val="both"/>
        <w:rPr>
          <w:rFonts w:ascii="Times New Roman" w:hAnsi="Times New Roman"/>
          <w:sz w:val="24"/>
          <w:lang w:val="en-GB" w:eastAsia="fr-BE"/>
        </w:rPr>
      </w:pPr>
      <w:r w:rsidRPr="008D2A17">
        <w:rPr>
          <w:rFonts w:ascii="Times New Roman" w:hAnsi="Times New Roman"/>
          <w:sz w:val="24"/>
          <w:szCs w:val="20"/>
          <w:lang w:val="en-GB" w:eastAsia="fr-BE"/>
        </w:rPr>
        <w:t xml:space="preserve">Review the harmonised technical conditions applicable to the </w:t>
      </w:r>
      <w:r w:rsidRPr="008D2A17">
        <w:rPr>
          <w:rFonts w:ascii="Times New Roman" w:hAnsi="Times New Roman"/>
          <w:b/>
          <w:sz w:val="24"/>
          <w:szCs w:val="20"/>
          <w:lang w:val="en-GB" w:eastAsia="fr-BE"/>
        </w:rPr>
        <w:t>3.4-3.8 GHz ('3.6 GHz') frequency band, as a 5G pioneer band</w:t>
      </w:r>
      <w:r w:rsidRPr="008D2A17">
        <w:rPr>
          <w:rFonts w:ascii="Times New Roman" w:hAnsi="Times New Roman"/>
          <w:sz w:val="24"/>
          <w:szCs w:val="20"/>
          <w:lang w:val="en-GB" w:eastAsia="fr-BE"/>
        </w:rPr>
        <w:t>, with view to their suitability for 5G terrestrial wireless systems and amend these, if necessary.</w:t>
      </w:r>
    </w:p>
    <w:p w14:paraId="226E27BF" w14:textId="7EA22CC4" w:rsidR="00C653AD" w:rsidRPr="008D2A17" w:rsidRDefault="00C653AD" w:rsidP="0062167A">
      <w:pPr>
        <w:numPr>
          <w:ilvl w:val="0"/>
          <w:numId w:val="16"/>
        </w:numPr>
        <w:spacing w:after="240"/>
        <w:ind w:left="720" w:hanging="480"/>
        <w:jc w:val="both"/>
        <w:rPr>
          <w:rFonts w:ascii="Times New Roman" w:hAnsi="Times New Roman"/>
          <w:sz w:val="24"/>
          <w:lang w:val="en-GB" w:eastAsia="fr-BE"/>
        </w:rPr>
      </w:pPr>
      <w:r w:rsidRPr="008D2A17">
        <w:rPr>
          <w:rFonts w:ascii="Times New Roman" w:hAnsi="Times New Roman"/>
          <w:sz w:val="24"/>
          <w:szCs w:val="20"/>
          <w:lang w:val="en-GB" w:eastAsia="fr-BE"/>
        </w:rPr>
        <w:t xml:space="preserve">Study and assess the </w:t>
      </w:r>
      <w:r w:rsidRPr="008D2A17">
        <w:rPr>
          <w:rFonts w:ascii="Times New Roman" w:hAnsi="Times New Roman"/>
          <w:b/>
          <w:sz w:val="24"/>
          <w:szCs w:val="20"/>
          <w:lang w:val="en-GB" w:eastAsia="fr-BE"/>
        </w:rPr>
        <w:t>24.25-27.5 GHz ('26 GHz') frequency band</w:t>
      </w:r>
      <w:r w:rsidRPr="008D2A17">
        <w:rPr>
          <w:rFonts w:ascii="Times New Roman" w:hAnsi="Times New Roman"/>
          <w:sz w:val="24"/>
          <w:szCs w:val="20"/>
          <w:lang w:val="en-GB" w:eastAsia="fr-BE"/>
        </w:rPr>
        <w:t xml:space="preserve"> </w:t>
      </w:r>
      <w:r w:rsidRPr="008D2A17">
        <w:rPr>
          <w:rFonts w:ascii="Times New Roman" w:hAnsi="Times New Roman"/>
          <w:b/>
          <w:sz w:val="24"/>
          <w:szCs w:val="20"/>
          <w:lang w:val="en-GB" w:eastAsia="fr-BE"/>
        </w:rPr>
        <w:t>as a 5G pioneer band</w:t>
      </w:r>
      <w:r w:rsidRPr="008D2A17">
        <w:rPr>
          <w:rFonts w:ascii="Times New Roman" w:hAnsi="Times New Roman"/>
          <w:sz w:val="24"/>
          <w:szCs w:val="20"/>
          <w:lang w:val="en-GB" w:eastAsia="fr-BE"/>
        </w:rPr>
        <w:t xml:space="preserve"> for use under relevant 5G usage scenarios taking into account the </w:t>
      </w:r>
      <w:r w:rsidR="001C45AE" w:rsidRPr="008D2A17">
        <w:rPr>
          <w:rFonts w:ascii="Times New Roman" w:hAnsi="Times New Roman"/>
          <w:sz w:val="24"/>
          <w:szCs w:val="20"/>
          <w:lang w:val="en-GB" w:eastAsia="fr-BE"/>
        </w:rPr>
        <w:t>coex</w:t>
      </w:r>
      <w:r w:rsidRPr="008D2A17">
        <w:rPr>
          <w:rFonts w:ascii="Times New Roman" w:hAnsi="Times New Roman"/>
          <w:sz w:val="24"/>
          <w:szCs w:val="20"/>
          <w:lang w:val="en-GB" w:eastAsia="fr-BE"/>
        </w:rPr>
        <w:t>istence issues highlighted in the RSPG opinion</w:t>
      </w:r>
      <w:r w:rsidRPr="008D2A17">
        <w:rPr>
          <w:rFonts w:ascii="Times New Roman" w:hAnsi="Times New Roman"/>
          <w:sz w:val="24"/>
          <w:szCs w:val="20"/>
          <w:lang w:val="en-GB" w:eastAsia="fr-BE"/>
        </w:rPr>
        <w:fldChar w:fldCharType="begin"/>
      </w:r>
      <w:r w:rsidRPr="008D2A17">
        <w:rPr>
          <w:rFonts w:ascii="Times New Roman" w:hAnsi="Times New Roman"/>
          <w:sz w:val="24"/>
          <w:szCs w:val="20"/>
          <w:lang w:val="en-GB" w:eastAsia="fr-BE"/>
        </w:rPr>
        <w:instrText xml:space="preserve"> NOTEREF _Ref467158380 \f \h </w:instrText>
      </w:r>
      <w:r w:rsidR="00CE0DB1" w:rsidRPr="008D2A17">
        <w:rPr>
          <w:rFonts w:ascii="Times New Roman" w:hAnsi="Times New Roman"/>
          <w:sz w:val="24"/>
          <w:szCs w:val="20"/>
          <w:lang w:val="en-GB" w:eastAsia="fr-BE"/>
        </w:rPr>
        <w:instrText xml:space="preserve"> \* MERGEFORMAT </w:instrText>
      </w:r>
      <w:r w:rsidRPr="008D2A17">
        <w:rPr>
          <w:rFonts w:ascii="Times New Roman" w:hAnsi="Times New Roman"/>
          <w:sz w:val="24"/>
          <w:szCs w:val="20"/>
          <w:lang w:val="en-GB" w:eastAsia="fr-BE"/>
        </w:rPr>
      </w:r>
      <w:r w:rsidRPr="008D2A17">
        <w:rPr>
          <w:rFonts w:ascii="Times New Roman" w:hAnsi="Times New Roman"/>
          <w:sz w:val="24"/>
          <w:szCs w:val="20"/>
          <w:lang w:val="en-GB" w:eastAsia="fr-BE"/>
        </w:rPr>
        <w:fldChar w:fldCharType="separate"/>
      </w:r>
      <w:r w:rsidR="00FA5407" w:rsidRPr="00661C15">
        <w:rPr>
          <w:rStyle w:val="FootnoteReference"/>
        </w:rPr>
        <w:t>23</w:t>
      </w:r>
      <w:r w:rsidRPr="008D2A17">
        <w:rPr>
          <w:rFonts w:ascii="Times New Roman" w:hAnsi="Times New Roman"/>
          <w:sz w:val="24"/>
          <w:szCs w:val="20"/>
          <w:lang w:val="en-GB" w:eastAsia="fr-BE"/>
        </w:rPr>
        <w:fldChar w:fldCharType="end"/>
      </w:r>
      <w:r w:rsidRPr="008D2A17">
        <w:rPr>
          <w:rFonts w:ascii="Times New Roman" w:hAnsi="Times New Roman"/>
          <w:sz w:val="24"/>
          <w:szCs w:val="20"/>
          <w:lang w:val="en-GB" w:eastAsia="fr-BE"/>
        </w:rPr>
        <w:t xml:space="preserve"> with respect to fixed links, earth exploration satellite and space research services, fixed satellite services, data relay satellite systems and passive services in the frequency band 23.6-24 GHz. In this regard, identify and study common </w:t>
      </w:r>
      <w:r w:rsidRPr="008D2A17">
        <w:rPr>
          <w:rFonts w:ascii="Times New Roman" w:hAnsi="Times New Roman"/>
          <w:i/>
          <w:sz w:val="24"/>
          <w:szCs w:val="20"/>
          <w:lang w:val="en-GB" w:eastAsia="fr-BE"/>
        </w:rPr>
        <w:t>sharing scenarios</w:t>
      </w:r>
      <w:r w:rsidRPr="008D2A17">
        <w:rPr>
          <w:rFonts w:ascii="Times New Roman" w:hAnsi="Times New Roman"/>
          <w:sz w:val="24"/>
          <w:szCs w:val="20"/>
          <w:lang w:val="en-GB" w:eastAsia="fr-BE"/>
        </w:rPr>
        <w:t xml:space="preserve"> with incumbent radio services and applications, for which future demand has been identified. </w:t>
      </w:r>
    </w:p>
    <w:p w14:paraId="76F798FC" w14:textId="0933AAA1" w:rsidR="00C653AD" w:rsidRPr="008D2A17" w:rsidRDefault="00C653AD" w:rsidP="00C653AD">
      <w:pPr>
        <w:spacing w:after="240"/>
        <w:ind w:left="720"/>
        <w:jc w:val="both"/>
        <w:rPr>
          <w:rFonts w:ascii="Times New Roman" w:hAnsi="Times New Roman"/>
          <w:sz w:val="24"/>
          <w:lang w:val="en-GB" w:eastAsia="fr-BE"/>
        </w:rPr>
      </w:pPr>
      <w:r w:rsidRPr="008D2A17">
        <w:rPr>
          <w:rFonts w:ascii="Times New Roman" w:hAnsi="Times New Roman"/>
          <w:sz w:val="24"/>
          <w:szCs w:val="20"/>
          <w:lang w:val="en-GB" w:eastAsia="fr-BE"/>
        </w:rPr>
        <w:t xml:space="preserve">Opportunities for interoperability and economies of scale of equipment such as a common tuning range, including the 26 GHz band, with possible 5G use outside Europe shall be taken into account. The impact of activities outside Europe in the adjacent frequency band for 5G </w:t>
      </w:r>
      <w:proofErr w:type="gramStart"/>
      <w:r w:rsidRPr="008D2A17">
        <w:rPr>
          <w:rFonts w:ascii="Times New Roman" w:hAnsi="Times New Roman"/>
          <w:sz w:val="24"/>
          <w:szCs w:val="20"/>
          <w:lang w:val="en-GB" w:eastAsia="fr-BE"/>
        </w:rPr>
        <w:t>use</w:t>
      </w:r>
      <w:proofErr w:type="gramEnd"/>
      <w:r w:rsidRPr="008D2A17">
        <w:rPr>
          <w:rFonts w:ascii="Times New Roman" w:hAnsi="Times New Roman"/>
          <w:sz w:val="24"/>
          <w:szCs w:val="20"/>
          <w:lang w:val="en-GB" w:eastAsia="fr-BE"/>
        </w:rPr>
        <w:t xml:space="preserve"> shall be considered, including a broad range of sharing scenarios that protect existing and future satellite services in the band. </w:t>
      </w:r>
    </w:p>
    <w:p w14:paraId="13B4EA25" w14:textId="77777777" w:rsidR="00C653AD" w:rsidRPr="008D2A17" w:rsidRDefault="00C653AD" w:rsidP="0062167A">
      <w:pPr>
        <w:numPr>
          <w:ilvl w:val="0"/>
          <w:numId w:val="16"/>
        </w:numPr>
        <w:shd w:val="clear" w:color="auto" w:fill="FFFFFF"/>
        <w:spacing w:after="240"/>
        <w:ind w:left="720" w:hanging="480"/>
        <w:jc w:val="both"/>
        <w:rPr>
          <w:rFonts w:ascii="Times New Roman" w:hAnsi="Times New Roman"/>
          <w:sz w:val="24"/>
          <w:szCs w:val="20"/>
          <w:lang w:val="en-GB" w:eastAsia="fr-BE"/>
        </w:rPr>
      </w:pPr>
      <w:r w:rsidRPr="008D2A17">
        <w:rPr>
          <w:rFonts w:ascii="Times New Roman" w:hAnsi="Times New Roman"/>
          <w:sz w:val="24"/>
          <w:szCs w:val="20"/>
          <w:lang w:val="en-GB" w:eastAsia="fr-BE"/>
        </w:rPr>
        <w:t>Develop channelling arrangements and common and minimal (least restrictive) technical conditions</w:t>
      </w:r>
      <w:bookmarkStart w:id="2101" w:name="_Ref463890242"/>
      <w:r w:rsidRPr="008D2A17">
        <w:rPr>
          <w:rFonts w:ascii="Times New Roman" w:hAnsi="Times New Roman"/>
          <w:sz w:val="24"/>
          <w:szCs w:val="20"/>
          <w:vertAlign w:val="superscript"/>
          <w:lang w:val="en-GB" w:eastAsia="fr-BE"/>
        </w:rPr>
        <w:footnoteReference w:id="35"/>
      </w:r>
      <w:bookmarkEnd w:id="2101"/>
      <w:r w:rsidRPr="008D2A17">
        <w:rPr>
          <w:rFonts w:ascii="Times New Roman" w:hAnsi="Times New Roman"/>
          <w:sz w:val="24"/>
          <w:szCs w:val="20"/>
          <w:lang w:val="en-GB" w:eastAsia="fr-BE"/>
        </w:rPr>
        <w:t xml:space="preserve"> for spectrum use in the </w:t>
      </w:r>
      <w:r w:rsidRPr="008D2A17">
        <w:rPr>
          <w:rFonts w:ascii="Times New Roman" w:hAnsi="Times New Roman"/>
          <w:b/>
          <w:sz w:val="24"/>
          <w:szCs w:val="20"/>
          <w:lang w:val="en-GB" w:eastAsia="fr-BE"/>
        </w:rPr>
        <w:t>26 GHz frequency band</w:t>
      </w:r>
      <w:r w:rsidRPr="008D2A17">
        <w:rPr>
          <w:rFonts w:ascii="Times New Roman" w:hAnsi="Times New Roman"/>
          <w:sz w:val="24"/>
          <w:szCs w:val="20"/>
          <w:lang w:val="en-GB" w:eastAsia="fr-BE"/>
        </w:rPr>
        <w:t>, which are suitable for 5G terrestrial wireless systems, in conjunction with relevant usage and sharing scenarios.</w:t>
      </w:r>
    </w:p>
    <w:p w14:paraId="1E8744D1" w14:textId="77777777" w:rsidR="00C653AD" w:rsidRPr="008D2A17" w:rsidRDefault="00C653AD" w:rsidP="00C653AD">
      <w:pPr>
        <w:shd w:val="clear" w:color="auto" w:fill="FFFFFF"/>
        <w:spacing w:after="240"/>
        <w:ind w:left="720"/>
        <w:jc w:val="both"/>
        <w:rPr>
          <w:rFonts w:ascii="Times New Roman" w:hAnsi="Times New Roman"/>
          <w:sz w:val="24"/>
          <w:szCs w:val="20"/>
          <w:lang w:val="en-GB" w:eastAsia="fr-BE"/>
        </w:rPr>
      </w:pPr>
      <w:r w:rsidRPr="008D2A17">
        <w:rPr>
          <w:rFonts w:ascii="Times New Roman" w:hAnsi="Times New Roman"/>
          <w:sz w:val="24"/>
          <w:szCs w:val="20"/>
          <w:lang w:val="en-GB" w:eastAsia="fr-BE"/>
        </w:rPr>
        <w:t xml:space="preserve">In this regard, develop harmonised technical conditions to ensure spectrum usage </w:t>
      </w:r>
      <w:r w:rsidRPr="008D2A17">
        <w:rPr>
          <w:rFonts w:ascii="Times New Roman" w:hAnsi="Times New Roman"/>
          <w:i/>
          <w:sz w:val="24"/>
          <w:szCs w:val="20"/>
          <w:lang w:val="en-GB" w:eastAsia="fr-BE"/>
        </w:rPr>
        <w:t xml:space="preserve">on a shared basis, </w:t>
      </w:r>
      <w:r w:rsidRPr="008D2A17">
        <w:rPr>
          <w:rFonts w:ascii="Times New Roman" w:hAnsi="Times New Roman"/>
          <w:sz w:val="24"/>
          <w:szCs w:val="20"/>
          <w:lang w:val="en-GB" w:eastAsia="fr-BE"/>
        </w:rPr>
        <w:t xml:space="preserve">including </w:t>
      </w:r>
      <w:r w:rsidRPr="008D2A17">
        <w:rPr>
          <w:rFonts w:ascii="Times New Roman" w:hAnsi="Times New Roman"/>
          <w:i/>
          <w:sz w:val="24"/>
          <w:szCs w:val="20"/>
          <w:lang w:val="en-GB" w:eastAsia="fr-BE"/>
        </w:rPr>
        <w:t>protection conditions</w:t>
      </w:r>
      <w:r w:rsidRPr="008D2A17">
        <w:rPr>
          <w:rFonts w:ascii="Times New Roman" w:hAnsi="Times New Roman"/>
          <w:sz w:val="24"/>
          <w:szCs w:val="20"/>
          <w:lang w:val="en-GB" w:eastAsia="fr-BE"/>
        </w:rPr>
        <w:t xml:space="preserve"> where necessary, pursuant to the sharing scenarios identified under Task 2, in close cooperation with all concerned stakeholders. These conditions should be sufficient to mitigate interference and ensure </w:t>
      </w:r>
      <w:r w:rsidR="001C45AE" w:rsidRPr="008D2A17">
        <w:rPr>
          <w:rFonts w:ascii="Times New Roman" w:hAnsi="Times New Roman"/>
          <w:sz w:val="24"/>
          <w:szCs w:val="20"/>
          <w:lang w:val="en-GB" w:eastAsia="fr-BE"/>
        </w:rPr>
        <w:t>coex</w:t>
      </w:r>
      <w:r w:rsidRPr="008D2A17">
        <w:rPr>
          <w:rFonts w:ascii="Times New Roman" w:hAnsi="Times New Roman"/>
          <w:sz w:val="24"/>
          <w:szCs w:val="20"/>
          <w:lang w:val="en-GB" w:eastAsia="fr-BE"/>
        </w:rPr>
        <w:t xml:space="preserve">istence with incumbent radio services/applications in the same band or in adjacent bands, in line with their regulatory status, </w:t>
      </w:r>
      <w:r w:rsidRPr="008D2A17">
        <w:rPr>
          <w:rFonts w:ascii="Times New Roman" w:hAnsi="Times New Roman"/>
          <w:sz w:val="24"/>
          <w:lang w:val="en-GB" w:eastAsia="fr-BE"/>
        </w:rPr>
        <w:t xml:space="preserve">including at the EU </w:t>
      </w:r>
      <w:r w:rsidRPr="008D2A17">
        <w:rPr>
          <w:rFonts w:ascii="Times New Roman" w:hAnsi="Times New Roman"/>
          <w:sz w:val="24"/>
          <w:szCs w:val="20"/>
          <w:lang w:val="en-GB" w:eastAsia="fr-BE"/>
        </w:rPr>
        <w:t xml:space="preserve">outer </w:t>
      </w:r>
      <w:r w:rsidRPr="008D2A17">
        <w:rPr>
          <w:rFonts w:ascii="Times New Roman" w:hAnsi="Times New Roman"/>
          <w:sz w:val="24"/>
          <w:lang w:val="en-GB" w:eastAsia="fr-BE"/>
        </w:rPr>
        <w:t>borders</w:t>
      </w:r>
      <w:r w:rsidRPr="008D2A17">
        <w:rPr>
          <w:rFonts w:ascii="Times New Roman" w:hAnsi="Times New Roman"/>
          <w:sz w:val="24"/>
          <w:szCs w:val="20"/>
          <w:lang w:val="en-GB" w:eastAsia="fr-BE"/>
        </w:rPr>
        <w:t>.</w:t>
      </w:r>
    </w:p>
    <w:p w14:paraId="4667C251" w14:textId="77777777" w:rsidR="00C653AD" w:rsidRPr="008D2A17" w:rsidRDefault="00C653AD" w:rsidP="0062167A">
      <w:pPr>
        <w:numPr>
          <w:ilvl w:val="0"/>
          <w:numId w:val="16"/>
        </w:numPr>
        <w:shd w:val="clear" w:color="auto" w:fill="FFFFFF"/>
        <w:spacing w:after="240"/>
        <w:ind w:left="720" w:hanging="480"/>
        <w:jc w:val="both"/>
        <w:rPr>
          <w:rFonts w:ascii="Times New Roman" w:hAnsi="Times New Roman"/>
          <w:sz w:val="24"/>
          <w:szCs w:val="20"/>
          <w:lang w:val="en-GB" w:eastAsia="fr-BE"/>
        </w:rPr>
      </w:pPr>
      <w:r w:rsidRPr="008D2A17">
        <w:rPr>
          <w:rFonts w:ascii="Times New Roman" w:hAnsi="Times New Roman"/>
          <w:sz w:val="24"/>
          <w:szCs w:val="20"/>
          <w:lang w:val="en-GB" w:eastAsia="fr-BE"/>
        </w:rPr>
        <w:t>Assess requirements for cross-border coordination, wherever relevant, including at the EU outer borders.</w:t>
      </w:r>
    </w:p>
    <w:p w14:paraId="159686B4" w14:textId="77777777" w:rsidR="00C653AD" w:rsidRPr="008D2A17" w:rsidRDefault="00C653AD" w:rsidP="00C653AD">
      <w:pPr>
        <w:shd w:val="clear" w:color="auto" w:fill="FFFFFF"/>
        <w:spacing w:after="240"/>
        <w:jc w:val="both"/>
        <w:rPr>
          <w:rFonts w:ascii="Times New Roman" w:hAnsi="Times New Roman"/>
          <w:sz w:val="24"/>
          <w:szCs w:val="20"/>
          <w:lang w:val="en-GB" w:eastAsia="fr-BE"/>
        </w:rPr>
      </w:pPr>
      <w:r w:rsidRPr="008D2A17">
        <w:rPr>
          <w:rFonts w:ascii="Times New Roman" w:hAnsi="Times New Roman"/>
          <w:sz w:val="24"/>
          <w:szCs w:val="20"/>
          <w:lang w:val="en-GB" w:eastAsia="fr-BE"/>
        </w:rPr>
        <w:t>Overall, the CEPT should provide deliverables under this Mandate according to the following schedule: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00"/>
        <w:gridCol w:w="2878"/>
        <w:gridCol w:w="4082"/>
      </w:tblGrid>
      <w:tr w:rsidR="00C653AD" w:rsidRPr="008D2A17" w14:paraId="0A155761" w14:textId="77777777" w:rsidTr="005A4985">
        <w:tc>
          <w:tcPr>
            <w:tcW w:w="1800" w:type="dxa"/>
          </w:tcPr>
          <w:p w14:paraId="4ABA62BC" w14:textId="77777777" w:rsidR="00C653AD" w:rsidRPr="008D2A17" w:rsidRDefault="00C653AD" w:rsidP="005A4985">
            <w:pPr>
              <w:spacing w:before="120" w:after="120"/>
              <w:jc w:val="center"/>
              <w:rPr>
                <w:rFonts w:ascii="Times New Roman" w:hAnsi="Times New Roman"/>
                <w:b/>
                <w:sz w:val="24"/>
                <w:szCs w:val="20"/>
                <w:lang w:val="en-GB" w:eastAsia="fr-BE"/>
              </w:rPr>
            </w:pPr>
            <w:r w:rsidRPr="008D2A17">
              <w:rPr>
                <w:rFonts w:ascii="Times New Roman" w:hAnsi="Times New Roman"/>
                <w:b/>
                <w:sz w:val="24"/>
                <w:szCs w:val="20"/>
                <w:lang w:val="en-GB" w:eastAsia="fr-BE"/>
              </w:rPr>
              <w:t>Delivery date</w:t>
            </w:r>
          </w:p>
        </w:tc>
        <w:tc>
          <w:tcPr>
            <w:tcW w:w="2878" w:type="dxa"/>
          </w:tcPr>
          <w:p w14:paraId="6B6A9ABD" w14:textId="77777777" w:rsidR="00C653AD" w:rsidRPr="008D2A17" w:rsidRDefault="00C653AD" w:rsidP="005A4985">
            <w:pPr>
              <w:spacing w:before="120" w:after="120"/>
              <w:jc w:val="center"/>
              <w:rPr>
                <w:rFonts w:ascii="Times New Roman" w:hAnsi="Times New Roman"/>
                <w:b/>
                <w:sz w:val="24"/>
                <w:szCs w:val="20"/>
                <w:lang w:val="en-GB" w:eastAsia="fr-BE"/>
              </w:rPr>
            </w:pPr>
            <w:r w:rsidRPr="008D2A17">
              <w:rPr>
                <w:rFonts w:ascii="Times New Roman" w:hAnsi="Times New Roman"/>
                <w:b/>
                <w:sz w:val="24"/>
                <w:szCs w:val="20"/>
                <w:lang w:val="en-GB" w:eastAsia="fr-BE"/>
              </w:rPr>
              <w:t>Deliverable</w:t>
            </w:r>
          </w:p>
        </w:tc>
        <w:tc>
          <w:tcPr>
            <w:tcW w:w="4082" w:type="dxa"/>
          </w:tcPr>
          <w:p w14:paraId="73BF39B2" w14:textId="77777777" w:rsidR="00C653AD" w:rsidRPr="008D2A17" w:rsidRDefault="00C653AD" w:rsidP="005A4985">
            <w:pPr>
              <w:spacing w:before="120" w:after="120"/>
              <w:jc w:val="center"/>
              <w:rPr>
                <w:rFonts w:ascii="Times New Roman" w:hAnsi="Times New Roman"/>
                <w:b/>
                <w:sz w:val="24"/>
                <w:szCs w:val="20"/>
                <w:lang w:val="en-GB" w:eastAsia="fr-BE"/>
              </w:rPr>
            </w:pPr>
            <w:r w:rsidRPr="008D2A17">
              <w:rPr>
                <w:rFonts w:ascii="Times New Roman" w:hAnsi="Times New Roman"/>
                <w:b/>
                <w:sz w:val="24"/>
                <w:szCs w:val="20"/>
                <w:lang w:val="en-GB" w:eastAsia="fr-BE"/>
              </w:rPr>
              <w:t>Subject</w:t>
            </w:r>
          </w:p>
        </w:tc>
      </w:tr>
      <w:tr w:rsidR="00C653AD" w:rsidRPr="008D2A17" w14:paraId="5445CF39" w14:textId="77777777" w:rsidTr="005A4985">
        <w:tc>
          <w:tcPr>
            <w:tcW w:w="1800" w:type="dxa"/>
          </w:tcPr>
          <w:p w14:paraId="6FC5E580" w14:textId="77777777" w:rsidR="00C653AD" w:rsidRPr="008D2A17" w:rsidRDefault="00C653AD" w:rsidP="005A4985">
            <w:pPr>
              <w:spacing w:before="120" w:after="120"/>
              <w:jc w:val="both"/>
              <w:rPr>
                <w:rFonts w:ascii="Times New Roman" w:hAnsi="Times New Roman"/>
                <w:sz w:val="24"/>
                <w:szCs w:val="20"/>
                <w:lang w:val="en-GB" w:eastAsia="fr-BE"/>
              </w:rPr>
            </w:pPr>
            <w:r w:rsidRPr="008D2A17">
              <w:rPr>
                <w:rFonts w:ascii="Times New Roman" w:hAnsi="Times New Roman"/>
                <w:sz w:val="24"/>
                <w:szCs w:val="20"/>
                <w:lang w:val="en-GB" w:eastAsia="fr-BE"/>
              </w:rPr>
              <w:t xml:space="preserve">March 2018 </w:t>
            </w:r>
          </w:p>
        </w:tc>
        <w:tc>
          <w:tcPr>
            <w:tcW w:w="2878" w:type="dxa"/>
          </w:tcPr>
          <w:p w14:paraId="1602415C" w14:textId="77777777" w:rsidR="00C653AD" w:rsidRPr="008D2A17" w:rsidRDefault="00C653AD" w:rsidP="005A4985">
            <w:pPr>
              <w:spacing w:before="120" w:after="120"/>
              <w:jc w:val="both"/>
              <w:rPr>
                <w:rFonts w:ascii="Times New Roman" w:hAnsi="Times New Roman"/>
                <w:sz w:val="24"/>
                <w:szCs w:val="20"/>
                <w:lang w:val="en-GB" w:eastAsia="fr-BE"/>
              </w:rPr>
            </w:pPr>
            <w:r w:rsidRPr="008D2A17">
              <w:rPr>
                <w:rFonts w:ascii="Times New Roman" w:hAnsi="Times New Roman"/>
                <w:sz w:val="24"/>
                <w:szCs w:val="20"/>
                <w:lang w:val="en-GB" w:eastAsia="fr-BE"/>
              </w:rPr>
              <w:t>Draft Report A from CEPT to the Commission</w:t>
            </w:r>
            <w:bookmarkStart w:id="2102" w:name="_Ref468892292"/>
            <w:r w:rsidRPr="008D2A17">
              <w:rPr>
                <w:rFonts w:ascii="Times New Roman" w:hAnsi="Times New Roman"/>
                <w:sz w:val="24"/>
                <w:szCs w:val="20"/>
                <w:vertAlign w:val="superscript"/>
                <w:lang w:val="en-GB" w:eastAsia="fr-BE"/>
              </w:rPr>
              <w:footnoteReference w:id="36"/>
            </w:r>
            <w:bookmarkEnd w:id="2102"/>
          </w:p>
        </w:tc>
        <w:tc>
          <w:tcPr>
            <w:tcW w:w="4082" w:type="dxa"/>
          </w:tcPr>
          <w:p w14:paraId="6F922296" w14:textId="77777777" w:rsidR="00C653AD" w:rsidRPr="008D2A17" w:rsidRDefault="00C653AD" w:rsidP="005A4985">
            <w:pPr>
              <w:spacing w:before="120" w:after="120"/>
              <w:jc w:val="both"/>
              <w:rPr>
                <w:rFonts w:ascii="Times New Roman" w:hAnsi="Times New Roman"/>
                <w:sz w:val="24"/>
                <w:szCs w:val="20"/>
                <w:lang w:val="en-GB" w:eastAsia="fr-BE"/>
              </w:rPr>
            </w:pPr>
            <w:r w:rsidRPr="008D2A17">
              <w:rPr>
                <w:rFonts w:ascii="Times New Roman" w:hAnsi="Times New Roman"/>
                <w:sz w:val="24"/>
                <w:szCs w:val="20"/>
                <w:lang w:val="en-GB" w:eastAsia="fr-BE"/>
              </w:rPr>
              <w:t>Description of the work undertaken and the results on Task 1.</w:t>
            </w:r>
          </w:p>
        </w:tc>
      </w:tr>
      <w:tr w:rsidR="00C653AD" w:rsidRPr="008D2A17" w14:paraId="47E5C87D" w14:textId="77777777" w:rsidTr="005A4985">
        <w:tc>
          <w:tcPr>
            <w:tcW w:w="1800" w:type="dxa"/>
          </w:tcPr>
          <w:p w14:paraId="152BABEE" w14:textId="77777777" w:rsidR="00C653AD" w:rsidRPr="008D2A17" w:rsidRDefault="00C653AD" w:rsidP="005A4985">
            <w:pPr>
              <w:spacing w:before="120" w:after="120"/>
              <w:jc w:val="both"/>
              <w:rPr>
                <w:rFonts w:ascii="Times New Roman" w:hAnsi="Times New Roman"/>
                <w:sz w:val="24"/>
                <w:szCs w:val="20"/>
                <w:lang w:val="en-GB" w:eastAsia="fr-BE"/>
              </w:rPr>
            </w:pPr>
            <w:r w:rsidRPr="008D2A17">
              <w:rPr>
                <w:rFonts w:ascii="Times New Roman" w:hAnsi="Times New Roman"/>
                <w:sz w:val="24"/>
                <w:szCs w:val="20"/>
                <w:lang w:val="en-GB" w:eastAsia="fr-BE"/>
              </w:rPr>
              <w:t>June  2018</w:t>
            </w:r>
          </w:p>
        </w:tc>
        <w:tc>
          <w:tcPr>
            <w:tcW w:w="2878" w:type="dxa"/>
          </w:tcPr>
          <w:p w14:paraId="476F845B" w14:textId="77777777" w:rsidR="00C653AD" w:rsidRPr="008D2A17" w:rsidRDefault="00C653AD" w:rsidP="005A4985">
            <w:pPr>
              <w:spacing w:before="120" w:after="120"/>
              <w:jc w:val="both"/>
              <w:rPr>
                <w:rFonts w:ascii="Times New Roman" w:hAnsi="Times New Roman"/>
                <w:sz w:val="24"/>
                <w:szCs w:val="20"/>
                <w:lang w:val="en-GB" w:eastAsia="fr-BE"/>
              </w:rPr>
            </w:pPr>
            <w:r w:rsidRPr="008D2A17">
              <w:rPr>
                <w:rFonts w:ascii="Times New Roman" w:hAnsi="Times New Roman"/>
                <w:sz w:val="24"/>
                <w:szCs w:val="20"/>
                <w:lang w:val="en-GB" w:eastAsia="fr-BE"/>
              </w:rPr>
              <w:t xml:space="preserve">Final Report A from CEPT to the Commission taking into account the outcome of </w:t>
            </w:r>
            <w:r w:rsidRPr="008D2A17">
              <w:rPr>
                <w:rFonts w:ascii="Times New Roman" w:hAnsi="Times New Roman"/>
                <w:sz w:val="24"/>
                <w:szCs w:val="20"/>
                <w:lang w:val="en-GB" w:eastAsia="fr-BE"/>
              </w:rPr>
              <w:lastRenderedPageBreak/>
              <w:t>the public consultation</w:t>
            </w:r>
          </w:p>
        </w:tc>
        <w:tc>
          <w:tcPr>
            <w:tcW w:w="4082" w:type="dxa"/>
          </w:tcPr>
          <w:p w14:paraId="1C35680F" w14:textId="77777777" w:rsidR="00C653AD" w:rsidRPr="008D2A17" w:rsidRDefault="00C653AD" w:rsidP="005A4985">
            <w:pPr>
              <w:spacing w:before="120" w:after="120"/>
              <w:jc w:val="both"/>
              <w:rPr>
                <w:rFonts w:ascii="Times New Roman" w:hAnsi="Times New Roman"/>
                <w:sz w:val="24"/>
                <w:szCs w:val="20"/>
                <w:lang w:val="en-GB" w:eastAsia="fr-BE"/>
              </w:rPr>
            </w:pPr>
            <w:r w:rsidRPr="008D2A17">
              <w:rPr>
                <w:rFonts w:ascii="Times New Roman" w:hAnsi="Times New Roman"/>
                <w:sz w:val="24"/>
                <w:szCs w:val="20"/>
                <w:lang w:val="en-GB" w:eastAsia="fr-BE"/>
              </w:rPr>
              <w:lastRenderedPageBreak/>
              <w:t>Description of the work undertaken and the results on Task 1.</w:t>
            </w:r>
          </w:p>
        </w:tc>
      </w:tr>
      <w:tr w:rsidR="00C653AD" w:rsidRPr="008D2A17" w14:paraId="7CEF8B0C" w14:textId="77777777" w:rsidTr="005A4985">
        <w:tc>
          <w:tcPr>
            <w:tcW w:w="1800" w:type="dxa"/>
          </w:tcPr>
          <w:p w14:paraId="5549305C" w14:textId="77777777" w:rsidR="00C653AD" w:rsidRPr="008D2A17" w:rsidRDefault="00C653AD" w:rsidP="005A4985">
            <w:pPr>
              <w:spacing w:before="120" w:after="120"/>
              <w:jc w:val="both"/>
              <w:rPr>
                <w:rFonts w:ascii="Times New Roman" w:hAnsi="Times New Roman"/>
                <w:sz w:val="24"/>
                <w:szCs w:val="20"/>
                <w:lang w:val="en-GB" w:eastAsia="fr-BE"/>
              </w:rPr>
            </w:pPr>
            <w:r w:rsidRPr="008D2A17">
              <w:rPr>
                <w:rFonts w:ascii="Times New Roman" w:hAnsi="Times New Roman"/>
                <w:sz w:val="24"/>
                <w:szCs w:val="20"/>
                <w:lang w:val="en-GB" w:eastAsia="fr-BE"/>
              </w:rPr>
              <w:lastRenderedPageBreak/>
              <w:t xml:space="preserve">March 2018 </w:t>
            </w:r>
          </w:p>
        </w:tc>
        <w:tc>
          <w:tcPr>
            <w:tcW w:w="2878" w:type="dxa"/>
          </w:tcPr>
          <w:p w14:paraId="73D1282A" w14:textId="56082019" w:rsidR="00C653AD" w:rsidRPr="008D2A17" w:rsidRDefault="00C653AD" w:rsidP="005A4985">
            <w:pPr>
              <w:spacing w:before="120" w:after="120"/>
              <w:jc w:val="both"/>
              <w:rPr>
                <w:rFonts w:ascii="Times New Roman" w:hAnsi="Times New Roman"/>
                <w:sz w:val="24"/>
                <w:szCs w:val="20"/>
                <w:lang w:val="en-GB" w:eastAsia="fr-BE"/>
              </w:rPr>
            </w:pPr>
            <w:r w:rsidRPr="008D2A17">
              <w:rPr>
                <w:rFonts w:ascii="Times New Roman" w:hAnsi="Times New Roman"/>
                <w:sz w:val="24"/>
                <w:szCs w:val="20"/>
                <w:lang w:val="en-GB" w:eastAsia="fr-BE"/>
              </w:rPr>
              <w:t>Draft Report B from CEPT to the Commission</w:t>
            </w:r>
            <w:r w:rsidRPr="008D2A17">
              <w:rPr>
                <w:rFonts w:ascii="Times New Roman" w:hAnsi="Times New Roman"/>
                <w:sz w:val="24"/>
                <w:szCs w:val="20"/>
                <w:lang w:val="en-GB" w:eastAsia="fr-BE"/>
              </w:rPr>
              <w:fldChar w:fldCharType="begin"/>
            </w:r>
            <w:r w:rsidRPr="008D2A17">
              <w:rPr>
                <w:rFonts w:ascii="Times New Roman" w:hAnsi="Times New Roman"/>
                <w:sz w:val="24"/>
                <w:szCs w:val="20"/>
                <w:lang w:val="en-GB" w:eastAsia="fr-BE"/>
              </w:rPr>
              <w:instrText xml:space="preserve"> NOTEREF _Ref468892292 \f \h </w:instrText>
            </w:r>
            <w:r w:rsidR="00CE0DB1" w:rsidRPr="008D2A17">
              <w:rPr>
                <w:rFonts w:ascii="Times New Roman" w:hAnsi="Times New Roman"/>
                <w:sz w:val="24"/>
                <w:szCs w:val="20"/>
                <w:lang w:val="en-GB" w:eastAsia="fr-BE"/>
              </w:rPr>
              <w:instrText xml:space="preserve"> \* MERGEFORMAT </w:instrText>
            </w:r>
            <w:r w:rsidRPr="008D2A17">
              <w:rPr>
                <w:rFonts w:ascii="Times New Roman" w:hAnsi="Times New Roman"/>
                <w:sz w:val="24"/>
                <w:szCs w:val="20"/>
                <w:lang w:val="en-GB" w:eastAsia="fr-BE"/>
              </w:rPr>
            </w:r>
            <w:r w:rsidRPr="008D2A17">
              <w:rPr>
                <w:rFonts w:ascii="Times New Roman" w:hAnsi="Times New Roman"/>
                <w:sz w:val="24"/>
                <w:szCs w:val="20"/>
                <w:lang w:val="en-GB" w:eastAsia="fr-BE"/>
              </w:rPr>
              <w:fldChar w:fldCharType="separate"/>
            </w:r>
            <w:r w:rsidR="00FA5407" w:rsidRPr="007D1DBC">
              <w:rPr>
                <w:rStyle w:val="FootnoteReference"/>
              </w:rPr>
              <w:t>35</w:t>
            </w:r>
            <w:r w:rsidRPr="008D2A17">
              <w:rPr>
                <w:rFonts w:ascii="Times New Roman" w:hAnsi="Times New Roman"/>
                <w:sz w:val="24"/>
                <w:szCs w:val="20"/>
                <w:lang w:val="en-GB" w:eastAsia="fr-BE"/>
              </w:rPr>
              <w:fldChar w:fldCharType="end"/>
            </w:r>
          </w:p>
        </w:tc>
        <w:tc>
          <w:tcPr>
            <w:tcW w:w="4082" w:type="dxa"/>
          </w:tcPr>
          <w:p w14:paraId="39FEBEEE" w14:textId="77777777" w:rsidR="00C653AD" w:rsidRPr="008D2A17" w:rsidRDefault="00C653AD" w:rsidP="005A4985">
            <w:pPr>
              <w:spacing w:before="120" w:after="120"/>
              <w:jc w:val="both"/>
              <w:rPr>
                <w:rFonts w:ascii="Times New Roman" w:hAnsi="Times New Roman"/>
                <w:sz w:val="24"/>
                <w:szCs w:val="20"/>
                <w:lang w:val="en-GB" w:eastAsia="fr-BE"/>
              </w:rPr>
            </w:pPr>
            <w:r w:rsidRPr="008D2A17">
              <w:rPr>
                <w:rFonts w:ascii="Times New Roman" w:hAnsi="Times New Roman"/>
                <w:sz w:val="24"/>
                <w:szCs w:val="20"/>
                <w:lang w:val="en-GB" w:eastAsia="fr-BE"/>
              </w:rPr>
              <w:t>Description of the work undertaken and the results on Tasks 2 and 3.</w:t>
            </w:r>
          </w:p>
        </w:tc>
      </w:tr>
      <w:tr w:rsidR="00C653AD" w:rsidRPr="008D2A17" w14:paraId="6AF19C40" w14:textId="77777777" w:rsidTr="005A4985">
        <w:tc>
          <w:tcPr>
            <w:tcW w:w="1800" w:type="dxa"/>
          </w:tcPr>
          <w:p w14:paraId="0CB63C5B" w14:textId="77777777" w:rsidR="00C653AD" w:rsidRPr="008D2A17" w:rsidRDefault="00C653AD" w:rsidP="005A4985">
            <w:pPr>
              <w:spacing w:before="120" w:after="120"/>
              <w:jc w:val="both"/>
              <w:rPr>
                <w:rFonts w:ascii="Times New Roman" w:hAnsi="Times New Roman"/>
                <w:sz w:val="24"/>
                <w:szCs w:val="20"/>
                <w:lang w:val="en-GB" w:eastAsia="fr-BE"/>
              </w:rPr>
            </w:pPr>
            <w:r w:rsidRPr="008D2A17">
              <w:rPr>
                <w:rFonts w:ascii="Times New Roman" w:hAnsi="Times New Roman"/>
                <w:sz w:val="24"/>
                <w:szCs w:val="20"/>
                <w:lang w:val="en-GB" w:eastAsia="fr-BE"/>
              </w:rPr>
              <w:t>June  2018</w:t>
            </w:r>
          </w:p>
        </w:tc>
        <w:tc>
          <w:tcPr>
            <w:tcW w:w="2878" w:type="dxa"/>
          </w:tcPr>
          <w:p w14:paraId="46361F3D" w14:textId="77777777" w:rsidR="00C653AD" w:rsidRPr="008D2A17" w:rsidRDefault="00C653AD" w:rsidP="005A4985">
            <w:pPr>
              <w:spacing w:before="120" w:after="120"/>
              <w:jc w:val="both"/>
              <w:rPr>
                <w:rFonts w:ascii="Times New Roman" w:hAnsi="Times New Roman"/>
                <w:sz w:val="24"/>
                <w:szCs w:val="20"/>
                <w:lang w:val="en-GB" w:eastAsia="fr-BE"/>
              </w:rPr>
            </w:pPr>
            <w:r w:rsidRPr="008D2A17">
              <w:rPr>
                <w:rFonts w:ascii="Times New Roman" w:hAnsi="Times New Roman"/>
                <w:sz w:val="24"/>
                <w:szCs w:val="20"/>
                <w:lang w:val="en-GB" w:eastAsia="fr-BE"/>
              </w:rPr>
              <w:t>Final Report B from CEPT to the Commission taking into account the outcome of the public consultation</w:t>
            </w:r>
          </w:p>
        </w:tc>
        <w:tc>
          <w:tcPr>
            <w:tcW w:w="4082" w:type="dxa"/>
          </w:tcPr>
          <w:p w14:paraId="25593922" w14:textId="77777777" w:rsidR="00C653AD" w:rsidRPr="008D2A17" w:rsidRDefault="00C653AD" w:rsidP="005A4985">
            <w:pPr>
              <w:spacing w:before="120" w:after="120"/>
              <w:jc w:val="both"/>
              <w:rPr>
                <w:rFonts w:ascii="Times New Roman" w:hAnsi="Times New Roman"/>
                <w:sz w:val="24"/>
                <w:szCs w:val="20"/>
                <w:lang w:val="en-GB" w:eastAsia="fr-BE"/>
              </w:rPr>
            </w:pPr>
            <w:r w:rsidRPr="008D2A17">
              <w:rPr>
                <w:rFonts w:ascii="Times New Roman" w:hAnsi="Times New Roman"/>
                <w:sz w:val="24"/>
                <w:szCs w:val="20"/>
                <w:lang w:val="en-GB" w:eastAsia="fr-BE"/>
              </w:rPr>
              <w:t>Description of the work undertaken and the results on Tasks 2 and 3.</w:t>
            </w:r>
          </w:p>
        </w:tc>
      </w:tr>
    </w:tbl>
    <w:p w14:paraId="5204275A" w14:textId="77777777" w:rsidR="00C653AD" w:rsidRPr="008D2A17" w:rsidRDefault="00C653AD" w:rsidP="00C653AD">
      <w:pPr>
        <w:spacing w:after="120"/>
        <w:ind w:left="709" w:hanging="709"/>
        <w:jc w:val="both"/>
        <w:rPr>
          <w:rFonts w:ascii="Times New Roman" w:hAnsi="Times New Roman"/>
          <w:sz w:val="24"/>
          <w:szCs w:val="20"/>
          <w:lang w:val="en-GB" w:eastAsia="fr-BE"/>
        </w:rPr>
      </w:pPr>
    </w:p>
    <w:p w14:paraId="04669B50" w14:textId="77777777" w:rsidR="00C653AD" w:rsidRPr="008D2A17" w:rsidRDefault="00C653AD" w:rsidP="00C653AD">
      <w:pPr>
        <w:spacing w:after="240"/>
        <w:jc w:val="both"/>
        <w:rPr>
          <w:rFonts w:ascii="Times New Roman" w:hAnsi="Times New Roman"/>
          <w:sz w:val="24"/>
          <w:szCs w:val="20"/>
          <w:lang w:val="en-GB" w:eastAsia="fr-BE"/>
        </w:rPr>
      </w:pPr>
      <w:r w:rsidRPr="008D2A17">
        <w:rPr>
          <w:rFonts w:ascii="Times New Roman" w:hAnsi="Times New Roman"/>
          <w:sz w:val="24"/>
          <w:szCs w:val="20"/>
          <w:lang w:val="en-GB" w:eastAsia="fr-BE"/>
        </w:rPr>
        <w:t>The relevant results under Task 4 should be included in the deliverables above regarding different frequency bands.</w:t>
      </w:r>
    </w:p>
    <w:p w14:paraId="6F6109F3" w14:textId="77777777" w:rsidR="00C653AD" w:rsidRPr="008D2A17" w:rsidRDefault="00C653AD" w:rsidP="00C653AD">
      <w:pPr>
        <w:spacing w:after="240"/>
        <w:jc w:val="both"/>
        <w:rPr>
          <w:rFonts w:ascii="Times New Roman" w:hAnsi="Times New Roman"/>
          <w:sz w:val="24"/>
          <w:szCs w:val="20"/>
          <w:lang w:val="en-GB" w:eastAsia="fr-BE"/>
        </w:rPr>
      </w:pPr>
      <w:r w:rsidRPr="008D2A17">
        <w:rPr>
          <w:rFonts w:ascii="Times New Roman" w:hAnsi="Times New Roman"/>
          <w:sz w:val="24"/>
          <w:szCs w:val="20"/>
          <w:lang w:val="en-GB" w:eastAsia="fr-BE"/>
        </w:rPr>
        <w:t xml:space="preserve">CEPT is requested to report on the progress of its work pursuant to this Mandate to all meetings of the Radio Spectrum Committee taking place during the course of the Mandate. </w:t>
      </w:r>
    </w:p>
    <w:p w14:paraId="78C7B0D3" w14:textId="251BFDB4" w:rsidR="00C653AD" w:rsidRPr="008D2A17" w:rsidRDefault="00C653AD" w:rsidP="00C653AD">
      <w:pPr>
        <w:spacing w:after="240"/>
        <w:jc w:val="both"/>
        <w:rPr>
          <w:rFonts w:ascii="Times New Roman" w:hAnsi="Times New Roman"/>
          <w:sz w:val="24"/>
          <w:szCs w:val="20"/>
          <w:lang w:val="en-GB" w:eastAsia="fr-BE"/>
        </w:rPr>
      </w:pPr>
      <w:r w:rsidRPr="008D2A17">
        <w:rPr>
          <w:rFonts w:ascii="Times New Roman" w:hAnsi="Times New Roman"/>
          <w:sz w:val="24"/>
          <w:szCs w:val="20"/>
          <w:lang w:val="en-GB" w:eastAsia="fr-BE"/>
        </w:rPr>
        <w:t xml:space="preserve">The Commission, with the assistance of the Radio Spectrum Committee and pursuant to the Radio Spectrum Decision, may consider applying the results of this mandate in the Union, pursuant to Article 4 of the Radio Spectrum Decision and subject to international developments regarding 5G standardisation and spectrum management, and any relevant guidance of the RSPG. </w:t>
      </w:r>
    </w:p>
    <w:p w14:paraId="2BE6756D" w14:textId="259DA14C" w:rsidR="00C653AD" w:rsidRPr="008D2A17" w:rsidRDefault="008E40BE" w:rsidP="00381B4F">
      <w:pPr>
        <w:pStyle w:val="ECCAnnexheading1"/>
      </w:pPr>
      <w:bookmarkStart w:id="2103" w:name="_Toc514428359"/>
      <w:bookmarkStart w:id="2104" w:name="_Toc501013128"/>
      <w:r w:rsidRPr="008D2A17">
        <w:lastRenderedPageBreak/>
        <w:t>fREQUENCY arrangement</w:t>
      </w:r>
      <w:bookmarkEnd w:id="2103"/>
    </w:p>
    <w:p w14:paraId="4333AE6A" w14:textId="6F9F73D2" w:rsidR="00C653AD" w:rsidRPr="008D2A17" w:rsidRDefault="00C653AD" w:rsidP="00C653AD">
      <w:pPr>
        <w:pStyle w:val="ECCAnnexheading2"/>
        <w:rPr>
          <w:rStyle w:val="ECCHLunderlined"/>
          <w:rFonts w:eastAsia="Calibri"/>
          <w:u w:val="none"/>
          <w:lang w:val="en-GB"/>
        </w:rPr>
      </w:pPr>
      <w:r w:rsidRPr="008D2A17">
        <w:rPr>
          <w:rStyle w:val="ECCHLunderlined"/>
          <w:u w:val="none"/>
          <w:lang w:val="en-GB"/>
        </w:rPr>
        <w:t>Updated</w:t>
      </w:r>
      <w:r w:rsidRPr="008D2A17">
        <w:rPr>
          <w:rStyle w:val="ECCHLunderlined"/>
          <w:rFonts w:eastAsia="Calibri"/>
          <w:u w:val="none"/>
          <w:lang w:val="en-GB"/>
        </w:rPr>
        <w:t xml:space="preserve"> frequency arrangement</w:t>
      </w:r>
      <w:bookmarkEnd w:id="2104"/>
    </w:p>
    <w:p w14:paraId="30B6EDDA" w14:textId="77777777" w:rsidR="00C653AD" w:rsidRPr="008D2A17" w:rsidRDefault="00C653AD" w:rsidP="00C653AD">
      <w:pPr>
        <w:pStyle w:val="ECCParagraph"/>
      </w:pPr>
      <w:r w:rsidRPr="008D2A17">
        <w:t>The unpaired arrangement is selected as the only option for the 3400-3800</w:t>
      </w:r>
      <w:r w:rsidR="00AB2111" w:rsidRPr="008D2A17">
        <w:t> MHz</w:t>
      </w:r>
      <w:r w:rsidRPr="008D2A17">
        <w:t xml:space="preserve"> band.</w:t>
      </w:r>
    </w:p>
    <w:p w14:paraId="74CF99C3" w14:textId="77777777" w:rsidR="009F1435" w:rsidRPr="008D2A17" w:rsidRDefault="009F1435" w:rsidP="009F1435">
      <w:pPr>
        <w:rPr>
          <w:lang w:val="en-GB"/>
        </w:rPr>
      </w:pPr>
      <w:r w:rsidRPr="008D2A17">
        <w:rPr>
          <w:lang w:val="en-GB"/>
        </w:rPr>
        <w:t>There is no need to consider separate frequency arrangements for 3400-3600</w:t>
      </w:r>
      <w:r w:rsidR="00AB2111" w:rsidRPr="008D2A17">
        <w:rPr>
          <w:lang w:val="en-GB"/>
        </w:rPr>
        <w:t> MHz</w:t>
      </w:r>
      <w:r w:rsidRPr="008D2A17">
        <w:rPr>
          <w:lang w:val="en-GB"/>
        </w:rPr>
        <w:t xml:space="preserve"> and 3600-3800</w:t>
      </w:r>
      <w:r w:rsidR="00AB2111" w:rsidRPr="008D2A17">
        <w:rPr>
          <w:lang w:val="en-GB"/>
        </w:rPr>
        <w:t> MHz</w:t>
      </w:r>
      <w:r w:rsidRPr="008D2A17">
        <w:rPr>
          <w:lang w:val="en-GB"/>
        </w:rPr>
        <w:t xml:space="preserve"> </w:t>
      </w:r>
    </w:p>
    <w:p w14:paraId="5B4AB850" w14:textId="34EA8347" w:rsidR="009F1435" w:rsidRPr="008D2A17" w:rsidRDefault="009F1435" w:rsidP="00B859E5">
      <w:pPr>
        <w:rPr>
          <w:lang w:val="en-GB"/>
        </w:rPr>
      </w:pPr>
      <w:r w:rsidRPr="008D2A17">
        <w:rPr>
          <w:lang w:val="en-GB"/>
        </w:rPr>
        <w:t>The block size is 5</w:t>
      </w:r>
      <w:r w:rsidR="00401246" w:rsidRPr="008D2A17">
        <w:rPr>
          <w:lang w:val="en-GB"/>
        </w:rPr>
        <w:t xml:space="preserve"> </w:t>
      </w:r>
      <w:r w:rsidRPr="008D2A17">
        <w:rPr>
          <w:lang w:val="en-GB"/>
        </w:rPr>
        <w:t>MHz, despite expected larger channel bandwidths</w:t>
      </w:r>
      <w:r w:rsidR="00401246" w:rsidRPr="008D2A17">
        <w:rPr>
          <w:lang w:val="en-GB"/>
        </w:rPr>
        <w:t xml:space="preserve"> for high throughput 5G uses</w:t>
      </w:r>
      <w:r w:rsidRPr="008D2A17">
        <w:rPr>
          <w:lang w:val="en-GB"/>
        </w:rPr>
        <w:t>. The 5</w:t>
      </w:r>
      <w:r w:rsidR="00AB2111" w:rsidRPr="008D2A17">
        <w:rPr>
          <w:lang w:val="en-GB"/>
        </w:rPr>
        <w:t> MHz</w:t>
      </w:r>
      <w:r w:rsidRPr="008D2A17">
        <w:rPr>
          <w:lang w:val="en-GB"/>
        </w:rPr>
        <w:t xml:space="preserve"> granularity will facilitate dealing with the existing </w:t>
      </w:r>
      <w:r w:rsidR="00401246" w:rsidRPr="008D2A17">
        <w:rPr>
          <w:lang w:val="en-GB"/>
        </w:rPr>
        <w:t>assignments and</w:t>
      </w:r>
      <w:r w:rsidRPr="008D2A17">
        <w:rPr>
          <w:lang w:val="en-GB"/>
        </w:rPr>
        <w:t xml:space="preserve"> will make it easier for the market to decide on the required bandwidth per operator during the assignment procedures. </w:t>
      </w:r>
    </w:p>
    <w:p w14:paraId="5C8DB33F" w14:textId="77777777" w:rsidR="00C653AD" w:rsidRPr="008D2A17" w:rsidRDefault="00C653AD" w:rsidP="00C653AD">
      <w:pPr>
        <w:pStyle w:val="ECCParagraph"/>
      </w:pPr>
      <w:r w:rsidRPr="008D2A17">
        <w:t>The considerations above lead to the following frequency arrangement:</w:t>
      </w:r>
    </w:p>
    <w:p w14:paraId="43225E17" w14:textId="23BB0054" w:rsidR="00C653AD" w:rsidRPr="008D2A17" w:rsidRDefault="00C653AD" w:rsidP="00C653AD">
      <w:pPr>
        <w:rPr>
          <w:lang w:val="en-GB"/>
        </w:rPr>
      </w:pPr>
      <w:r w:rsidRPr="008D2A17">
        <w:rPr>
          <w:noProof/>
          <w:lang w:val="da-DK" w:eastAsia="da-DK"/>
        </w:rPr>
        <w:drawing>
          <wp:inline distT="0" distB="0" distL="0" distR="0" wp14:anchorId="02617A9E" wp14:editId="7331417C">
            <wp:extent cx="6120765" cy="99949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999490"/>
                    </a:xfrm>
                    <a:prstGeom prst="rect">
                      <a:avLst/>
                    </a:prstGeom>
                  </pic:spPr>
                </pic:pic>
              </a:graphicData>
            </a:graphic>
          </wp:inline>
        </w:drawing>
      </w:r>
    </w:p>
    <w:p w14:paraId="114549E0" w14:textId="225957F6" w:rsidR="00C653AD" w:rsidRPr="008D2A17" w:rsidRDefault="00C653AD" w:rsidP="0008102F">
      <w:pPr>
        <w:pStyle w:val="Caption"/>
        <w:rPr>
          <w:lang w:val="en-GB"/>
        </w:rPr>
      </w:pPr>
      <w:r w:rsidRPr="008D2A17">
        <w:rPr>
          <w:lang w:val="en-GB"/>
        </w:rPr>
        <w:t xml:space="preserve">Figure </w:t>
      </w:r>
      <w:r w:rsidRPr="008D2A17">
        <w:rPr>
          <w:lang w:val="en-GB"/>
        </w:rPr>
        <w:fldChar w:fldCharType="begin"/>
      </w:r>
      <w:r w:rsidRPr="008D2A17">
        <w:rPr>
          <w:lang w:val="en-GB"/>
        </w:rPr>
        <w:instrText xml:space="preserve"> SEQ Figure \* ARABIC </w:instrText>
      </w:r>
      <w:r w:rsidRPr="008D2A17">
        <w:rPr>
          <w:lang w:val="en-GB"/>
        </w:rPr>
        <w:fldChar w:fldCharType="separate"/>
      </w:r>
      <w:r w:rsidR="00FA5407">
        <w:rPr>
          <w:noProof/>
          <w:lang w:val="en-GB"/>
        </w:rPr>
        <w:t>5</w:t>
      </w:r>
      <w:r w:rsidRPr="008D2A17">
        <w:rPr>
          <w:lang w:val="en-GB"/>
        </w:rPr>
        <w:fldChar w:fldCharType="end"/>
      </w:r>
      <w:r w:rsidRPr="008D2A17">
        <w:rPr>
          <w:lang w:val="en-GB"/>
        </w:rPr>
        <w:t>: Proposed updated harmonised frequency arrangement</w:t>
      </w:r>
      <w:r w:rsidR="0008102F">
        <w:rPr>
          <w:lang w:val="en-GB"/>
        </w:rPr>
        <w:t xml:space="preserve">: </w:t>
      </w:r>
      <w:r w:rsidRPr="008D2A17">
        <w:rPr>
          <w:lang w:val="en-GB"/>
        </w:rPr>
        <w:t>3400-3800</w:t>
      </w:r>
      <w:r w:rsidR="00AB2111" w:rsidRPr="008D2A17">
        <w:rPr>
          <w:lang w:val="en-GB"/>
        </w:rPr>
        <w:t> MHz</w:t>
      </w:r>
      <w:r w:rsidRPr="008D2A17">
        <w:rPr>
          <w:lang w:val="en-GB"/>
        </w:rPr>
        <w:t xml:space="preserve"> band</w:t>
      </w:r>
    </w:p>
    <w:p w14:paraId="6AC2B9E6" w14:textId="510ECE88" w:rsidR="00FB53D1" w:rsidRPr="008D2A17" w:rsidRDefault="00B86338" w:rsidP="0008102F">
      <w:pPr>
        <w:pStyle w:val="ECCTablenote"/>
      </w:pPr>
      <w:r w:rsidRPr="008D2A17">
        <w:t>NOTE (1): The feasibility of implementation of wide area outdoor AAS base stations in the lowest 5 MHz blocks taking into account the out-of-band unwanted emission limits to protect radars will require evolution of filtering capabilities for AAS. However, these lowest blocks would remain usable in some circumstance</w:t>
      </w:r>
      <w:r w:rsidR="00FB53D1" w:rsidRPr="008D2A17">
        <w:t>s.</w:t>
      </w:r>
    </w:p>
    <w:p w14:paraId="6105D3D2" w14:textId="0C05A9E9" w:rsidR="00FE6A87" w:rsidRPr="008D2A17" w:rsidRDefault="00FE6A87" w:rsidP="00381B4F">
      <w:pPr>
        <w:pStyle w:val="ECCAnnexheading1"/>
      </w:pPr>
      <w:bookmarkStart w:id="2105" w:name="_Toc514428360"/>
      <w:r w:rsidRPr="008D2A17">
        <w:lastRenderedPageBreak/>
        <w:t>PROPOSED UPDATES OF THE EC REGULATORY TECHNICAL CONDITIONS TO EC DECISION  2008/411/EU  AND 2014/276/EU</w:t>
      </w:r>
      <w:bookmarkEnd w:id="2105"/>
      <w:r w:rsidRPr="008D2A17">
        <w:t xml:space="preserve"> </w:t>
      </w:r>
    </w:p>
    <w:p w14:paraId="00E35C26" w14:textId="77777777" w:rsidR="00CC503E" w:rsidRPr="008D2A17" w:rsidRDefault="00CC503E" w:rsidP="00CC503E">
      <w:pPr>
        <w:pStyle w:val="doc-ti"/>
        <w:shd w:val="clear" w:color="auto" w:fill="FFFFFF"/>
        <w:spacing w:before="240" w:beforeAutospacing="0" w:after="120" w:afterAutospacing="0"/>
        <w:jc w:val="center"/>
        <w:rPr>
          <w:b/>
          <w:bCs/>
          <w:color w:val="000000"/>
          <w:lang w:val="en-GB"/>
        </w:rPr>
      </w:pPr>
      <w:r w:rsidRPr="008D2A17">
        <w:rPr>
          <w:b/>
          <w:bCs/>
          <w:color w:val="000000"/>
          <w:lang w:val="en-GB"/>
        </w:rPr>
        <w:t>ANNEX</w:t>
      </w:r>
    </w:p>
    <w:p w14:paraId="2D52CF2F" w14:textId="77777777" w:rsidR="00CC503E" w:rsidRPr="008D2A17" w:rsidRDefault="00CC503E" w:rsidP="00CC503E">
      <w:pPr>
        <w:pStyle w:val="ti-grseq-1"/>
        <w:shd w:val="clear" w:color="auto" w:fill="FFFFFF"/>
        <w:spacing w:before="240" w:beforeAutospacing="0" w:after="120" w:afterAutospacing="0"/>
        <w:jc w:val="both"/>
        <w:rPr>
          <w:rFonts w:ascii="inherit" w:hAnsi="inherit"/>
          <w:b/>
          <w:bCs/>
          <w:color w:val="000000"/>
          <w:lang w:val="en-GB"/>
        </w:rPr>
      </w:pPr>
      <w:r w:rsidRPr="008D2A17">
        <w:rPr>
          <w:rFonts w:ascii="inherit" w:hAnsi="inherit"/>
          <w:b/>
          <w:bCs/>
          <w:color w:val="000000"/>
          <w:lang w:val="en-GB"/>
        </w:rPr>
        <w:t>B.   TECHNICAL CONDITIONS FOR BASE STATIONS — BLOCK EDGE MASK</w:t>
      </w:r>
    </w:p>
    <w:p w14:paraId="5CE30C73" w14:textId="795A3419" w:rsidR="00CC503E" w:rsidRPr="00BE123F" w:rsidRDefault="00CC503E" w:rsidP="00BE123F">
      <w:pPr>
        <w:pStyle w:val="Normal1"/>
        <w:shd w:val="clear" w:color="auto" w:fill="FFFFFF"/>
        <w:spacing w:before="120" w:beforeAutospacing="0" w:after="0" w:afterAutospacing="0"/>
        <w:jc w:val="both"/>
        <w:rPr>
          <w:rFonts w:ascii="inherit" w:hAnsi="inherit"/>
          <w:color w:val="000000"/>
          <w:lang w:val="en-US"/>
        </w:rPr>
      </w:pPr>
      <w:r w:rsidRPr="008978B9">
        <w:rPr>
          <w:rFonts w:ascii="inherit" w:hAnsi="inherit"/>
          <w:color w:val="000000"/>
          <w:lang w:val="en-US"/>
        </w:rPr>
        <w:t xml:space="preserve">The following technical parameters for </w:t>
      </w:r>
      <w:r w:rsidRPr="00834DFD">
        <w:rPr>
          <w:rFonts w:ascii="inherit" w:hAnsi="inherit"/>
          <w:color w:val="000000"/>
          <w:lang w:val="en-GB"/>
        </w:rPr>
        <w:t>base stations</w:t>
      </w:r>
      <w:r w:rsidRPr="008D2A17">
        <w:rPr>
          <w:rFonts w:ascii="inherit" w:hAnsi="inherit"/>
          <w:color w:val="000000"/>
          <w:lang w:val="en-GB"/>
        </w:rPr>
        <w:t xml:space="preserve"> called block edge mask (BEM) are an essential component of conditions necessary to ensure coexistence between neighbouring networks in the absence of bilateral or multilateral agreements between operators of such neighbouring networks.</w:t>
      </w:r>
      <w:r w:rsidRPr="00BE123F">
        <w:rPr>
          <w:rFonts w:ascii="inherit" w:hAnsi="inherit"/>
          <w:color w:val="000000"/>
          <w:lang w:val="en-GB"/>
        </w:rPr>
        <w:t xml:space="preserve"> Less stringent technical parameters, if agreed among the operators of such networks, may also be used.</w:t>
      </w:r>
    </w:p>
    <w:p w14:paraId="0D617CF9" w14:textId="4EBC5136" w:rsidR="00CC503E" w:rsidRPr="008D2A17" w:rsidRDefault="00CC503E" w:rsidP="00CC503E">
      <w:pPr>
        <w:pStyle w:val="Normal1"/>
        <w:shd w:val="clear" w:color="auto" w:fill="FFFFFF"/>
        <w:spacing w:before="120" w:beforeAutospacing="0" w:after="0" w:afterAutospacing="0"/>
        <w:jc w:val="both"/>
        <w:rPr>
          <w:rFonts w:ascii="inherit" w:hAnsi="inherit"/>
          <w:color w:val="000000"/>
          <w:lang w:val="en-GB"/>
        </w:rPr>
      </w:pPr>
      <w:r w:rsidRPr="008D2A17">
        <w:rPr>
          <w:rFonts w:ascii="inherit" w:hAnsi="inherit"/>
          <w:color w:val="000000"/>
          <w:lang w:val="en-GB"/>
        </w:rPr>
        <w:t xml:space="preserve">The BEM consists of several elements given in </w:t>
      </w:r>
      <w:r w:rsidRPr="00BE123F">
        <w:rPr>
          <w:rFonts w:ascii="inherit" w:hAnsi="inherit"/>
          <w:color w:val="000000"/>
          <w:lang w:val="en-GB"/>
        </w:rPr>
        <w:t xml:space="preserve">Table </w:t>
      </w:r>
      <w:r w:rsidRPr="008D2A17">
        <w:rPr>
          <w:rFonts w:ascii="inherit" w:hAnsi="inherit"/>
          <w:color w:val="000000"/>
          <w:lang w:val="en-GB"/>
        </w:rPr>
        <w:t>1, for the 3 400-3 800 MHz. The</w:t>
      </w:r>
      <w:r w:rsidRPr="00BE123F">
        <w:rPr>
          <w:rFonts w:ascii="inherit" w:hAnsi="inherit"/>
          <w:color w:val="000000"/>
          <w:lang w:val="en-GB"/>
        </w:rPr>
        <w:t xml:space="preserve"> baseline power </w:t>
      </w:r>
      <w:r w:rsidRPr="008D2A17">
        <w:rPr>
          <w:rFonts w:ascii="inherit" w:hAnsi="inherit"/>
          <w:color w:val="000000"/>
          <w:lang w:val="en-GB"/>
        </w:rPr>
        <w:t xml:space="preserve">limit, designed to protect the spectrum of other operators, and the transitional region power </w:t>
      </w:r>
      <w:r w:rsidRPr="00BE123F">
        <w:rPr>
          <w:rFonts w:ascii="inherit" w:hAnsi="inherit"/>
          <w:color w:val="000000"/>
          <w:lang w:val="en-GB"/>
        </w:rPr>
        <w:t>limits</w:t>
      </w:r>
      <w:r w:rsidRPr="008D2A17">
        <w:rPr>
          <w:rFonts w:ascii="inherit" w:hAnsi="inherit"/>
          <w:color w:val="000000"/>
          <w:lang w:val="en-GB"/>
        </w:rPr>
        <w:t>, enabling filter roll-off from the in-block to the baseline power limit represent out-of-block elements and the restricted baseline which applies. The BEM is applicable to base stations with different power levels.</w:t>
      </w:r>
    </w:p>
    <w:p w14:paraId="70040883" w14:textId="5356C623" w:rsidR="00CC503E" w:rsidRPr="008D2A17" w:rsidRDefault="00CC503E" w:rsidP="00CC503E">
      <w:pPr>
        <w:pStyle w:val="Normal1"/>
        <w:shd w:val="clear" w:color="auto" w:fill="FFFFFF"/>
        <w:spacing w:before="120" w:beforeAutospacing="0" w:after="0" w:afterAutospacing="0"/>
        <w:jc w:val="both"/>
        <w:rPr>
          <w:rFonts w:ascii="inherit" w:hAnsi="inherit"/>
          <w:color w:val="000000"/>
          <w:lang w:val="en-GB"/>
        </w:rPr>
      </w:pPr>
      <w:r w:rsidRPr="008D2A17">
        <w:rPr>
          <w:rFonts w:ascii="inherit" w:hAnsi="inherit"/>
          <w:color w:val="000000"/>
          <w:lang w:val="en-GB"/>
        </w:rPr>
        <w:t>Tables 2 to 7 contain the power limits for the different BEM elements. Power limits are provided</w:t>
      </w:r>
      <w:r w:rsidRPr="00BE123F">
        <w:rPr>
          <w:rFonts w:ascii="inherit" w:hAnsi="inherit"/>
          <w:color w:val="000000"/>
          <w:lang w:val="en-GB"/>
        </w:rPr>
        <w:t xml:space="preserve"> for synchroni</w:t>
      </w:r>
      <w:r w:rsidR="0008102F" w:rsidRPr="00BE123F">
        <w:rPr>
          <w:rFonts w:ascii="inherit" w:hAnsi="inherit"/>
          <w:color w:val="000000"/>
          <w:lang w:val="en-GB"/>
        </w:rPr>
        <w:t>s</w:t>
      </w:r>
      <w:r w:rsidRPr="00BE123F">
        <w:rPr>
          <w:rFonts w:ascii="inherit" w:hAnsi="inherit"/>
          <w:color w:val="000000"/>
          <w:lang w:val="en-GB"/>
        </w:rPr>
        <w:t>ed</w:t>
      </w:r>
      <w:r w:rsidRPr="008D2A17">
        <w:rPr>
          <w:rFonts w:ascii="inherit" w:hAnsi="inherit"/>
          <w:color w:val="000000"/>
          <w:lang w:val="en-GB"/>
        </w:rPr>
        <w:t>, unsynchroni</w:t>
      </w:r>
      <w:r w:rsidR="0008102F">
        <w:rPr>
          <w:rFonts w:ascii="inherit" w:hAnsi="inherit"/>
          <w:color w:val="000000"/>
          <w:lang w:val="en-GB"/>
        </w:rPr>
        <w:t>s</w:t>
      </w:r>
      <w:r w:rsidRPr="008D2A17">
        <w:rPr>
          <w:rFonts w:ascii="inherit" w:hAnsi="inherit"/>
          <w:color w:val="000000"/>
          <w:lang w:val="en-GB"/>
        </w:rPr>
        <w:t>ed and semi-synchronised MFCN networks, also for the protection of radar operation below 3400 MHz and for the protection of FSS/FS above 3800 MHz.</w:t>
      </w:r>
    </w:p>
    <w:p w14:paraId="65C7824C" w14:textId="74C2239E" w:rsidR="00CC503E" w:rsidRPr="008D2A17" w:rsidRDefault="00CC503E" w:rsidP="00CC503E">
      <w:pPr>
        <w:pStyle w:val="Normal1"/>
        <w:shd w:val="clear" w:color="auto" w:fill="FFFFFF"/>
        <w:spacing w:before="120" w:beforeAutospacing="0" w:after="0" w:afterAutospacing="0"/>
        <w:jc w:val="both"/>
        <w:rPr>
          <w:rFonts w:ascii="inherit" w:hAnsi="inherit"/>
          <w:color w:val="000000"/>
          <w:lang w:val="en-GB"/>
        </w:rPr>
      </w:pPr>
      <w:proofErr w:type="spellStart"/>
      <w:r w:rsidRPr="008D2A17">
        <w:rPr>
          <w:rFonts w:ascii="inherit" w:hAnsi="inherit"/>
          <w:color w:val="000000"/>
          <w:lang w:val="en-GB"/>
        </w:rPr>
        <w:t>P</w:t>
      </w:r>
      <w:r w:rsidRPr="008D2A17">
        <w:rPr>
          <w:rStyle w:val="sub"/>
          <w:rFonts w:ascii="inherit" w:hAnsi="inherit"/>
          <w:color w:val="000000"/>
          <w:sz w:val="17"/>
          <w:szCs w:val="17"/>
          <w:vertAlign w:val="subscript"/>
          <w:lang w:val="en-GB"/>
        </w:rPr>
        <w:t>Max</w:t>
      </w:r>
      <w:proofErr w:type="spellEnd"/>
      <w:r w:rsidRPr="008D2A17">
        <w:rPr>
          <w:rFonts w:ascii="inherit" w:hAnsi="inherit"/>
          <w:color w:val="000000"/>
          <w:lang w:val="en-GB"/>
        </w:rPr>
        <w:t xml:space="preserve"> is the maximum carrier power </w:t>
      </w:r>
      <w:r w:rsidR="000A1313" w:rsidRPr="008D2A17">
        <w:rPr>
          <w:rFonts w:ascii="inherit" w:hAnsi="inherit"/>
          <w:color w:val="000000"/>
          <w:lang w:val="en-GB"/>
        </w:rPr>
        <w:t xml:space="preserve">in dBm </w:t>
      </w:r>
      <w:r w:rsidRPr="008D2A17">
        <w:rPr>
          <w:rFonts w:ascii="inherit" w:hAnsi="inherit"/>
          <w:color w:val="000000"/>
          <w:lang w:val="en-GB"/>
        </w:rPr>
        <w:t xml:space="preserve">for the base station in question, measured as </w:t>
      </w:r>
      <w:r w:rsidR="0008102F">
        <w:rPr>
          <w:rFonts w:ascii="inherit" w:hAnsi="inherit"/>
          <w:color w:val="000000"/>
          <w:lang w:val="en-GB"/>
        </w:rPr>
        <w:t>e.i.r.p.</w:t>
      </w:r>
      <w:r w:rsidRPr="008D2A17">
        <w:rPr>
          <w:color w:val="000000"/>
          <w:lang w:val="en-GB"/>
        </w:rPr>
        <w:t> </w:t>
      </w:r>
      <w:r w:rsidR="003B1EDE" w:rsidRPr="008D2A17">
        <w:rPr>
          <w:color w:val="000000"/>
          <w:lang w:val="en-GB"/>
        </w:rPr>
        <w:t>per antenna</w:t>
      </w:r>
      <w:r w:rsidRPr="008D2A17">
        <w:rPr>
          <w:rFonts w:ascii="inherit" w:hAnsi="inherit"/>
          <w:color w:val="000000"/>
          <w:lang w:val="en-GB"/>
        </w:rPr>
        <w:t xml:space="preserve">. </w:t>
      </w:r>
      <w:proofErr w:type="spellStart"/>
      <w:r w:rsidRPr="008D2A17">
        <w:rPr>
          <w:rFonts w:ascii="inherit" w:hAnsi="inherit"/>
          <w:sz w:val="22"/>
          <w:szCs w:val="22"/>
          <w:lang w:val="en-GB"/>
        </w:rPr>
        <w:t>P</w:t>
      </w:r>
      <w:r w:rsidRPr="008D2A17">
        <w:rPr>
          <w:rStyle w:val="sub"/>
          <w:rFonts w:ascii="inherit" w:hAnsi="inherit"/>
          <w:sz w:val="15"/>
          <w:szCs w:val="15"/>
          <w:vertAlign w:val="subscript"/>
          <w:lang w:val="en-GB"/>
        </w:rPr>
        <w:t>Max</w:t>
      </w:r>
      <w:proofErr w:type="spellEnd"/>
      <w:r w:rsidRPr="008D2A17">
        <w:rPr>
          <w:lang w:val="en-GB"/>
        </w:rPr>
        <w:t xml:space="preserve"> '</w:t>
      </w:r>
      <w:r w:rsidRPr="008D2A17">
        <w:rPr>
          <w:rFonts w:ascii="inherit" w:hAnsi="inherit"/>
          <w:color w:val="000000"/>
          <w:lang w:val="en-GB"/>
        </w:rPr>
        <w:t xml:space="preserve"> </w:t>
      </w:r>
      <w:r w:rsidRPr="008D2A17">
        <w:rPr>
          <w:lang w:val="en-GB"/>
        </w:rPr>
        <w:t>is the maximum mean carrier power in dBm for the base station measured as TRP per carrier in a given cell</w:t>
      </w:r>
      <w:r w:rsidRPr="008D2A17">
        <w:rPr>
          <w:rFonts w:ascii="inherit" w:hAnsi="inherit"/>
          <w:color w:val="000000"/>
          <w:lang w:val="en-GB"/>
        </w:rPr>
        <w:t>.</w:t>
      </w:r>
    </w:p>
    <w:p w14:paraId="7EEB2997" w14:textId="43E13CCB" w:rsidR="003B1EDE" w:rsidRPr="008D2A17" w:rsidRDefault="003B1EDE" w:rsidP="00CC503E">
      <w:pPr>
        <w:pStyle w:val="Normal1"/>
        <w:shd w:val="clear" w:color="auto" w:fill="FFFFFF"/>
        <w:spacing w:before="120" w:beforeAutospacing="0" w:after="0" w:afterAutospacing="0"/>
        <w:jc w:val="both"/>
        <w:rPr>
          <w:rFonts w:ascii="inherit" w:hAnsi="inherit"/>
          <w:color w:val="000000"/>
          <w:lang w:val="en-GB"/>
        </w:rPr>
      </w:pPr>
      <w:r w:rsidRPr="008D2A17">
        <w:rPr>
          <w:rFonts w:ascii="inherit" w:hAnsi="inherit"/>
          <w:color w:val="000000"/>
          <w:lang w:val="en-GB"/>
        </w:rPr>
        <w:t xml:space="preserve">The definitions below on synchronised, unsynchronised and semi-synchronised operation may not </w:t>
      </w:r>
      <w:r w:rsidR="00401246" w:rsidRPr="008D2A17">
        <w:rPr>
          <w:rFonts w:ascii="inherit" w:hAnsi="inherit"/>
          <w:color w:val="000000"/>
          <w:lang w:val="en-GB"/>
        </w:rPr>
        <w:t xml:space="preserve">necessarily </w:t>
      </w:r>
      <w:r w:rsidRPr="008D2A17">
        <w:rPr>
          <w:rFonts w:ascii="inherit" w:hAnsi="inherit"/>
          <w:color w:val="000000"/>
          <w:lang w:val="en-GB"/>
        </w:rPr>
        <w:t>apply to an entire network. In particular, there are use cases where different base stations within a network may be unsynchronised or semi-synchronised.</w:t>
      </w:r>
    </w:p>
    <w:p w14:paraId="01ADB6C1" w14:textId="4E56A871" w:rsidR="003B1EDE" w:rsidRPr="008D2A17" w:rsidRDefault="0008102F" w:rsidP="00CC503E">
      <w:pPr>
        <w:pStyle w:val="Normal1"/>
        <w:shd w:val="clear" w:color="auto" w:fill="FFFFFF"/>
        <w:spacing w:before="120" w:beforeAutospacing="0" w:after="0" w:afterAutospacing="0"/>
        <w:jc w:val="both"/>
        <w:rPr>
          <w:rFonts w:ascii="inherit" w:hAnsi="inherit"/>
          <w:color w:val="000000"/>
          <w:lang w:val="en-GB"/>
        </w:rPr>
      </w:pPr>
      <w:r>
        <w:rPr>
          <w:rFonts w:ascii="inherit" w:hAnsi="inherit"/>
          <w:color w:val="000000"/>
          <w:lang w:val="en-GB"/>
        </w:rPr>
        <w:t>S</w:t>
      </w:r>
      <w:r w:rsidR="003B1EDE" w:rsidRPr="008D2A17">
        <w:rPr>
          <w:rFonts w:ascii="inherit" w:hAnsi="inherit"/>
          <w:color w:val="000000"/>
          <w:lang w:val="en-GB"/>
        </w:rPr>
        <w:t>ynchronised operation means operation of TDD in several different networks, where no simultaneous UL and DL transmissions occur, i.e. at any given moment in time either all networks transmit in DL or all networks transmit in UL. This requires the alignment of all DL and UL transmissions for all TDD networks involved as well as synchronising the beginning of the frame across all networks.</w:t>
      </w:r>
    </w:p>
    <w:p w14:paraId="4FBEDEF0" w14:textId="644C81EF" w:rsidR="003B1EDE" w:rsidRPr="008D2A17" w:rsidRDefault="0008102F" w:rsidP="00CC503E">
      <w:pPr>
        <w:pStyle w:val="Normal1"/>
        <w:shd w:val="clear" w:color="auto" w:fill="FFFFFF"/>
        <w:spacing w:before="120"/>
        <w:jc w:val="both"/>
        <w:rPr>
          <w:rFonts w:ascii="inherit" w:hAnsi="inherit"/>
          <w:color w:val="000000"/>
          <w:lang w:val="en-GB"/>
        </w:rPr>
      </w:pPr>
      <w:r>
        <w:rPr>
          <w:rFonts w:ascii="inherit" w:hAnsi="inherit"/>
          <w:color w:val="000000"/>
          <w:lang w:val="en-GB"/>
        </w:rPr>
        <w:t>U</w:t>
      </w:r>
      <w:r w:rsidR="003B1EDE" w:rsidRPr="008D2A17">
        <w:rPr>
          <w:rFonts w:ascii="inherit" w:hAnsi="inherit"/>
          <w:color w:val="000000"/>
          <w:lang w:val="en-GB"/>
        </w:rPr>
        <w:t xml:space="preserve">nsynchronised operation means operation of TDD in several different networks, where at any given moment in time at least one network transmits in DL while at least one network transmits in UL. This might happen if the TDD networks either do not align all DL and UL transmissions or do not synchronise at the beginning of the frame. </w:t>
      </w:r>
    </w:p>
    <w:p w14:paraId="11EC2867" w14:textId="044D5483" w:rsidR="003B1EDE" w:rsidRPr="008D2A17" w:rsidRDefault="0008102F" w:rsidP="00EA1D94">
      <w:pPr>
        <w:rPr>
          <w:u w:val="single"/>
          <w:lang w:val="en-GB"/>
        </w:rPr>
      </w:pPr>
      <w:r>
        <w:rPr>
          <w:rFonts w:ascii="inherit" w:hAnsi="inherit"/>
          <w:color w:val="000000"/>
          <w:sz w:val="24"/>
          <w:lang w:val="en-GB" w:eastAsia="fr-FR"/>
        </w:rPr>
        <w:t>S</w:t>
      </w:r>
      <w:r w:rsidR="003B1EDE" w:rsidRPr="008D2A17">
        <w:rPr>
          <w:rFonts w:ascii="inherit" w:hAnsi="inherit"/>
          <w:color w:val="000000"/>
          <w:sz w:val="24"/>
          <w:lang w:val="en-GB" w:eastAsia="fr-FR"/>
        </w:rPr>
        <w:t>emi-synchronised operation corresponds to the case where part of the frame is consistent with synchronised operation as described above, while the remaining portion of the frame is consistent with unsynchronised operation as described above. This requires the adoption of a frame structure for all TDD networks involved, including slots where the UL/DL direction is not specified, as well as synchronising the beginning of the frame across all networks.</w:t>
      </w:r>
    </w:p>
    <w:p w14:paraId="1404A9BC" w14:textId="77777777" w:rsidR="00CC503E" w:rsidRPr="008D2A17" w:rsidRDefault="00CC503E" w:rsidP="00CC503E">
      <w:pPr>
        <w:pStyle w:val="Normal1"/>
        <w:shd w:val="clear" w:color="auto" w:fill="FFFFFF"/>
        <w:spacing w:before="120" w:beforeAutospacing="0" w:after="0" w:afterAutospacing="0"/>
        <w:jc w:val="both"/>
        <w:rPr>
          <w:rFonts w:ascii="inherit" w:hAnsi="inherit"/>
          <w:color w:val="000000"/>
          <w:lang w:val="en-GB"/>
        </w:rPr>
      </w:pPr>
      <w:r w:rsidRPr="008D2A17">
        <w:rPr>
          <w:rFonts w:ascii="inherit" w:hAnsi="inherit"/>
          <w:color w:val="000000"/>
          <w:lang w:val="en-GB"/>
        </w:rPr>
        <w:t>To obtain a BEM for a specific block, the BEM elements that are defined in Table 1 are combined in the following steps:</w:t>
      </w:r>
    </w:p>
    <w:p w14:paraId="11F04EAB" w14:textId="77777777" w:rsidR="00CC503E" w:rsidRPr="008D2A17" w:rsidRDefault="00CC503E" w:rsidP="00CC503E">
      <w:pPr>
        <w:pStyle w:val="Normal1"/>
        <w:shd w:val="clear" w:color="auto" w:fill="FFFFFF"/>
        <w:spacing w:before="120"/>
        <w:jc w:val="both"/>
        <w:rPr>
          <w:rFonts w:ascii="inherit" w:hAnsi="inherit"/>
          <w:color w:val="000000"/>
          <w:lang w:val="en-GB"/>
        </w:rPr>
      </w:pPr>
      <w:r w:rsidRPr="008D2A17">
        <w:rPr>
          <w:rFonts w:ascii="inherit" w:hAnsi="inherit"/>
          <w:color w:val="000000"/>
          <w:lang w:val="en-GB"/>
        </w:rPr>
        <w:t>1.</w:t>
      </w:r>
      <w:r w:rsidRPr="008D2A17">
        <w:rPr>
          <w:rFonts w:ascii="inherit" w:hAnsi="inherit"/>
          <w:color w:val="000000"/>
          <w:lang w:val="en-GB"/>
        </w:rPr>
        <w:tab/>
        <w:t>In-block power limit is used for the block assigned to the operator.</w:t>
      </w:r>
    </w:p>
    <w:p w14:paraId="25208880" w14:textId="5F6164B4" w:rsidR="00822317" w:rsidRDefault="00CC503E" w:rsidP="00CC503E">
      <w:pPr>
        <w:pStyle w:val="Normal1"/>
        <w:shd w:val="clear" w:color="auto" w:fill="FFFFFF"/>
        <w:spacing w:before="120"/>
        <w:jc w:val="both"/>
        <w:rPr>
          <w:rFonts w:ascii="inherit" w:hAnsi="inherit"/>
          <w:color w:val="000000"/>
          <w:lang w:val="en-GB"/>
        </w:rPr>
      </w:pPr>
      <w:r w:rsidRPr="008D2A17">
        <w:rPr>
          <w:rFonts w:ascii="inherit" w:hAnsi="inherit"/>
          <w:color w:val="000000"/>
          <w:lang w:val="en-GB"/>
        </w:rPr>
        <w:lastRenderedPageBreak/>
        <w:t>2.</w:t>
      </w:r>
      <w:r w:rsidRPr="008D2A17">
        <w:rPr>
          <w:rFonts w:ascii="inherit" w:hAnsi="inherit"/>
          <w:color w:val="000000"/>
          <w:lang w:val="en-GB"/>
        </w:rPr>
        <w:tab/>
      </w:r>
      <w:r w:rsidR="00822317" w:rsidRPr="007D1DBC">
        <w:rPr>
          <w:lang w:val="en-US"/>
        </w:rPr>
        <w:t>Baseline</w:t>
      </w:r>
      <w:r w:rsidR="00822317" w:rsidRPr="007D1DBC">
        <w:rPr>
          <w:lang w:val="en-GB"/>
        </w:rPr>
        <w:t xml:space="preserve"> </w:t>
      </w:r>
      <w:r w:rsidR="00822317">
        <w:rPr>
          <w:lang w:val="en-GB"/>
        </w:rPr>
        <w:t>is used</w:t>
      </w:r>
      <w:r w:rsidR="00822317" w:rsidRPr="007D1DBC">
        <w:rPr>
          <w:lang w:val="en-US"/>
        </w:rPr>
        <w:t xml:space="preserve"> for </w:t>
      </w:r>
      <w:r w:rsidR="00822317" w:rsidRPr="007D1DBC">
        <w:rPr>
          <w:lang w:val="en-GB"/>
        </w:rPr>
        <w:t xml:space="preserve">synchronised WBB ECS </w:t>
      </w:r>
      <w:r w:rsidR="00822317" w:rsidRPr="007D1DBC">
        <w:rPr>
          <w:lang w:val="en-US"/>
        </w:rPr>
        <w:t>networks</w:t>
      </w:r>
      <w:r w:rsidR="00822317">
        <w:rPr>
          <w:lang w:val="en-US"/>
        </w:rPr>
        <w:t xml:space="preserve"> </w:t>
      </w:r>
      <w:r w:rsidR="00822317" w:rsidRPr="008D2A17">
        <w:rPr>
          <w:lang w:val="en-GB"/>
        </w:rPr>
        <w:t>except from the operator block in question and corresponding transitional regions</w:t>
      </w:r>
    </w:p>
    <w:p w14:paraId="4B06A088" w14:textId="58A35981" w:rsidR="00CC503E" w:rsidRPr="008D2A17" w:rsidRDefault="00822317" w:rsidP="00CC503E">
      <w:pPr>
        <w:pStyle w:val="Normal1"/>
        <w:shd w:val="clear" w:color="auto" w:fill="FFFFFF"/>
        <w:spacing w:before="120"/>
        <w:jc w:val="both"/>
        <w:rPr>
          <w:rFonts w:ascii="inherit" w:hAnsi="inherit"/>
          <w:color w:val="000000"/>
          <w:lang w:val="en-GB"/>
        </w:rPr>
      </w:pPr>
      <w:r>
        <w:rPr>
          <w:rFonts w:ascii="inherit" w:hAnsi="inherit"/>
          <w:color w:val="000000"/>
          <w:lang w:val="en-GB"/>
        </w:rPr>
        <w:t>3.</w:t>
      </w:r>
      <w:r>
        <w:rPr>
          <w:rFonts w:ascii="inherit" w:hAnsi="inherit"/>
          <w:color w:val="000000"/>
          <w:lang w:val="en-GB"/>
        </w:rPr>
        <w:tab/>
      </w:r>
      <w:r w:rsidR="00CC503E" w:rsidRPr="008D2A17">
        <w:rPr>
          <w:rFonts w:ascii="inherit" w:hAnsi="inherit"/>
          <w:color w:val="000000"/>
          <w:lang w:val="en-GB"/>
        </w:rPr>
        <w:t xml:space="preserve">Transitional regions are determined, and corresponding power limits are used. </w:t>
      </w:r>
    </w:p>
    <w:p w14:paraId="584953E7" w14:textId="07010ED8" w:rsidR="00CC503E" w:rsidRPr="00BE123F" w:rsidRDefault="00822317" w:rsidP="00BE123F">
      <w:pPr>
        <w:pStyle w:val="Normal1"/>
        <w:shd w:val="clear" w:color="auto" w:fill="FFFFFF"/>
        <w:spacing w:before="120"/>
        <w:jc w:val="both"/>
        <w:rPr>
          <w:rFonts w:ascii="inherit" w:hAnsi="inherit"/>
          <w:color w:val="000000"/>
          <w:lang w:val="en-GB"/>
        </w:rPr>
      </w:pPr>
      <w:r>
        <w:rPr>
          <w:rFonts w:ascii="inherit" w:hAnsi="inherit"/>
          <w:color w:val="000000"/>
          <w:lang w:val="en-GB"/>
        </w:rPr>
        <w:t>4</w:t>
      </w:r>
      <w:r w:rsidR="00CC503E" w:rsidRPr="008D2A17">
        <w:rPr>
          <w:rFonts w:ascii="inherit" w:hAnsi="inherit"/>
          <w:color w:val="000000"/>
          <w:lang w:val="en-GB"/>
        </w:rPr>
        <w:t>.</w:t>
      </w:r>
      <w:r w:rsidR="00CC503E" w:rsidRPr="008D2A17">
        <w:rPr>
          <w:rFonts w:ascii="inherit" w:hAnsi="inherit"/>
          <w:color w:val="000000"/>
          <w:lang w:val="en-GB"/>
        </w:rPr>
        <w:tab/>
      </w:r>
      <w:r w:rsidR="00787D1D">
        <w:rPr>
          <w:rFonts w:ascii="inherit" w:hAnsi="inherit"/>
          <w:color w:val="000000"/>
          <w:lang w:val="en-GB"/>
        </w:rPr>
        <w:t>Restricted baseline</w:t>
      </w:r>
      <w:r w:rsidR="00CC503E" w:rsidRPr="008D2A17">
        <w:rPr>
          <w:rFonts w:ascii="inherit" w:hAnsi="inherit"/>
          <w:color w:val="000000"/>
          <w:lang w:val="en-GB"/>
        </w:rPr>
        <w:t xml:space="preserve"> is used for unsynchroni</w:t>
      </w:r>
      <w:r w:rsidR="008D2A17" w:rsidRPr="008D2A17">
        <w:rPr>
          <w:rFonts w:ascii="inherit" w:hAnsi="inherit"/>
          <w:color w:val="000000"/>
          <w:lang w:val="en-GB"/>
        </w:rPr>
        <w:t>s</w:t>
      </w:r>
      <w:r w:rsidR="00CC503E" w:rsidRPr="008D2A17">
        <w:rPr>
          <w:rFonts w:ascii="inherit" w:hAnsi="inherit"/>
          <w:color w:val="000000"/>
          <w:lang w:val="en-GB"/>
        </w:rPr>
        <w:t>ed and semi-synchronised</w:t>
      </w:r>
      <w:r w:rsidR="00CC503E" w:rsidRPr="00BE123F">
        <w:rPr>
          <w:rFonts w:ascii="inherit" w:hAnsi="inherit"/>
          <w:color w:val="000000"/>
          <w:lang w:val="en-GB"/>
        </w:rPr>
        <w:t xml:space="preserve"> WBB ECS networks,</w:t>
      </w:r>
      <w:r w:rsidR="00CC503E" w:rsidRPr="008D2A17">
        <w:rPr>
          <w:rFonts w:ascii="inherit" w:hAnsi="inherit"/>
          <w:color w:val="000000"/>
          <w:lang w:val="en-GB"/>
        </w:rPr>
        <w:t xml:space="preserve"> </w:t>
      </w:r>
    </w:p>
    <w:p w14:paraId="10249E3C" w14:textId="4EA3173C" w:rsidR="00CC503E" w:rsidRPr="008D2A17" w:rsidRDefault="00822317" w:rsidP="00CC503E">
      <w:pPr>
        <w:pStyle w:val="Normal1"/>
        <w:shd w:val="clear" w:color="auto" w:fill="FFFFFF"/>
        <w:spacing w:before="120"/>
        <w:jc w:val="both"/>
        <w:rPr>
          <w:rFonts w:ascii="inherit" w:hAnsi="inherit"/>
          <w:color w:val="000000"/>
          <w:lang w:val="en-GB"/>
        </w:rPr>
      </w:pPr>
      <w:r>
        <w:rPr>
          <w:rFonts w:ascii="inherit" w:hAnsi="inherit"/>
          <w:color w:val="000000"/>
          <w:lang w:val="en-GB"/>
        </w:rPr>
        <w:t>5</w:t>
      </w:r>
      <w:r w:rsidR="00CC503E" w:rsidRPr="008D2A17">
        <w:rPr>
          <w:rFonts w:ascii="inherit" w:hAnsi="inherit"/>
          <w:color w:val="000000"/>
          <w:lang w:val="en-GB"/>
        </w:rPr>
        <w:t>.</w:t>
      </w:r>
      <w:r w:rsidR="00CC503E" w:rsidRPr="008D2A17">
        <w:rPr>
          <w:rFonts w:ascii="inherit" w:hAnsi="inherit"/>
          <w:color w:val="000000"/>
          <w:lang w:val="en-GB"/>
        </w:rPr>
        <w:tab/>
        <w:t>For spectrum below 3 400 MHz, one of the additional baseline power limits is used.</w:t>
      </w:r>
    </w:p>
    <w:p w14:paraId="67D72B0D" w14:textId="61BF3D6D" w:rsidR="00CC503E" w:rsidRPr="008D2A17" w:rsidRDefault="00822317" w:rsidP="00CC503E">
      <w:pPr>
        <w:pStyle w:val="Normal1"/>
        <w:shd w:val="clear" w:color="auto" w:fill="FFFFFF"/>
        <w:spacing w:before="120"/>
        <w:jc w:val="both"/>
        <w:rPr>
          <w:rFonts w:ascii="inherit" w:hAnsi="inherit"/>
          <w:color w:val="000000"/>
          <w:lang w:val="en-GB"/>
        </w:rPr>
      </w:pPr>
      <w:r>
        <w:rPr>
          <w:rFonts w:ascii="inherit" w:hAnsi="inherit"/>
          <w:color w:val="000000"/>
          <w:lang w:val="en-GB"/>
        </w:rPr>
        <w:t>6</w:t>
      </w:r>
      <w:r w:rsidR="00CC503E" w:rsidRPr="008D2A17">
        <w:rPr>
          <w:rFonts w:ascii="inherit" w:hAnsi="inherit"/>
          <w:color w:val="000000"/>
          <w:lang w:val="en-GB"/>
        </w:rPr>
        <w:t>.</w:t>
      </w:r>
      <w:r w:rsidR="00CC503E" w:rsidRPr="008D2A17">
        <w:rPr>
          <w:rFonts w:ascii="inherit" w:hAnsi="inherit"/>
          <w:color w:val="000000"/>
          <w:lang w:val="en-GB"/>
        </w:rPr>
        <w:tab/>
        <w:t>For coexistence with FSS/FS above 3800 MHz, the same baseline and transitional power limit for synchronized WBB ECS applies</w:t>
      </w:r>
    </w:p>
    <w:p w14:paraId="359CE81C" w14:textId="77777777" w:rsidR="00CC503E" w:rsidRPr="008D2A17" w:rsidRDefault="00CC503E" w:rsidP="00CC503E">
      <w:pPr>
        <w:pStyle w:val="Normal1"/>
        <w:shd w:val="clear" w:color="auto" w:fill="FFFFFF"/>
        <w:spacing w:before="120" w:beforeAutospacing="0" w:after="0" w:afterAutospacing="0"/>
        <w:jc w:val="both"/>
        <w:rPr>
          <w:rFonts w:ascii="inherit" w:hAnsi="inherit"/>
          <w:color w:val="000000"/>
          <w:lang w:val="en-GB"/>
        </w:rPr>
      </w:pPr>
      <w:r w:rsidRPr="008D2A17">
        <w:rPr>
          <w:rFonts w:ascii="inherit" w:hAnsi="inherit"/>
          <w:color w:val="000000"/>
          <w:lang w:val="en-GB"/>
        </w:rPr>
        <w:t>The Figure provides an example of the combination of different BEM elements.</w:t>
      </w:r>
    </w:p>
    <w:p w14:paraId="7FEE03D8" w14:textId="77777777" w:rsidR="00CC503E" w:rsidRPr="0008102F" w:rsidRDefault="00CC503E" w:rsidP="00CC503E">
      <w:pPr>
        <w:pStyle w:val="ti-tbl"/>
        <w:spacing w:before="120" w:beforeAutospacing="0" w:after="120" w:afterAutospacing="0"/>
        <w:ind w:left="3600" w:firstLine="720"/>
        <w:rPr>
          <w:rStyle w:val="bold"/>
          <w:rFonts w:ascii="inherit" w:hAnsi="inherit"/>
          <w:b/>
          <w:bCs/>
          <w:i/>
          <w:color w:val="000000"/>
          <w:lang w:val="en-GB"/>
        </w:rPr>
      </w:pPr>
      <w:r w:rsidRPr="0008102F">
        <w:rPr>
          <w:i/>
          <w:lang w:val="en-GB"/>
        </w:rPr>
        <w:t xml:space="preserve">Table 1 </w:t>
      </w:r>
    </w:p>
    <w:p w14:paraId="69167213" w14:textId="77777777" w:rsidR="00CC503E" w:rsidRDefault="00CC503E" w:rsidP="00CC503E">
      <w:pPr>
        <w:pStyle w:val="ti-tbl"/>
        <w:spacing w:before="120" w:beforeAutospacing="0" w:after="120" w:afterAutospacing="0"/>
        <w:jc w:val="center"/>
        <w:rPr>
          <w:rStyle w:val="bold"/>
          <w:rFonts w:ascii="inherit" w:hAnsi="inherit"/>
          <w:b/>
          <w:bCs/>
          <w:color w:val="000000"/>
          <w:lang w:val="en-GB"/>
        </w:rPr>
      </w:pPr>
      <w:r w:rsidRPr="008D2A17">
        <w:rPr>
          <w:rStyle w:val="bold"/>
          <w:rFonts w:ascii="inherit" w:hAnsi="inherit"/>
          <w:b/>
          <w:bCs/>
          <w:color w:val="000000"/>
          <w:lang w:val="en-GB"/>
        </w:rPr>
        <w:t>Definition of BEM elements</w:t>
      </w:r>
    </w:p>
    <w:tbl>
      <w:tblPr>
        <w:tblW w:w="4992" w:type="pct"/>
        <w:tblCellSpacing w:w="0"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CellMar>
          <w:left w:w="0" w:type="dxa"/>
          <w:right w:w="0" w:type="dxa"/>
        </w:tblCellMar>
        <w:tblLook w:val="04A0" w:firstRow="1" w:lastRow="0" w:firstColumn="1" w:lastColumn="0" w:noHBand="0" w:noVBand="1"/>
      </w:tblPr>
      <w:tblGrid>
        <w:gridCol w:w="1433"/>
        <w:gridCol w:w="8221"/>
      </w:tblGrid>
      <w:tr w:rsidR="00BF1CA6" w:rsidRPr="008D2A17" w14:paraId="4BB42F4E" w14:textId="77777777" w:rsidTr="00822317">
        <w:trPr>
          <w:tblCellSpacing w:w="0" w:type="dxa"/>
        </w:trPr>
        <w:tc>
          <w:tcPr>
            <w:tcW w:w="1433" w:type="dxa"/>
            <w:hideMark/>
          </w:tcPr>
          <w:p w14:paraId="31D5B343" w14:textId="77777777" w:rsidR="00BF1CA6" w:rsidRPr="008D2A17" w:rsidRDefault="00BF1CA6" w:rsidP="00822317">
            <w:pPr>
              <w:ind w:right="195"/>
              <w:jc w:val="center"/>
              <w:rPr>
                <w:rFonts w:ascii="inherit" w:hAnsi="inherit"/>
                <w:b/>
                <w:sz w:val="22"/>
                <w:lang w:val="en-GB"/>
              </w:rPr>
            </w:pPr>
            <w:r w:rsidRPr="008D2A17">
              <w:rPr>
                <w:rFonts w:ascii="inherit" w:hAnsi="inherit"/>
                <w:b/>
                <w:sz w:val="22"/>
                <w:lang w:val="en-GB"/>
              </w:rPr>
              <w:t>BEM element</w:t>
            </w:r>
          </w:p>
        </w:tc>
        <w:tc>
          <w:tcPr>
            <w:tcW w:w="8221" w:type="dxa"/>
            <w:hideMark/>
          </w:tcPr>
          <w:p w14:paraId="6E4AEEB3" w14:textId="77777777" w:rsidR="00BF1CA6" w:rsidRPr="008D2A17" w:rsidRDefault="00BF1CA6" w:rsidP="00822317">
            <w:pPr>
              <w:ind w:right="195"/>
              <w:jc w:val="center"/>
              <w:rPr>
                <w:rFonts w:ascii="inherit" w:hAnsi="inherit"/>
                <w:b/>
                <w:sz w:val="22"/>
                <w:lang w:val="en-GB"/>
              </w:rPr>
            </w:pPr>
            <w:r w:rsidRPr="008D2A17">
              <w:rPr>
                <w:rFonts w:ascii="inherit" w:hAnsi="inherit"/>
                <w:b/>
                <w:bCs/>
                <w:sz w:val="22"/>
                <w:szCs w:val="22"/>
                <w:lang w:val="en-GB"/>
              </w:rPr>
              <w:t>Definition</w:t>
            </w:r>
          </w:p>
        </w:tc>
      </w:tr>
      <w:tr w:rsidR="00BF1CA6" w:rsidRPr="008D2A17" w14:paraId="42ABC57C" w14:textId="77777777" w:rsidTr="00822317">
        <w:trPr>
          <w:trHeight w:val="309"/>
          <w:tblCellSpacing w:w="0" w:type="dxa"/>
        </w:trPr>
        <w:tc>
          <w:tcPr>
            <w:tcW w:w="1433" w:type="dxa"/>
            <w:hideMark/>
          </w:tcPr>
          <w:p w14:paraId="5A879AED" w14:textId="77777777" w:rsidR="00BF1CA6" w:rsidRPr="008D2A17" w:rsidRDefault="00BF1CA6" w:rsidP="00822317">
            <w:pPr>
              <w:pStyle w:val="tbl-txt"/>
              <w:spacing w:before="60" w:beforeAutospacing="0" w:after="60" w:afterAutospacing="0"/>
              <w:rPr>
                <w:rFonts w:ascii="inherit" w:hAnsi="inherit"/>
                <w:sz w:val="22"/>
                <w:szCs w:val="22"/>
                <w:lang w:val="en-GB"/>
              </w:rPr>
            </w:pPr>
            <w:r w:rsidRPr="008D2A17">
              <w:rPr>
                <w:rFonts w:ascii="inherit" w:hAnsi="inherit"/>
                <w:sz w:val="22"/>
                <w:szCs w:val="22"/>
                <w:lang w:val="en-GB"/>
              </w:rPr>
              <w:t>In-block</w:t>
            </w:r>
          </w:p>
        </w:tc>
        <w:tc>
          <w:tcPr>
            <w:tcW w:w="8221" w:type="dxa"/>
            <w:hideMark/>
          </w:tcPr>
          <w:p w14:paraId="1F4F5CE7" w14:textId="77777777" w:rsidR="00BF1CA6" w:rsidRPr="008D2A17" w:rsidRDefault="00BF1CA6" w:rsidP="00822317">
            <w:pPr>
              <w:pStyle w:val="tbl-txt"/>
              <w:spacing w:before="60" w:beforeAutospacing="0" w:after="60" w:afterAutospacing="0"/>
              <w:rPr>
                <w:rFonts w:ascii="inherit" w:hAnsi="inherit"/>
                <w:sz w:val="22"/>
                <w:szCs w:val="22"/>
                <w:lang w:val="en-GB"/>
              </w:rPr>
            </w:pPr>
            <w:r w:rsidRPr="008D2A17">
              <w:rPr>
                <w:lang w:val="en-GB"/>
              </w:rPr>
              <w:t>Block for which the BEM is derived.</w:t>
            </w:r>
          </w:p>
        </w:tc>
      </w:tr>
      <w:tr w:rsidR="00BF1CA6" w:rsidRPr="008D2A17" w14:paraId="09EFAC7A" w14:textId="77777777" w:rsidTr="00822317">
        <w:trPr>
          <w:tblCellSpacing w:w="0" w:type="dxa"/>
        </w:trPr>
        <w:tc>
          <w:tcPr>
            <w:tcW w:w="1433" w:type="dxa"/>
            <w:hideMark/>
          </w:tcPr>
          <w:p w14:paraId="52C40F65" w14:textId="77777777" w:rsidR="00BF1CA6" w:rsidRPr="008D2A17" w:rsidRDefault="00BF1CA6" w:rsidP="00822317">
            <w:pPr>
              <w:pStyle w:val="ti-tbl"/>
              <w:spacing w:before="60" w:beforeAutospacing="0" w:after="60" w:afterAutospacing="0"/>
              <w:rPr>
                <w:rFonts w:ascii="inherit" w:hAnsi="inherit"/>
                <w:sz w:val="22"/>
                <w:lang w:val="en-GB"/>
              </w:rPr>
            </w:pPr>
            <w:r w:rsidRPr="008D2A17">
              <w:rPr>
                <w:rFonts w:ascii="inherit" w:hAnsi="inherit"/>
                <w:sz w:val="22"/>
                <w:szCs w:val="22"/>
                <w:lang w:val="en-GB"/>
              </w:rPr>
              <w:t>Baseline</w:t>
            </w:r>
          </w:p>
        </w:tc>
        <w:tc>
          <w:tcPr>
            <w:tcW w:w="8221" w:type="dxa"/>
            <w:hideMark/>
          </w:tcPr>
          <w:p w14:paraId="468F7E5E" w14:textId="77777777" w:rsidR="00BF1CA6" w:rsidRPr="008D2A17" w:rsidRDefault="00BF1CA6" w:rsidP="00822317">
            <w:pPr>
              <w:pStyle w:val="ti-tbl"/>
              <w:spacing w:before="60" w:beforeAutospacing="0" w:after="60" w:afterAutospacing="0"/>
              <w:rPr>
                <w:rFonts w:ascii="inherit" w:hAnsi="inherit"/>
                <w:sz w:val="22"/>
                <w:lang w:val="en-GB"/>
              </w:rPr>
            </w:pPr>
            <w:r w:rsidRPr="008D2A17">
              <w:rPr>
                <w:lang w:val="en-GB"/>
              </w:rPr>
              <w:t>Spectrum used for WBB ECS, except from the operator block in question and corresponding transitional regions.</w:t>
            </w:r>
          </w:p>
        </w:tc>
      </w:tr>
      <w:tr w:rsidR="00BF1CA6" w:rsidRPr="008D2A17" w14:paraId="06B4A7CB" w14:textId="77777777" w:rsidTr="00822317">
        <w:trPr>
          <w:tblCellSpacing w:w="0" w:type="dxa"/>
        </w:trPr>
        <w:tc>
          <w:tcPr>
            <w:tcW w:w="1433" w:type="dxa"/>
            <w:hideMark/>
          </w:tcPr>
          <w:p w14:paraId="4AB86D02" w14:textId="77777777" w:rsidR="00BF1CA6" w:rsidRPr="008D2A17" w:rsidRDefault="00BF1CA6" w:rsidP="00822317">
            <w:pPr>
              <w:pStyle w:val="ti-tbl"/>
              <w:spacing w:before="60" w:beforeAutospacing="0" w:after="60" w:afterAutospacing="0"/>
              <w:rPr>
                <w:rFonts w:ascii="inherit" w:hAnsi="inherit"/>
                <w:sz w:val="22"/>
                <w:lang w:val="en-GB"/>
              </w:rPr>
            </w:pPr>
            <w:r w:rsidRPr="008D2A17">
              <w:rPr>
                <w:rFonts w:ascii="inherit" w:hAnsi="inherit"/>
                <w:sz w:val="22"/>
                <w:lang w:val="en-GB"/>
              </w:rPr>
              <w:t>Transitional regions</w:t>
            </w:r>
          </w:p>
        </w:tc>
        <w:tc>
          <w:tcPr>
            <w:tcW w:w="8221" w:type="dxa"/>
            <w:hideMark/>
          </w:tcPr>
          <w:p w14:paraId="203AB168" w14:textId="77777777" w:rsidR="00BF1CA6" w:rsidRPr="008D2A17" w:rsidRDefault="00BF1CA6" w:rsidP="00822317">
            <w:pPr>
              <w:pStyle w:val="ti-tbl"/>
              <w:spacing w:before="60" w:after="60"/>
              <w:rPr>
                <w:rFonts w:ascii="inherit" w:hAnsi="inherit"/>
                <w:sz w:val="22"/>
                <w:lang w:val="en-GB"/>
              </w:rPr>
            </w:pPr>
            <w:r w:rsidRPr="008D2A17">
              <w:rPr>
                <w:lang w:val="en-GB"/>
              </w:rPr>
              <w:t xml:space="preserve">The transitional region applies 0 to 10 MHz below and above the block assigned to the operator. Transitional regions do not apply to TDD blocks allocated to other operators, unless networks are </w:t>
            </w:r>
            <w:proofErr w:type="spellStart"/>
            <w:r w:rsidRPr="008D2A17">
              <w:rPr>
                <w:lang w:val="en-GB"/>
              </w:rPr>
              <w:t>synchronised.The</w:t>
            </w:r>
            <w:proofErr w:type="spellEnd"/>
            <w:r w:rsidRPr="008D2A17">
              <w:rPr>
                <w:lang w:val="en-GB"/>
              </w:rPr>
              <w:t xml:space="preserve"> transitional regions do not apply below 3400 MHz or above 3800 MHz.</w:t>
            </w:r>
          </w:p>
        </w:tc>
      </w:tr>
      <w:tr w:rsidR="00BF1CA6" w:rsidRPr="008D2A17" w14:paraId="013F0A57" w14:textId="77777777" w:rsidTr="00822317">
        <w:trPr>
          <w:tblCellSpacing w:w="0" w:type="dxa"/>
        </w:trPr>
        <w:tc>
          <w:tcPr>
            <w:tcW w:w="742" w:type="pct"/>
            <w:hideMark/>
          </w:tcPr>
          <w:p w14:paraId="5B95D563" w14:textId="77777777" w:rsidR="00BF1CA6" w:rsidRPr="008D2A17" w:rsidRDefault="00BF1CA6" w:rsidP="00822317">
            <w:pPr>
              <w:pStyle w:val="tbl-txt"/>
              <w:spacing w:before="60" w:beforeAutospacing="0" w:after="60" w:afterAutospacing="0"/>
              <w:rPr>
                <w:rFonts w:ascii="inherit" w:hAnsi="inherit"/>
                <w:sz w:val="22"/>
                <w:lang w:val="en-GB"/>
              </w:rPr>
            </w:pPr>
            <w:r>
              <w:rPr>
                <w:rFonts w:ascii="inherit" w:hAnsi="inherit"/>
                <w:sz w:val="22"/>
                <w:szCs w:val="22"/>
                <w:lang w:val="en-GB"/>
              </w:rPr>
              <w:t>Additional baseline</w:t>
            </w:r>
          </w:p>
        </w:tc>
        <w:tc>
          <w:tcPr>
            <w:tcW w:w="4258" w:type="pct"/>
            <w:hideMark/>
          </w:tcPr>
          <w:p w14:paraId="1E280B1D" w14:textId="77777777" w:rsidR="00BF1CA6" w:rsidRPr="008D2A17" w:rsidRDefault="00BF1CA6" w:rsidP="00822317">
            <w:pPr>
              <w:pStyle w:val="tbl-num"/>
              <w:spacing w:before="60" w:beforeAutospacing="0" w:after="60" w:afterAutospacing="0"/>
              <w:ind w:right="195"/>
              <w:rPr>
                <w:rFonts w:ascii="inherit" w:hAnsi="inherit"/>
                <w:sz w:val="22"/>
                <w:szCs w:val="22"/>
                <w:lang w:val="en-GB"/>
              </w:rPr>
            </w:pPr>
            <w:r w:rsidRPr="008D2A17">
              <w:rPr>
                <w:lang w:val="en-GB"/>
              </w:rPr>
              <w:t>Below 3400 MHz and above 3800 MHz</w:t>
            </w:r>
          </w:p>
        </w:tc>
      </w:tr>
      <w:tr w:rsidR="00BF1CA6" w:rsidRPr="008D2A17" w14:paraId="36CD044C" w14:textId="77777777" w:rsidTr="00822317">
        <w:trPr>
          <w:tblCellSpacing w:w="0" w:type="dxa"/>
        </w:trPr>
        <w:tc>
          <w:tcPr>
            <w:tcW w:w="742" w:type="pct"/>
          </w:tcPr>
          <w:p w14:paraId="6A7C64EC" w14:textId="77777777" w:rsidR="00BF1CA6" w:rsidRPr="008D2A17" w:rsidRDefault="00BF1CA6" w:rsidP="00822317">
            <w:pPr>
              <w:pStyle w:val="tbl-txt"/>
              <w:spacing w:before="60" w:beforeAutospacing="0" w:after="60" w:afterAutospacing="0"/>
              <w:rPr>
                <w:rFonts w:ascii="inherit" w:hAnsi="inherit"/>
                <w:sz w:val="22"/>
                <w:szCs w:val="22"/>
                <w:lang w:val="en-GB"/>
              </w:rPr>
            </w:pPr>
            <w:r>
              <w:rPr>
                <w:rFonts w:ascii="inherit" w:hAnsi="inherit"/>
                <w:sz w:val="22"/>
                <w:szCs w:val="22"/>
                <w:lang w:val="en-GB"/>
              </w:rPr>
              <w:t>Restricted baseline</w:t>
            </w:r>
          </w:p>
        </w:tc>
        <w:tc>
          <w:tcPr>
            <w:tcW w:w="4258" w:type="pct"/>
          </w:tcPr>
          <w:p w14:paraId="4138B037" w14:textId="77777777" w:rsidR="00BF1CA6" w:rsidRPr="008D2A17" w:rsidRDefault="00BF1CA6" w:rsidP="00822317">
            <w:pPr>
              <w:pStyle w:val="tbl-num"/>
              <w:spacing w:before="60" w:beforeAutospacing="0" w:after="60" w:afterAutospacing="0"/>
              <w:ind w:right="195"/>
              <w:rPr>
                <w:rFonts w:ascii="inherit" w:hAnsi="inherit"/>
                <w:sz w:val="22"/>
                <w:szCs w:val="22"/>
                <w:lang w:val="en-GB"/>
              </w:rPr>
            </w:pPr>
            <w:r w:rsidRPr="008D2A17">
              <w:rPr>
                <w:lang w:val="en-GB"/>
              </w:rPr>
              <w:t>Spectrum used for WBB ECS by networks unsynchronised or semi-synchronised with the operator block in question</w:t>
            </w:r>
          </w:p>
        </w:tc>
      </w:tr>
    </w:tbl>
    <w:p w14:paraId="3E591198" w14:textId="621F94BE" w:rsidR="00CC503E" w:rsidRPr="008D2A17" w:rsidRDefault="00CC503E" w:rsidP="00CC503E">
      <w:pPr>
        <w:pStyle w:val="ti-tbl"/>
        <w:spacing w:before="120" w:beforeAutospacing="0" w:after="120" w:afterAutospacing="0"/>
        <w:jc w:val="center"/>
        <w:rPr>
          <w:rFonts w:ascii="inherit" w:hAnsi="inherit"/>
          <w:color w:val="000000"/>
          <w:lang w:val="en-GB"/>
        </w:rPr>
      </w:pPr>
      <w:bookmarkStart w:id="2106" w:name="_Toc501013130"/>
      <w:r w:rsidRPr="008D2A17">
        <w:rPr>
          <w:rStyle w:val="italic"/>
          <w:rFonts w:ascii="inherit" w:hAnsi="inherit"/>
          <w:i/>
          <w:iCs/>
          <w:color w:val="000000"/>
          <w:lang w:val="en-GB"/>
        </w:rPr>
        <w:t>Table 2</w:t>
      </w:r>
    </w:p>
    <w:p w14:paraId="7A04D22D" w14:textId="5ABA663F" w:rsidR="00CC503E" w:rsidRPr="008D2A17" w:rsidRDefault="00CC503E" w:rsidP="00CC503E">
      <w:pPr>
        <w:pStyle w:val="ti-tbl"/>
        <w:spacing w:before="120" w:beforeAutospacing="0" w:after="120" w:afterAutospacing="0"/>
        <w:jc w:val="center"/>
        <w:rPr>
          <w:rFonts w:ascii="inherit" w:hAnsi="inherit"/>
          <w:color w:val="000000"/>
          <w:lang w:val="en-GB"/>
        </w:rPr>
      </w:pPr>
      <w:r w:rsidRPr="008D2A17">
        <w:rPr>
          <w:rStyle w:val="bold"/>
          <w:rFonts w:ascii="inherit" w:hAnsi="inherit"/>
          <w:b/>
          <w:bCs/>
          <w:color w:val="000000"/>
          <w:lang w:val="en-GB"/>
        </w:rPr>
        <w:t>In-block power limit for non-AA</w:t>
      </w:r>
      <w:r w:rsidR="00C64777" w:rsidRPr="008D2A17">
        <w:rPr>
          <w:rStyle w:val="bold"/>
          <w:rFonts w:ascii="inherit" w:hAnsi="inherit"/>
          <w:b/>
          <w:bCs/>
          <w:color w:val="000000"/>
          <w:lang w:val="en-GB"/>
        </w:rPr>
        <w:t>S</w:t>
      </w:r>
      <w:r w:rsidRPr="008D2A17">
        <w:rPr>
          <w:rStyle w:val="bold"/>
          <w:rFonts w:ascii="inherit" w:hAnsi="inherit"/>
          <w:b/>
          <w:bCs/>
          <w:color w:val="000000"/>
          <w:lang w:val="en-GB"/>
        </w:rPr>
        <w:t xml:space="preserve"> and AAS base station</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37"/>
        <w:gridCol w:w="2923"/>
        <w:gridCol w:w="5109"/>
      </w:tblGrid>
      <w:tr w:rsidR="00CC503E" w:rsidRPr="008D2A17" w14:paraId="395D4121" w14:textId="77777777" w:rsidTr="00A42AF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000003" w14:textId="77777777" w:rsidR="00CC503E" w:rsidRPr="008D2A17" w:rsidRDefault="00CC503E" w:rsidP="00A42AF6">
            <w:pPr>
              <w:pStyle w:val="tbl-hdr"/>
              <w:spacing w:before="60" w:beforeAutospacing="0" w:after="60" w:afterAutospacing="0"/>
              <w:ind w:right="195"/>
              <w:jc w:val="center"/>
              <w:rPr>
                <w:rFonts w:ascii="inherit" w:hAnsi="inherit"/>
                <w:b/>
                <w:bCs/>
                <w:sz w:val="22"/>
                <w:szCs w:val="22"/>
                <w:lang w:val="en-GB"/>
              </w:rPr>
            </w:pPr>
            <w:r w:rsidRPr="008D2A17">
              <w:rPr>
                <w:rFonts w:ascii="inherit" w:hAnsi="inherit"/>
                <w:b/>
                <w:bCs/>
                <w:sz w:val="22"/>
                <w:szCs w:val="22"/>
                <w:lang w:val="en-GB"/>
              </w:rPr>
              <w:t>BEM element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D29B6" w14:textId="77777777" w:rsidR="00CC503E" w:rsidRPr="008D2A17" w:rsidRDefault="00CC503E" w:rsidP="00A42AF6">
            <w:pPr>
              <w:pStyle w:val="tbl-hdr"/>
              <w:spacing w:before="60" w:beforeAutospacing="0" w:after="60" w:afterAutospacing="0"/>
              <w:ind w:right="195"/>
              <w:jc w:val="center"/>
              <w:rPr>
                <w:rFonts w:ascii="inherit" w:hAnsi="inherit"/>
                <w:b/>
                <w:bCs/>
                <w:sz w:val="22"/>
                <w:szCs w:val="22"/>
                <w:lang w:val="en-GB"/>
              </w:rPr>
            </w:pPr>
            <w:r w:rsidRPr="008D2A17">
              <w:rPr>
                <w:rFonts w:ascii="inherit" w:hAnsi="inherit"/>
                <w:b/>
                <w:bCs/>
                <w:sz w:val="22"/>
                <w:szCs w:val="22"/>
                <w:lang w:val="en-GB"/>
              </w:rPr>
              <w:t>Frequency range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614EB" w14:textId="77777777" w:rsidR="00CC503E" w:rsidRPr="008D2A17" w:rsidRDefault="00CC503E" w:rsidP="00A42AF6">
            <w:pPr>
              <w:pStyle w:val="tbl-hdr"/>
              <w:spacing w:before="60" w:beforeAutospacing="0" w:after="60" w:afterAutospacing="0"/>
              <w:ind w:right="195"/>
              <w:jc w:val="center"/>
              <w:rPr>
                <w:rFonts w:ascii="inherit" w:hAnsi="inherit"/>
                <w:b/>
                <w:bCs/>
                <w:sz w:val="22"/>
                <w:szCs w:val="22"/>
                <w:lang w:val="en-GB"/>
              </w:rPr>
            </w:pPr>
            <w:r w:rsidRPr="008D2A17">
              <w:rPr>
                <w:rFonts w:ascii="inherit" w:hAnsi="inherit"/>
                <w:b/>
                <w:bCs/>
                <w:sz w:val="22"/>
                <w:szCs w:val="22"/>
                <w:lang w:val="en-GB"/>
              </w:rPr>
              <w:t>Power limit for non-AAS and AAS base stations</w:t>
            </w:r>
          </w:p>
        </w:tc>
      </w:tr>
      <w:tr w:rsidR="00CC503E" w:rsidRPr="008D2A17" w14:paraId="642E22E4" w14:textId="77777777" w:rsidTr="00A42AF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986CF3" w14:textId="77777777" w:rsidR="00CC503E" w:rsidRPr="008D2A17" w:rsidRDefault="00CC503E" w:rsidP="00A42AF6">
            <w:pPr>
              <w:pStyle w:val="tbl-txt"/>
              <w:spacing w:before="60" w:beforeAutospacing="0" w:after="60" w:afterAutospacing="0"/>
              <w:jc w:val="center"/>
              <w:rPr>
                <w:rFonts w:ascii="inherit" w:hAnsi="inherit"/>
                <w:sz w:val="22"/>
                <w:szCs w:val="22"/>
                <w:lang w:val="en-GB"/>
              </w:rPr>
            </w:pPr>
            <w:r w:rsidRPr="008D2A17">
              <w:rPr>
                <w:rFonts w:ascii="inherit" w:hAnsi="inherit"/>
                <w:sz w:val="22"/>
                <w:szCs w:val="22"/>
                <w:lang w:val="en-GB"/>
              </w:rPr>
              <w:t>In-block</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87792" w14:textId="77777777" w:rsidR="00CC503E" w:rsidRPr="008D2A17" w:rsidRDefault="00CC503E" w:rsidP="00A42AF6">
            <w:pPr>
              <w:pStyle w:val="tbl-txt"/>
              <w:spacing w:before="60" w:beforeAutospacing="0" w:after="60" w:afterAutospacing="0"/>
              <w:jc w:val="center"/>
              <w:rPr>
                <w:rFonts w:ascii="inherit" w:hAnsi="inherit"/>
                <w:sz w:val="22"/>
                <w:szCs w:val="22"/>
                <w:lang w:val="en-GB"/>
              </w:rPr>
            </w:pPr>
            <w:r w:rsidRPr="008D2A17">
              <w:rPr>
                <w:rFonts w:ascii="inherit" w:hAnsi="inherit"/>
                <w:sz w:val="22"/>
                <w:szCs w:val="22"/>
                <w:lang w:val="en-GB"/>
              </w:rPr>
              <w:t>Block assigned to the operator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01F51" w14:textId="77777777" w:rsidR="00CC503E" w:rsidRPr="008D2A17" w:rsidRDefault="00CC503E" w:rsidP="00A42AF6">
            <w:pPr>
              <w:pStyle w:val="tbl-txt"/>
              <w:spacing w:before="60" w:beforeAutospacing="0" w:after="60" w:afterAutospacing="0"/>
              <w:jc w:val="center"/>
              <w:rPr>
                <w:rFonts w:ascii="inherit" w:hAnsi="inherit"/>
                <w:sz w:val="22"/>
                <w:szCs w:val="22"/>
                <w:lang w:val="en-GB"/>
              </w:rPr>
            </w:pPr>
            <w:r w:rsidRPr="008D2A17">
              <w:rPr>
                <w:rFonts w:ascii="inherit" w:hAnsi="inherit"/>
                <w:sz w:val="22"/>
                <w:szCs w:val="22"/>
                <w:lang w:val="en-GB"/>
              </w:rPr>
              <w:t>Not obligatory.</w:t>
            </w:r>
          </w:p>
        </w:tc>
      </w:tr>
    </w:tbl>
    <w:p w14:paraId="58FD7512" w14:textId="77777777" w:rsidR="00CC503E" w:rsidRPr="008D2A17" w:rsidRDefault="00CC503E" w:rsidP="00CC503E">
      <w:pPr>
        <w:pStyle w:val="ti-annotation"/>
        <w:spacing w:before="120" w:beforeAutospacing="0" w:after="0" w:afterAutospacing="0"/>
        <w:rPr>
          <w:rFonts w:ascii="inherit" w:hAnsi="inherit"/>
          <w:i/>
          <w:iCs/>
          <w:color w:val="000000"/>
          <w:lang w:val="en-GB"/>
        </w:rPr>
      </w:pPr>
      <w:r w:rsidRPr="008D2A17">
        <w:rPr>
          <w:rStyle w:val="italic"/>
          <w:rFonts w:ascii="inherit" w:hAnsi="inherit"/>
          <w:i/>
          <w:iCs/>
          <w:color w:val="000000"/>
          <w:lang w:val="en-GB"/>
        </w:rPr>
        <w:t>Explanatory note to Table 2</w:t>
      </w:r>
    </w:p>
    <w:p w14:paraId="0E811121" w14:textId="77777777" w:rsidR="00CC503E" w:rsidRPr="008D2A17" w:rsidRDefault="00CC503E" w:rsidP="00CC503E">
      <w:pPr>
        <w:pStyle w:val="Normal1"/>
        <w:spacing w:before="120" w:beforeAutospacing="0" w:after="0" w:afterAutospacing="0"/>
        <w:jc w:val="both"/>
        <w:rPr>
          <w:rFonts w:ascii="inherit" w:hAnsi="inherit"/>
          <w:color w:val="000000"/>
          <w:lang w:val="en-GB"/>
        </w:rPr>
      </w:pPr>
      <w:r w:rsidRPr="008D2A17">
        <w:rPr>
          <w:rFonts w:ascii="inherit" w:hAnsi="inherit"/>
          <w:color w:val="000000"/>
          <w:lang w:val="en-GB"/>
        </w:rPr>
        <w:t xml:space="preserve">For </w:t>
      </w:r>
      <w:proofErr w:type="spellStart"/>
      <w:r w:rsidRPr="008D2A17">
        <w:rPr>
          <w:rFonts w:ascii="inherit" w:hAnsi="inherit"/>
          <w:color w:val="000000"/>
          <w:lang w:val="en-GB"/>
        </w:rPr>
        <w:t>femto</w:t>
      </w:r>
      <w:proofErr w:type="spellEnd"/>
      <w:r w:rsidRPr="008D2A17">
        <w:rPr>
          <w:rFonts w:ascii="inherit" w:hAnsi="inherit"/>
          <w:color w:val="000000"/>
          <w:lang w:val="en-GB"/>
        </w:rPr>
        <w:t xml:space="preserve"> base stations, power control should be applied to minimise interference to adjacent channels. The requirement on power control for </w:t>
      </w:r>
      <w:proofErr w:type="spellStart"/>
      <w:r w:rsidRPr="008D2A17">
        <w:rPr>
          <w:rFonts w:ascii="inherit" w:hAnsi="inherit"/>
          <w:color w:val="000000"/>
          <w:lang w:val="en-GB"/>
        </w:rPr>
        <w:t>femto</w:t>
      </w:r>
      <w:proofErr w:type="spellEnd"/>
      <w:r w:rsidRPr="008D2A17">
        <w:rPr>
          <w:rFonts w:ascii="inherit" w:hAnsi="inherit"/>
          <w:color w:val="000000"/>
          <w:lang w:val="en-GB"/>
        </w:rPr>
        <w:t xml:space="preserve"> base stations results from the need to reduce interference from equipment that may be deployed by consumers and may thus not be coordinated with surrounding networks.</w:t>
      </w:r>
    </w:p>
    <w:p w14:paraId="087ACD73" w14:textId="77777777" w:rsidR="00CC503E" w:rsidRPr="008D2A17" w:rsidRDefault="00CC503E" w:rsidP="0008102F">
      <w:pPr>
        <w:pStyle w:val="ti-tbl"/>
        <w:keepNext/>
        <w:keepLines/>
        <w:spacing w:before="120" w:beforeAutospacing="0" w:after="120" w:afterAutospacing="0"/>
        <w:jc w:val="center"/>
        <w:rPr>
          <w:rFonts w:ascii="inherit" w:hAnsi="inherit"/>
          <w:color w:val="000000"/>
          <w:lang w:val="en-GB"/>
        </w:rPr>
      </w:pPr>
      <w:r w:rsidRPr="008D2A17">
        <w:rPr>
          <w:rStyle w:val="italic"/>
          <w:rFonts w:ascii="inherit" w:hAnsi="inherit"/>
          <w:i/>
          <w:iCs/>
          <w:color w:val="000000"/>
          <w:lang w:val="en-GB"/>
        </w:rPr>
        <w:lastRenderedPageBreak/>
        <w:t>Table 3</w:t>
      </w:r>
    </w:p>
    <w:p w14:paraId="6A285991" w14:textId="60D8025E" w:rsidR="00CC503E" w:rsidRPr="00BE123F" w:rsidRDefault="00CC503E" w:rsidP="00BE123F">
      <w:pPr>
        <w:pStyle w:val="ti-tbl"/>
        <w:keepNext/>
        <w:keepLines/>
        <w:spacing w:before="120" w:beforeAutospacing="0" w:after="120" w:afterAutospacing="0"/>
        <w:jc w:val="center"/>
        <w:rPr>
          <w:rFonts w:ascii="inherit" w:hAnsi="inherit"/>
          <w:color w:val="000000"/>
          <w:lang w:val="en-GB"/>
        </w:rPr>
      </w:pPr>
      <w:r w:rsidRPr="008D2A17">
        <w:rPr>
          <w:rStyle w:val="bold"/>
          <w:rFonts w:ascii="inherit" w:hAnsi="inherit"/>
          <w:b/>
          <w:bCs/>
          <w:color w:val="000000"/>
          <w:lang w:val="en-GB"/>
        </w:rPr>
        <w:t>Baseline</w:t>
      </w:r>
      <w:r w:rsidRPr="00BE123F">
        <w:rPr>
          <w:rStyle w:val="bold"/>
          <w:rFonts w:ascii="inherit" w:hAnsi="inherit"/>
          <w:color w:val="000000"/>
          <w:lang w:val="en-US"/>
        </w:rPr>
        <w:t xml:space="preserve"> </w:t>
      </w:r>
      <w:r w:rsidRPr="00834DFD">
        <w:rPr>
          <w:rStyle w:val="bold"/>
          <w:rFonts w:ascii="inherit" w:hAnsi="inherit"/>
          <w:b/>
          <w:color w:val="000000"/>
          <w:lang w:val="en-US"/>
        </w:rPr>
        <w:t>power limits</w:t>
      </w:r>
      <w:r w:rsidRPr="00205579">
        <w:rPr>
          <w:rStyle w:val="bold"/>
          <w:rFonts w:ascii="inherit" w:hAnsi="inherit"/>
          <w:b/>
          <w:bCs/>
          <w:color w:val="000000"/>
          <w:lang w:val="en-GB"/>
        </w:rPr>
        <w:t xml:space="preserve"> for </w:t>
      </w:r>
      <w:proofErr w:type="spellStart"/>
      <w:r w:rsidRPr="00834DFD">
        <w:rPr>
          <w:rStyle w:val="bold"/>
          <w:rFonts w:ascii="inherit" w:hAnsi="inherit"/>
          <w:b/>
          <w:color w:val="000000"/>
          <w:lang w:val="en-US"/>
        </w:rPr>
        <w:t>synchronised</w:t>
      </w:r>
      <w:proofErr w:type="spellEnd"/>
      <w:r w:rsidRPr="00834DFD">
        <w:rPr>
          <w:rStyle w:val="bold"/>
          <w:rFonts w:ascii="inherit" w:hAnsi="inherit"/>
          <w:b/>
          <w:color w:val="000000"/>
          <w:lang w:val="en-US"/>
        </w:rPr>
        <w:t xml:space="preserve"> WBB ECS</w:t>
      </w:r>
      <w:bookmarkEnd w:id="2106"/>
      <w:r w:rsidRPr="00BE123F">
        <w:rPr>
          <w:rStyle w:val="bold"/>
          <w:rFonts w:ascii="inherit" w:hAnsi="inherit"/>
          <w:color w:val="000000"/>
          <w:lang w:val="en-US"/>
        </w:rPr>
        <w:t xml:space="preserve"> </w:t>
      </w:r>
      <w:r w:rsidRPr="008D2A17">
        <w:rPr>
          <w:rStyle w:val="bold"/>
          <w:rFonts w:ascii="inherit" w:hAnsi="inherit"/>
          <w:b/>
          <w:bCs/>
          <w:color w:val="000000"/>
          <w:lang w:val="en-GB"/>
        </w:rPr>
        <w:t>networks, for non-AAS and AAS base stations</w:t>
      </w:r>
    </w:p>
    <w:tbl>
      <w:tblPr>
        <w:tblW w:w="5000" w:type="pct"/>
        <w:tblCellSpacing w:w="0"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CellMar>
          <w:left w:w="0" w:type="dxa"/>
          <w:right w:w="0" w:type="dxa"/>
        </w:tblCellMar>
        <w:tblLook w:val="04A0" w:firstRow="1" w:lastRow="0" w:firstColumn="1" w:lastColumn="0" w:noHBand="0" w:noVBand="1"/>
      </w:tblPr>
      <w:tblGrid>
        <w:gridCol w:w="1662"/>
        <w:gridCol w:w="3313"/>
        <w:gridCol w:w="2410"/>
        <w:gridCol w:w="2284"/>
      </w:tblGrid>
      <w:tr w:rsidR="00CC503E" w:rsidRPr="008D2A17" w14:paraId="4036FB98" w14:textId="77777777" w:rsidTr="00A42AF6">
        <w:trPr>
          <w:tblCellSpacing w:w="0" w:type="dxa"/>
        </w:trPr>
        <w:tc>
          <w:tcPr>
            <w:tcW w:w="0" w:type="auto"/>
            <w:vAlign w:val="center"/>
            <w:hideMark/>
          </w:tcPr>
          <w:p w14:paraId="2900F0A2" w14:textId="7AA34806" w:rsidR="00CC503E" w:rsidRPr="008D2A17" w:rsidRDefault="00CC503E" w:rsidP="0008102F">
            <w:pPr>
              <w:pStyle w:val="tbl-hdr"/>
              <w:keepNext/>
              <w:keepLines/>
              <w:spacing w:before="60" w:beforeAutospacing="0" w:after="60" w:afterAutospacing="0"/>
              <w:ind w:right="195"/>
              <w:jc w:val="center"/>
              <w:rPr>
                <w:rFonts w:ascii="inherit" w:hAnsi="inherit"/>
                <w:b/>
                <w:bCs/>
                <w:sz w:val="22"/>
                <w:szCs w:val="22"/>
                <w:lang w:val="en-GB"/>
              </w:rPr>
            </w:pPr>
            <w:r w:rsidRPr="008D2A17">
              <w:rPr>
                <w:rFonts w:ascii="inherit" w:hAnsi="inherit"/>
                <w:b/>
                <w:bCs/>
                <w:sz w:val="22"/>
                <w:szCs w:val="22"/>
                <w:lang w:val="en-GB"/>
              </w:rPr>
              <w:t>BEM element</w:t>
            </w:r>
          </w:p>
        </w:tc>
        <w:tc>
          <w:tcPr>
            <w:tcW w:w="1713" w:type="pct"/>
            <w:vAlign w:val="center"/>
            <w:hideMark/>
          </w:tcPr>
          <w:p w14:paraId="241C5257" w14:textId="77777777" w:rsidR="00CC503E" w:rsidRPr="008D2A17" w:rsidRDefault="00CC503E" w:rsidP="0008102F">
            <w:pPr>
              <w:pStyle w:val="tbl-hdr"/>
              <w:keepNext/>
              <w:keepLines/>
              <w:spacing w:before="60" w:beforeAutospacing="0" w:after="60" w:afterAutospacing="0"/>
              <w:ind w:right="195"/>
              <w:jc w:val="center"/>
              <w:rPr>
                <w:rFonts w:ascii="inherit" w:hAnsi="inherit"/>
                <w:b/>
                <w:bCs/>
                <w:sz w:val="22"/>
                <w:szCs w:val="22"/>
                <w:lang w:val="en-GB"/>
              </w:rPr>
            </w:pPr>
            <w:r w:rsidRPr="008D2A17">
              <w:rPr>
                <w:rFonts w:ascii="inherit" w:hAnsi="inherit"/>
                <w:b/>
                <w:bCs/>
                <w:sz w:val="22"/>
                <w:szCs w:val="22"/>
                <w:lang w:val="en-GB"/>
              </w:rPr>
              <w:t>Frequency range</w:t>
            </w:r>
          </w:p>
        </w:tc>
        <w:tc>
          <w:tcPr>
            <w:tcW w:w="1246" w:type="pct"/>
            <w:vAlign w:val="center"/>
            <w:hideMark/>
          </w:tcPr>
          <w:p w14:paraId="6D8FA520" w14:textId="503F284F" w:rsidR="00CC503E" w:rsidRPr="00B96E08" w:rsidRDefault="00CC503E" w:rsidP="0008102F">
            <w:pPr>
              <w:pStyle w:val="tbl-hdr"/>
              <w:keepNext/>
              <w:keepLines/>
              <w:spacing w:before="60" w:beforeAutospacing="0" w:after="60" w:afterAutospacing="0"/>
              <w:ind w:right="195"/>
              <w:jc w:val="center"/>
              <w:rPr>
                <w:rFonts w:ascii="inherit" w:hAnsi="inherit"/>
                <w:b/>
                <w:bCs/>
                <w:sz w:val="22"/>
                <w:szCs w:val="22"/>
              </w:rPr>
            </w:pPr>
            <w:proofErr w:type="spellStart"/>
            <w:r w:rsidRPr="00B96E08">
              <w:rPr>
                <w:rFonts w:ascii="inherit" w:hAnsi="inherit"/>
                <w:b/>
                <w:bCs/>
                <w:sz w:val="22"/>
                <w:szCs w:val="22"/>
              </w:rPr>
              <w:t>Non-AAS</w:t>
            </w:r>
            <w:proofErr w:type="spellEnd"/>
            <w:r w:rsidRPr="00B96E08">
              <w:rPr>
                <w:rFonts w:ascii="inherit" w:hAnsi="inherit"/>
                <w:b/>
                <w:bCs/>
                <w:sz w:val="22"/>
                <w:szCs w:val="22"/>
              </w:rPr>
              <w:t xml:space="preserve"> </w:t>
            </w:r>
            <w:r w:rsidR="007F1AB6" w:rsidRPr="00B96E08">
              <w:rPr>
                <w:rFonts w:ascii="inherit" w:hAnsi="inherit"/>
                <w:b/>
                <w:bCs/>
                <w:sz w:val="22"/>
                <w:szCs w:val="22"/>
              </w:rPr>
              <w:t>e.i.r.p.</w:t>
            </w:r>
            <w:r w:rsidR="0008102F" w:rsidRPr="00B96E08">
              <w:rPr>
                <w:rFonts w:ascii="inherit" w:hAnsi="inherit"/>
                <w:b/>
                <w:bCs/>
                <w:sz w:val="22"/>
                <w:szCs w:val="22"/>
              </w:rPr>
              <w:t xml:space="preserve"> </w:t>
            </w:r>
            <w:proofErr w:type="spellStart"/>
            <w:r w:rsidR="0008102F" w:rsidRPr="00B96E08">
              <w:rPr>
                <w:rFonts w:ascii="inherit" w:hAnsi="inherit"/>
                <w:b/>
                <w:bCs/>
                <w:sz w:val="22"/>
                <w:szCs w:val="22"/>
              </w:rPr>
              <w:t>limit</w:t>
            </w:r>
            <w:proofErr w:type="spellEnd"/>
          </w:p>
        </w:tc>
        <w:tc>
          <w:tcPr>
            <w:tcW w:w="1181" w:type="pct"/>
            <w:vAlign w:val="center"/>
          </w:tcPr>
          <w:p w14:paraId="3ABEAE71" w14:textId="15D98902" w:rsidR="00CC503E" w:rsidRPr="0008102F" w:rsidRDefault="00CC503E" w:rsidP="0008102F">
            <w:pPr>
              <w:pStyle w:val="tbl-hdr"/>
              <w:keepNext/>
              <w:keepLines/>
              <w:spacing w:before="60" w:beforeAutospacing="0" w:after="60" w:afterAutospacing="0"/>
              <w:ind w:right="195"/>
              <w:jc w:val="center"/>
              <w:rPr>
                <w:rFonts w:ascii="inherit" w:hAnsi="inherit"/>
                <w:b/>
                <w:bCs/>
                <w:sz w:val="22"/>
                <w:szCs w:val="22"/>
                <w:lang w:val="en-GB"/>
              </w:rPr>
            </w:pPr>
            <w:r w:rsidRPr="0008102F">
              <w:rPr>
                <w:rFonts w:ascii="inherit" w:hAnsi="inherit"/>
                <w:b/>
                <w:bCs/>
                <w:sz w:val="22"/>
                <w:szCs w:val="22"/>
                <w:lang w:val="en-GB"/>
              </w:rPr>
              <w:t xml:space="preserve">AAS </w:t>
            </w:r>
            <w:r w:rsidR="007F1AB6" w:rsidRPr="0008102F">
              <w:rPr>
                <w:rFonts w:ascii="inherit" w:hAnsi="inherit"/>
                <w:b/>
                <w:bCs/>
                <w:sz w:val="22"/>
                <w:szCs w:val="22"/>
                <w:lang w:val="en-GB"/>
              </w:rPr>
              <w:t>TRP</w:t>
            </w:r>
            <w:r w:rsidR="0008102F">
              <w:rPr>
                <w:rFonts w:ascii="inherit" w:hAnsi="inherit"/>
                <w:b/>
                <w:bCs/>
                <w:sz w:val="22"/>
                <w:szCs w:val="22"/>
                <w:lang w:val="en-GB"/>
              </w:rPr>
              <w:t xml:space="preserve"> limit</w:t>
            </w:r>
          </w:p>
        </w:tc>
      </w:tr>
      <w:tr w:rsidR="00CC503E" w:rsidRPr="008D2A17" w14:paraId="2669B97F" w14:textId="77777777" w:rsidTr="00A42AF6">
        <w:trPr>
          <w:tblCellSpacing w:w="0" w:type="dxa"/>
        </w:trPr>
        <w:tc>
          <w:tcPr>
            <w:tcW w:w="0" w:type="auto"/>
            <w:vAlign w:val="center"/>
            <w:hideMark/>
          </w:tcPr>
          <w:p w14:paraId="185EC831" w14:textId="77777777" w:rsidR="00CC503E" w:rsidRPr="008D2A17" w:rsidRDefault="00CC503E" w:rsidP="0008102F">
            <w:pPr>
              <w:pStyle w:val="tbl-txt"/>
              <w:keepNext/>
              <w:keepLines/>
              <w:spacing w:before="60" w:beforeAutospacing="0" w:after="60" w:afterAutospacing="0"/>
              <w:jc w:val="center"/>
              <w:rPr>
                <w:rFonts w:ascii="inherit" w:hAnsi="inherit"/>
                <w:sz w:val="22"/>
                <w:szCs w:val="22"/>
                <w:lang w:val="en-GB"/>
              </w:rPr>
            </w:pPr>
            <w:r w:rsidRPr="008D2A17">
              <w:rPr>
                <w:rFonts w:ascii="inherit" w:hAnsi="inherit"/>
                <w:sz w:val="22"/>
                <w:szCs w:val="22"/>
                <w:lang w:val="en-GB"/>
              </w:rPr>
              <w:t>Baseline</w:t>
            </w:r>
          </w:p>
        </w:tc>
        <w:tc>
          <w:tcPr>
            <w:tcW w:w="1713" w:type="pct"/>
            <w:vAlign w:val="center"/>
            <w:hideMark/>
          </w:tcPr>
          <w:p w14:paraId="0EC6D608" w14:textId="42671D27" w:rsidR="00C64777" w:rsidRPr="008D2A17" w:rsidRDefault="00CC503E" w:rsidP="0008102F">
            <w:pPr>
              <w:pStyle w:val="tbl-txt"/>
              <w:keepNext/>
              <w:keepLines/>
              <w:spacing w:before="60" w:after="60"/>
              <w:jc w:val="center"/>
              <w:rPr>
                <w:rFonts w:ascii="inherit" w:hAnsi="inherit"/>
                <w:sz w:val="22"/>
                <w:szCs w:val="22"/>
                <w:lang w:val="en-GB"/>
              </w:rPr>
            </w:pPr>
            <w:r w:rsidRPr="008D2A17">
              <w:rPr>
                <w:rFonts w:ascii="inherit" w:hAnsi="inherit"/>
                <w:sz w:val="22"/>
                <w:szCs w:val="22"/>
                <w:lang w:val="en-GB"/>
              </w:rPr>
              <w:t>Below -10 MHz offset from lower block edge.</w:t>
            </w:r>
          </w:p>
          <w:p w14:paraId="7C670D0C" w14:textId="5136201D" w:rsidR="00C64777" w:rsidRPr="008D2A17" w:rsidRDefault="00CC503E" w:rsidP="0008102F">
            <w:pPr>
              <w:pStyle w:val="tbl-txt"/>
              <w:keepNext/>
              <w:keepLines/>
              <w:spacing w:before="60" w:after="60"/>
              <w:jc w:val="center"/>
              <w:rPr>
                <w:rFonts w:ascii="inherit" w:hAnsi="inherit"/>
                <w:sz w:val="22"/>
                <w:szCs w:val="22"/>
                <w:lang w:val="en-GB"/>
              </w:rPr>
            </w:pPr>
            <w:r w:rsidRPr="008D2A17">
              <w:rPr>
                <w:rFonts w:ascii="inherit" w:hAnsi="inherit"/>
                <w:sz w:val="22"/>
                <w:szCs w:val="22"/>
                <w:lang w:val="en-GB"/>
              </w:rPr>
              <w:t>Above 10 MHz offset from upper block edge.</w:t>
            </w:r>
          </w:p>
          <w:p w14:paraId="38A31E9A" w14:textId="77777777" w:rsidR="00CC503E" w:rsidRPr="008D2A17" w:rsidRDefault="00CC503E" w:rsidP="0008102F">
            <w:pPr>
              <w:pStyle w:val="tbl-txt"/>
              <w:keepNext/>
              <w:keepLines/>
              <w:spacing w:before="60" w:beforeAutospacing="0" w:after="60" w:afterAutospacing="0"/>
              <w:jc w:val="center"/>
              <w:rPr>
                <w:rFonts w:ascii="inherit" w:hAnsi="inherit"/>
                <w:sz w:val="22"/>
                <w:szCs w:val="22"/>
                <w:lang w:val="en-GB"/>
              </w:rPr>
            </w:pPr>
            <w:r w:rsidRPr="008D2A17">
              <w:rPr>
                <w:rFonts w:ascii="inherit" w:hAnsi="inherit"/>
                <w:sz w:val="22"/>
                <w:szCs w:val="22"/>
                <w:lang w:val="en-GB"/>
              </w:rPr>
              <w:t>Within 3400 - 3800 MHz.</w:t>
            </w:r>
          </w:p>
        </w:tc>
        <w:tc>
          <w:tcPr>
            <w:tcW w:w="1246" w:type="pct"/>
            <w:vAlign w:val="center"/>
            <w:hideMark/>
          </w:tcPr>
          <w:p w14:paraId="64D9DE33" w14:textId="22F04F91" w:rsidR="00CC503E" w:rsidRPr="008D2A17" w:rsidRDefault="00CC503E" w:rsidP="0008102F">
            <w:pPr>
              <w:pStyle w:val="tbl-txt"/>
              <w:keepNext/>
              <w:keepLines/>
              <w:spacing w:before="60" w:beforeAutospacing="0" w:after="60" w:afterAutospacing="0"/>
              <w:jc w:val="center"/>
              <w:rPr>
                <w:rFonts w:ascii="inherit" w:hAnsi="inherit"/>
                <w:sz w:val="22"/>
                <w:szCs w:val="22"/>
                <w:lang w:val="en-GB"/>
              </w:rPr>
            </w:pPr>
            <w:r w:rsidRPr="008D2A17">
              <w:rPr>
                <w:rFonts w:ascii="inherit" w:hAnsi="inherit"/>
                <w:sz w:val="22"/>
                <w:szCs w:val="22"/>
                <w:lang w:val="en-GB"/>
              </w:rPr>
              <w:t>Min(P</w:t>
            </w:r>
            <w:r w:rsidRPr="008D2A17">
              <w:rPr>
                <w:rStyle w:val="sub"/>
                <w:rFonts w:ascii="inherit" w:hAnsi="inherit"/>
                <w:sz w:val="15"/>
                <w:szCs w:val="15"/>
                <w:vertAlign w:val="subscript"/>
                <w:lang w:val="en-GB"/>
              </w:rPr>
              <w:t>Max</w:t>
            </w:r>
            <w:r w:rsidR="00424B26">
              <w:rPr>
                <w:sz w:val="22"/>
                <w:szCs w:val="22"/>
                <w:lang w:val="en-GB"/>
              </w:rPr>
              <w:t>−</w:t>
            </w:r>
            <w:r w:rsidRPr="008D2A17">
              <w:rPr>
                <w:rFonts w:ascii="inherit" w:hAnsi="inherit"/>
                <w:sz w:val="22"/>
                <w:szCs w:val="22"/>
                <w:lang w:val="en-GB"/>
              </w:rPr>
              <w:t>43,</w:t>
            </w:r>
            <w:r w:rsidR="00DB110F">
              <w:rPr>
                <w:rFonts w:ascii="inherit" w:hAnsi="inherit"/>
                <w:sz w:val="22"/>
                <w:szCs w:val="22"/>
                <w:lang w:val="en-GB"/>
              </w:rPr>
              <w:t xml:space="preserve"> </w:t>
            </w:r>
            <w:r w:rsidRPr="008D2A17">
              <w:rPr>
                <w:rFonts w:ascii="inherit" w:hAnsi="inherit"/>
                <w:sz w:val="22"/>
                <w:szCs w:val="22"/>
                <w:lang w:val="en-GB"/>
              </w:rPr>
              <w:t xml:space="preserve">13) </w:t>
            </w:r>
            <w:r w:rsidR="00424B26">
              <w:rPr>
                <w:rFonts w:ascii="inherit" w:hAnsi="inherit"/>
                <w:sz w:val="22"/>
                <w:szCs w:val="22"/>
                <w:lang w:val="en-GB"/>
              </w:rPr>
              <w:br/>
            </w:r>
            <w:r w:rsidR="00EA1D94" w:rsidRPr="008D2A17">
              <w:rPr>
                <w:lang w:val="en-GB"/>
              </w:rPr>
              <w:t>dBm/(5 MHz)</w:t>
            </w:r>
            <w:r w:rsidRPr="008D2A17">
              <w:rPr>
                <w:lang w:val="en-GB"/>
              </w:rPr>
              <w:t xml:space="preserve"> per antenna (1)</w:t>
            </w:r>
          </w:p>
        </w:tc>
        <w:tc>
          <w:tcPr>
            <w:tcW w:w="1181" w:type="pct"/>
            <w:vAlign w:val="center"/>
          </w:tcPr>
          <w:p w14:paraId="152E25B8" w14:textId="0CE2CEE3" w:rsidR="00CC503E" w:rsidRPr="008D2A17" w:rsidRDefault="00CC503E" w:rsidP="0008102F">
            <w:pPr>
              <w:pStyle w:val="tbl-txt"/>
              <w:keepNext/>
              <w:keepLines/>
              <w:spacing w:before="60" w:beforeAutospacing="0" w:after="60" w:afterAutospacing="0"/>
              <w:jc w:val="center"/>
              <w:rPr>
                <w:rFonts w:ascii="inherit" w:hAnsi="inherit"/>
                <w:sz w:val="22"/>
                <w:szCs w:val="22"/>
                <w:lang w:val="en-GB"/>
              </w:rPr>
            </w:pPr>
            <w:r w:rsidRPr="008D2A17">
              <w:rPr>
                <w:lang w:val="en-GB"/>
              </w:rPr>
              <w:t>Min(</w:t>
            </w:r>
            <w:r w:rsidRPr="008D2A17">
              <w:rPr>
                <w:rFonts w:ascii="inherit" w:hAnsi="inherit"/>
                <w:sz w:val="22"/>
                <w:szCs w:val="22"/>
                <w:lang w:val="en-GB"/>
              </w:rPr>
              <w:t>P</w:t>
            </w:r>
            <w:r w:rsidRPr="008D2A17">
              <w:rPr>
                <w:rStyle w:val="sub"/>
                <w:rFonts w:ascii="inherit" w:hAnsi="inherit"/>
                <w:sz w:val="15"/>
                <w:szCs w:val="15"/>
                <w:vertAlign w:val="subscript"/>
                <w:lang w:val="en-GB"/>
              </w:rPr>
              <w:t>Max</w:t>
            </w:r>
            <w:r w:rsidRPr="008D2A17">
              <w:rPr>
                <w:lang w:val="en-GB"/>
              </w:rPr>
              <w:t>'</w:t>
            </w:r>
            <w:r w:rsidR="00424B26">
              <w:rPr>
                <w:lang w:val="en-GB"/>
              </w:rPr>
              <w:t>−</w:t>
            </w:r>
            <w:r w:rsidRPr="008D2A17">
              <w:rPr>
                <w:lang w:val="en-GB"/>
              </w:rPr>
              <w:t xml:space="preserve">43, 1) </w:t>
            </w:r>
            <w:r w:rsidR="00EA1D94" w:rsidRPr="008D2A17">
              <w:rPr>
                <w:lang w:val="en-GB"/>
              </w:rPr>
              <w:t>dBm/(5 MHz)</w:t>
            </w:r>
            <w:r w:rsidRPr="008D2A17">
              <w:rPr>
                <w:lang w:val="en-GB"/>
              </w:rPr>
              <w:t xml:space="preserve"> TRP per cell (2) (3)</w:t>
            </w:r>
          </w:p>
        </w:tc>
      </w:tr>
    </w:tbl>
    <w:p w14:paraId="40FDF2B6" w14:textId="77777777" w:rsidR="00CC503E" w:rsidRPr="008D2A17" w:rsidRDefault="00CC503E" w:rsidP="0008102F">
      <w:pPr>
        <w:pStyle w:val="ti-annotation"/>
        <w:keepNext/>
        <w:keepLines/>
        <w:numPr>
          <w:ilvl w:val="3"/>
          <w:numId w:val="10"/>
        </w:numPr>
        <w:spacing w:before="120" w:beforeAutospacing="0" w:after="0" w:afterAutospacing="0"/>
        <w:rPr>
          <w:sz w:val="16"/>
          <w:lang w:val="en-GB"/>
        </w:rPr>
      </w:pPr>
      <w:proofErr w:type="spellStart"/>
      <w:r w:rsidRPr="008D2A17">
        <w:rPr>
          <w:sz w:val="16"/>
          <w:lang w:val="en-GB"/>
        </w:rPr>
        <w:t>PMax</w:t>
      </w:r>
      <w:proofErr w:type="spellEnd"/>
      <w:r w:rsidRPr="008D2A17">
        <w:rPr>
          <w:sz w:val="16"/>
          <w:lang w:val="en-GB"/>
        </w:rPr>
        <w:t xml:space="preserve"> is the maximum mean carrier power in dBm for the base station measured as e.i.r.p. per carrier per antenna</w:t>
      </w:r>
    </w:p>
    <w:p w14:paraId="69550515" w14:textId="77777777" w:rsidR="00CC503E" w:rsidRPr="008D2A17" w:rsidRDefault="00CC503E" w:rsidP="0008102F">
      <w:pPr>
        <w:pStyle w:val="ti-annotation"/>
        <w:keepNext/>
        <w:keepLines/>
        <w:numPr>
          <w:ilvl w:val="3"/>
          <w:numId w:val="10"/>
        </w:numPr>
        <w:spacing w:before="120" w:beforeAutospacing="0" w:after="0" w:afterAutospacing="0"/>
        <w:rPr>
          <w:sz w:val="16"/>
          <w:lang w:val="en-GB"/>
        </w:rPr>
      </w:pPr>
      <w:proofErr w:type="spellStart"/>
      <w:r w:rsidRPr="008D2A17">
        <w:rPr>
          <w:sz w:val="16"/>
          <w:lang w:val="en-GB"/>
        </w:rPr>
        <w:t>PMax</w:t>
      </w:r>
      <w:proofErr w:type="spellEnd"/>
      <w:r w:rsidRPr="008D2A17">
        <w:rPr>
          <w:sz w:val="16"/>
          <w:lang w:val="en-GB"/>
        </w:rPr>
        <w:t>' is the maximum mean carrier power in dBm for the base station measured as TRP per carrier in a given cell</w:t>
      </w:r>
    </w:p>
    <w:p w14:paraId="7DB0F614" w14:textId="231FEBE4" w:rsidR="00CC503E" w:rsidRPr="008D2A17" w:rsidRDefault="00CC503E" w:rsidP="0008102F">
      <w:pPr>
        <w:pStyle w:val="ti-annotation"/>
        <w:keepNext/>
        <w:keepLines/>
        <w:numPr>
          <w:ilvl w:val="3"/>
          <w:numId w:val="10"/>
        </w:numPr>
        <w:spacing w:before="120" w:beforeAutospacing="0" w:after="0" w:afterAutospacing="0"/>
        <w:rPr>
          <w:sz w:val="16"/>
          <w:lang w:val="en-GB"/>
        </w:rPr>
      </w:pPr>
      <w:r w:rsidRPr="008D2A17">
        <w:rPr>
          <w:sz w:val="16"/>
          <w:lang w:val="en-GB"/>
        </w:rPr>
        <w:t xml:space="preserve">In a multi-sector base station, the radiated power limit </w:t>
      </w:r>
      <w:r w:rsidR="00A47409">
        <w:rPr>
          <w:sz w:val="16"/>
          <w:lang w:val="en-GB"/>
        </w:rPr>
        <w:t>applies</w:t>
      </w:r>
      <w:r w:rsidRPr="008D2A17">
        <w:rPr>
          <w:sz w:val="16"/>
          <w:lang w:val="en-GB"/>
        </w:rPr>
        <w:t xml:space="preserve"> to each one of the individual sectors.</w:t>
      </w:r>
    </w:p>
    <w:p w14:paraId="08DD5C59" w14:textId="77777777" w:rsidR="00CC503E" w:rsidRPr="008D2A17" w:rsidRDefault="00CC503E" w:rsidP="00CC503E">
      <w:pPr>
        <w:pStyle w:val="ti-annotation"/>
        <w:spacing w:before="120" w:beforeAutospacing="0" w:after="0" w:afterAutospacing="0"/>
        <w:rPr>
          <w:rFonts w:ascii="inherit" w:hAnsi="inherit"/>
          <w:i/>
          <w:iCs/>
          <w:color w:val="000000"/>
          <w:lang w:val="en-GB"/>
        </w:rPr>
      </w:pPr>
      <w:r w:rsidRPr="008D2A17">
        <w:rPr>
          <w:rStyle w:val="italic"/>
          <w:rFonts w:ascii="inherit" w:hAnsi="inherit"/>
          <w:i/>
          <w:iCs/>
          <w:color w:val="000000"/>
          <w:lang w:val="en-GB"/>
        </w:rPr>
        <w:t>Explanatory note to Table 3</w:t>
      </w:r>
    </w:p>
    <w:p w14:paraId="2F2C7835" w14:textId="65DF5614" w:rsidR="00CC503E" w:rsidRPr="008D2A17" w:rsidRDefault="00CC503E" w:rsidP="00CC503E">
      <w:pPr>
        <w:pStyle w:val="Normal1"/>
        <w:spacing w:before="120" w:beforeAutospacing="0" w:after="0" w:afterAutospacing="0"/>
        <w:jc w:val="both"/>
        <w:rPr>
          <w:rFonts w:ascii="inherit" w:hAnsi="inherit"/>
          <w:color w:val="000000"/>
          <w:lang w:val="en-GB"/>
        </w:rPr>
      </w:pPr>
      <w:r w:rsidRPr="008D2A17">
        <w:rPr>
          <w:rFonts w:ascii="inherit" w:hAnsi="inherit"/>
          <w:color w:val="000000"/>
          <w:lang w:val="en-GB"/>
        </w:rPr>
        <w:t>The baseline for synchronised TDD is expressed by combining attenuation relative to the maximum carrier power with a fixed upper limit. The stricter of the two requirements applies. The fixed level provides an upper bound on the interference from a base station. When two TDD blocks are synchroni</w:t>
      </w:r>
      <w:r w:rsidR="0008102F">
        <w:rPr>
          <w:rFonts w:ascii="inherit" w:hAnsi="inherit"/>
          <w:color w:val="000000"/>
          <w:lang w:val="en-GB"/>
        </w:rPr>
        <w:t>s</w:t>
      </w:r>
      <w:r w:rsidRPr="008D2A17">
        <w:rPr>
          <w:rFonts w:ascii="inherit" w:hAnsi="inherit"/>
          <w:color w:val="000000"/>
          <w:lang w:val="en-GB"/>
        </w:rPr>
        <w:t xml:space="preserve">ed, there will be no interference between base stations. </w:t>
      </w:r>
    </w:p>
    <w:p w14:paraId="6BF51BE6" w14:textId="77777777" w:rsidR="00CC503E" w:rsidRPr="008D2A17" w:rsidRDefault="00CC503E" w:rsidP="00CC503E">
      <w:pPr>
        <w:pStyle w:val="ti-tbl"/>
        <w:spacing w:before="120" w:beforeAutospacing="0" w:after="120" w:afterAutospacing="0"/>
        <w:jc w:val="center"/>
        <w:rPr>
          <w:rFonts w:ascii="inherit" w:hAnsi="inherit"/>
          <w:color w:val="000000"/>
          <w:lang w:val="en-GB"/>
        </w:rPr>
      </w:pPr>
      <w:r w:rsidRPr="008D2A17">
        <w:rPr>
          <w:rStyle w:val="italic"/>
          <w:rFonts w:ascii="inherit" w:hAnsi="inherit"/>
          <w:i/>
          <w:iCs/>
          <w:color w:val="000000"/>
          <w:lang w:val="en-GB"/>
        </w:rPr>
        <w:t>Table 4</w:t>
      </w:r>
    </w:p>
    <w:p w14:paraId="353C4722" w14:textId="59DFBE97" w:rsidR="00CC503E" w:rsidRPr="008D2A17" w:rsidRDefault="00CC503E" w:rsidP="00CC503E">
      <w:pPr>
        <w:pStyle w:val="ti-tbl"/>
        <w:spacing w:before="120" w:beforeAutospacing="0" w:after="120" w:afterAutospacing="0"/>
        <w:jc w:val="center"/>
        <w:rPr>
          <w:rFonts w:ascii="inherit" w:hAnsi="inherit"/>
          <w:color w:val="000000"/>
          <w:lang w:val="en-GB"/>
        </w:rPr>
      </w:pPr>
      <w:r w:rsidRPr="008D2A17">
        <w:rPr>
          <w:rStyle w:val="bold"/>
          <w:rFonts w:ascii="inherit" w:hAnsi="inherit"/>
          <w:b/>
          <w:bCs/>
          <w:color w:val="000000"/>
          <w:lang w:val="en-GB"/>
        </w:rPr>
        <w:t>Transitional region power limits for synchronised WBB ECS networks, for non-AAS and AAS base stations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91"/>
        <w:gridCol w:w="2410"/>
        <w:gridCol w:w="2835"/>
        <w:gridCol w:w="3133"/>
      </w:tblGrid>
      <w:tr w:rsidR="00CC503E" w:rsidRPr="008D2A17" w14:paraId="2DFB3D24" w14:textId="77777777" w:rsidTr="0008102F">
        <w:trPr>
          <w:tblCellSpacing w:w="0" w:type="dxa"/>
        </w:trPr>
        <w:tc>
          <w:tcPr>
            <w:tcW w:w="668" w:type="pct"/>
            <w:tcBorders>
              <w:top w:val="single" w:sz="6" w:space="0" w:color="000000"/>
              <w:left w:val="single" w:sz="6" w:space="0" w:color="000000"/>
              <w:bottom w:val="single" w:sz="6" w:space="0" w:color="000000"/>
              <w:right w:val="single" w:sz="6" w:space="0" w:color="000000"/>
            </w:tcBorders>
            <w:hideMark/>
          </w:tcPr>
          <w:p w14:paraId="6481B180" w14:textId="77777777" w:rsidR="00CC503E" w:rsidRPr="008D2A17" w:rsidRDefault="00CC503E" w:rsidP="00A42AF6">
            <w:pPr>
              <w:pStyle w:val="tbl-hdr"/>
              <w:spacing w:before="60" w:beforeAutospacing="0" w:after="60" w:afterAutospacing="0"/>
              <w:ind w:right="195"/>
              <w:jc w:val="center"/>
              <w:rPr>
                <w:rFonts w:ascii="inherit" w:hAnsi="inherit"/>
                <w:b/>
                <w:bCs/>
                <w:sz w:val="22"/>
                <w:szCs w:val="22"/>
                <w:lang w:val="en-GB"/>
              </w:rPr>
            </w:pPr>
            <w:r w:rsidRPr="008D2A17">
              <w:rPr>
                <w:rFonts w:ascii="inherit" w:hAnsi="inherit"/>
                <w:b/>
                <w:bCs/>
                <w:sz w:val="22"/>
                <w:szCs w:val="22"/>
                <w:lang w:val="en-GB"/>
              </w:rPr>
              <w:t>BEM element</w:t>
            </w:r>
          </w:p>
        </w:tc>
        <w:tc>
          <w:tcPr>
            <w:tcW w:w="1246" w:type="pct"/>
            <w:tcBorders>
              <w:top w:val="single" w:sz="6" w:space="0" w:color="000000"/>
              <w:left w:val="single" w:sz="6" w:space="0" w:color="000000"/>
              <w:bottom w:val="single" w:sz="6" w:space="0" w:color="000000"/>
              <w:right w:val="single" w:sz="6" w:space="0" w:color="000000"/>
            </w:tcBorders>
            <w:hideMark/>
          </w:tcPr>
          <w:p w14:paraId="5E8366A5" w14:textId="77777777" w:rsidR="00CC503E" w:rsidRPr="008D2A17" w:rsidRDefault="00CC503E" w:rsidP="00A42AF6">
            <w:pPr>
              <w:pStyle w:val="tbl-hdr"/>
              <w:spacing w:before="60" w:beforeAutospacing="0" w:after="60" w:afterAutospacing="0"/>
              <w:ind w:right="195"/>
              <w:jc w:val="center"/>
              <w:rPr>
                <w:rFonts w:ascii="inherit" w:hAnsi="inherit"/>
                <w:b/>
                <w:bCs/>
                <w:sz w:val="22"/>
                <w:szCs w:val="22"/>
                <w:lang w:val="en-GB"/>
              </w:rPr>
            </w:pPr>
            <w:r w:rsidRPr="008D2A17">
              <w:rPr>
                <w:rFonts w:ascii="inherit" w:hAnsi="inherit"/>
                <w:b/>
                <w:bCs/>
                <w:sz w:val="22"/>
                <w:szCs w:val="22"/>
                <w:lang w:val="en-GB"/>
              </w:rPr>
              <w:t>Frequency range</w:t>
            </w:r>
          </w:p>
        </w:tc>
        <w:tc>
          <w:tcPr>
            <w:tcW w:w="1466" w:type="pct"/>
            <w:tcBorders>
              <w:top w:val="single" w:sz="6" w:space="0" w:color="000000"/>
              <w:left w:val="single" w:sz="6" w:space="0" w:color="000000"/>
              <w:bottom w:val="single" w:sz="6" w:space="0" w:color="000000"/>
              <w:right w:val="single" w:sz="6" w:space="0" w:color="000000"/>
            </w:tcBorders>
            <w:hideMark/>
          </w:tcPr>
          <w:p w14:paraId="7205BE66" w14:textId="57547B54" w:rsidR="00CC503E" w:rsidRPr="00B96E08" w:rsidRDefault="00CC503E" w:rsidP="00A42AF6">
            <w:pPr>
              <w:pStyle w:val="tbl-hdr"/>
              <w:spacing w:before="60" w:beforeAutospacing="0" w:after="60" w:afterAutospacing="0"/>
              <w:ind w:right="195"/>
              <w:jc w:val="center"/>
              <w:rPr>
                <w:rFonts w:ascii="inherit" w:hAnsi="inherit"/>
                <w:b/>
                <w:bCs/>
                <w:sz w:val="22"/>
                <w:szCs w:val="22"/>
              </w:rPr>
            </w:pPr>
            <w:proofErr w:type="spellStart"/>
            <w:r w:rsidRPr="00B96E08">
              <w:rPr>
                <w:rFonts w:ascii="inherit" w:hAnsi="inherit"/>
                <w:b/>
                <w:bCs/>
                <w:sz w:val="22"/>
                <w:szCs w:val="22"/>
              </w:rPr>
              <w:t>Non-AAS</w:t>
            </w:r>
            <w:proofErr w:type="spellEnd"/>
            <w:r w:rsidRPr="00B96E08">
              <w:rPr>
                <w:rFonts w:ascii="inherit" w:hAnsi="inherit"/>
                <w:b/>
                <w:bCs/>
                <w:sz w:val="22"/>
                <w:szCs w:val="22"/>
              </w:rPr>
              <w:t xml:space="preserve"> </w:t>
            </w:r>
            <w:r w:rsidR="007F1AB6" w:rsidRPr="00B96E08">
              <w:rPr>
                <w:b/>
              </w:rPr>
              <w:t>e.i.r.p.</w:t>
            </w:r>
            <w:r w:rsidR="0008102F" w:rsidRPr="00B96E08">
              <w:rPr>
                <w:b/>
              </w:rPr>
              <w:t xml:space="preserve"> </w:t>
            </w:r>
            <w:proofErr w:type="spellStart"/>
            <w:r w:rsidR="0008102F" w:rsidRPr="00B96E08">
              <w:rPr>
                <w:b/>
              </w:rPr>
              <w:t>limit</w:t>
            </w:r>
            <w:proofErr w:type="spellEnd"/>
          </w:p>
        </w:tc>
        <w:tc>
          <w:tcPr>
            <w:tcW w:w="1620" w:type="pct"/>
            <w:tcBorders>
              <w:top w:val="single" w:sz="6" w:space="0" w:color="000000"/>
              <w:left w:val="single" w:sz="6" w:space="0" w:color="000000"/>
              <w:bottom w:val="single" w:sz="6" w:space="0" w:color="000000"/>
              <w:right w:val="single" w:sz="6" w:space="0" w:color="000000"/>
            </w:tcBorders>
          </w:tcPr>
          <w:p w14:paraId="616655ED" w14:textId="6E32E234" w:rsidR="00CC503E" w:rsidRPr="0008102F" w:rsidRDefault="00CC503E" w:rsidP="00A42AF6">
            <w:pPr>
              <w:pStyle w:val="tbl-hdr"/>
              <w:spacing w:before="60" w:beforeAutospacing="0" w:after="60" w:afterAutospacing="0"/>
              <w:ind w:right="195"/>
              <w:jc w:val="center"/>
              <w:rPr>
                <w:rFonts w:ascii="inherit" w:hAnsi="inherit"/>
                <w:b/>
                <w:bCs/>
                <w:sz w:val="22"/>
                <w:szCs w:val="22"/>
                <w:lang w:val="en-GB"/>
              </w:rPr>
            </w:pPr>
            <w:r w:rsidRPr="0008102F">
              <w:rPr>
                <w:b/>
                <w:lang w:val="en-GB"/>
              </w:rPr>
              <w:t xml:space="preserve">AAS </w:t>
            </w:r>
            <w:r w:rsidR="007F1AB6" w:rsidRPr="0008102F">
              <w:rPr>
                <w:b/>
                <w:lang w:val="en-GB"/>
              </w:rPr>
              <w:t>TRP</w:t>
            </w:r>
            <w:r w:rsidR="0008102F">
              <w:rPr>
                <w:b/>
                <w:lang w:val="en-GB"/>
              </w:rPr>
              <w:t xml:space="preserve"> limit</w:t>
            </w:r>
          </w:p>
        </w:tc>
      </w:tr>
      <w:tr w:rsidR="00CC503E" w:rsidRPr="008D2A17" w14:paraId="0685F0AF" w14:textId="77777777" w:rsidTr="0008102F">
        <w:trPr>
          <w:tblCellSpacing w:w="0" w:type="dxa"/>
        </w:trPr>
        <w:tc>
          <w:tcPr>
            <w:tcW w:w="668" w:type="pct"/>
            <w:tcBorders>
              <w:top w:val="single" w:sz="6" w:space="0" w:color="000000"/>
              <w:left w:val="single" w:sz="6" w:space="0" w:color="000000"/>
              <w:bottom w:val="single" w:sz="6" w:space="0" w:color="000000"/>
              <w:right w:val="single" w:sz="6" w:space="0" w:color="000000"/>
            </w:tcBorders>
            <w:hideMark/>
          </w:tcPr>
          <w:p w14:paraId="1A6551F7" w14:textId="77777777" w:rsidR="00CC503E" w:rsidRPr="008D2A17" w:rsidRDefault="00CC503E" w:rsidP="00A42AF6">
            <w:pPr>
              <w:pStyle w:val="tbl-txt"/>
              <w:spacing w:before="60" w:beforeAutospacing="0" w:after="60" w:afterAutospacing="0"/>
              <w:rPr>
                <w:rFonts w:ascii="inherit" w:hAnsi="inherit"/>
                <w:sz w:val="22"/>
                <w:szCs w:val="22"/>
                <w:lang w:val="en-GB"/>
              </w:rPr>
            </w:pPr>
            <w:r w:rsidRPr="008D2A17">
              <w:rPr>
                <w:rFonts w:ascii="inherit" w:hAnsi="inherit"/>
                <w:sz w:val="22"/>
                <w:szCs w:val="22"/>
                <w:lang w:val="en-GB"/>
              </w:rPr>
              <w:t>Transitional region</w:t>
            </w:r>
          </w:p>
        </w:tc>
        <w:tc>
          <w:tcPr>
            <w:tcW w:w="1246" w:type="pct"/>
            <w:tcBorders>
              <w:top w:val="single" w:sz="6" w:space="0" w:color="000000"/>
              <w:left w:val="single" w:sz="6" w:space="0" w:color="000000"/>
              <w:bottom w:val="single" w:sz="6" w:space="0" w:color="000000"/>
              <w:right w:val="single" w:sz="6" w:space="0" w:color="000000"/>
            </w:tcBorders>
            <w:hideMark/>
          </w:tcPr>
          <w:p w14:paraId="3C0639F0" w14:textId="77777777" w:rsidR="00CC503E" w:rsidRPr="008D2A17" w:rsidRDefault="00CC503E" w:rsidP="00A42AF6">
            <w:pPr>
              <w:pStyle w:val="tbl-txt"/>
              <w:spacing w:before="60" w:beforeAutospacing="0" w:after="60" w:afterAutospacing="0"/>
              <w:rPr>
                <w:rFonts w:ascii="inherit" w:hAnsi="inherit"/>
                <w:sz w:val="22"/>
                <w:szCs w:val="22"/>
                <w:lang w:val="en-GB"/>
              </w:rPr>
            </w:pPr>
            <w:r w:rsidRPr="008D2A17">
              <w:rPr>
                <w:rFonts w:ascii="inherit" w:hAnsi="inherit"/>
                <w:sz w:val="22"/>
                <w:szCs w:val="22"/>
                <w:lang w:val="en-GB"/>
              </w:rPr>
              <w:t>– 5 to 0 MHz offset from lower block edge or</w:t>
            </w:r>
          </w:p>
          <w:p w14:paraId="55E9716C" w14:textId="77777777" w:rsidR="00CC503E" w:rsidRPr="008D2A17" w:rsidRDefault="00CC503E" w:rsidP="00A42AF6">
            <w:pPr>
              <w:pStyle w:val="tbl-txt"/>
              <w:spacing w:before="60" w:beforeAutospacing="0" w:after="60" w:afterAutospacing="0"/>
              <w:rPr>
                <w:rFonts w:ascii="inherit" w:hAnsi="inherit"/>
                <w:sz w:val="22"/>
                <w:szCs w:val="22"/>
                <w:lang w:val="en-GB"/>
              </w:rPr>
            </w:pPr>
            <w:r w:rsidRPr="008D2A17">
              <w:rPr>
                <w:rFonts w:ascii="inherit" w:hAnsi="inherit"/>
                <w:sz w:val="22"/>
                <w:szCs w:val="22"/>
                <w:lang w:val="en-GB"/>
              </w:rPr>
              <w:t>0 to 5 MHz offset from upper block edge</w:t>
            </w:r>
          </w:p>
        </w:tc>
        <w:tc>
          <w:tcPr>
            <w:tcW w:w="1466" w:type="pct"/>
            <w:tcBorders>
              <w:top w:val="single" w:sz="6" w:space="0" w:color="000000"/>
              <w:left w:val="single" w:sz="6" w:space="0" w:color="000000"/>
              <w:bottom w:val="single" w:sz="6" w:space="0" w:color="000000"/>
              <w:right w:val="single" w:sz="6" w:space="0" w:color="000000"/>
            </w:tcBorders>
            <w:hideMark/>
          </w:tcPr>
          <w:p w14:paraId="77B10FC7" w14:textId="78292F76" w:rsidR="00CC503E" w:rsidRPr="008D2A17" w:rsidRDefault="00CC503E" w:rsidP="0008102F">
            <w:pPr>
              <w:pStyle w:val="tbl-txt"/>
              <w:spacing w:before="60" w:beforeAutospacing="0" w:after="60" w:afterAutospacing="0"/>
              <w:rPr>
                <w:rFonts w:ascii="inherit" w:hAnsi="inherit"/>
                <w:sz w:val="22"/>
                <w:szCs w:val="22"/>
                <w:lang w:val="en-GB"/>
              </w:rPr>
            </w:pPr>
            <w:r w:rsidRPr="008D2A17">
              <w:rPr>
                <w:rFonts w:ascii="inherit" w:hAnsi="inherit"/>
                <w:sz w:val="22"/>
                <w:szCs w:val="22"/>
                <w:lang w:val="en-GB"/>
              </w:rPr>
              <w:t>Min(P</w:t>
            </w:r>
            <w:r w:rsidRPr="008D2A17">
              <w:rPr>
                <w:rStyle w:val="sub"/>
                <w:rFonts w:ascii="inherit" w:hAnsi="inherit"/>
                <w:sz w:val="15"/>
                <w:szCs w:val="15"/>
                <w:vertAlign w:val="subscript"/>
                <w:lang w:val="en-GB"/>
              </w:rPr>
              <w:t>Max</w:t>
            </w:r>
            <w:r w:rsidR="0008102F">
              <w:rPr>
                <w:rFonts w:ascii="inherit" w:hAnsi="inherit"/>
                <w:sz w:val="22"/>
                <w:szCs w:val="22"/>
                <w:lang w:val="en-GB"/>
              </w:rPr>
              <w:t>-</w:t>
            </w:r>
            <w:r w:rsidRPr="008D2A17">
              <w:rPr>
                <w:rFonts w:ascii="inherit" w:hAnsi="inherit"/>
                <w:sz w:val="22"/>
                <w:szCs w:val="22"/>
                <w:lang w:val="en-GB"/>
              </w:rPr>
              <w:t>40,</w:t>
            </w:r>
            <w:r w:rsidR="00DB110F">
              <w:rPr>
                <w:rFonts w:ascii="inherit" w:hAnsi="inherit"/>
                <w:sz w:val="22"/>
                <w:szCs w:val="22"/>
                <w:lang w:val="en-GB"/>
              </w:rPr>
              <w:t xml:space="preserve"> </w:t>
            </w:r>
            <w:r w:rsidRPr="008D2A17">
              <w:rPr>
                <w:rFonts w:ascii="inherit" w:hAnsi="inherit"/>
                <w:sz w:val="22"/>
                <w:szCs w:val="22"/>
                <w:lang w:val="en-GB"/>
              </w:rPr>
              <w:t xml:space="preserve">21) </w:t>
            </w:r>
            <w:r w:rsidR="00EA1D94" w:rsidRPr="008D2A17">
              <w:rPr>
                <w:rFonts w:ascii="inherit" w:hAnsi="inherit"/>
                <w:sz w:val="22"/>
                <w:szCs w:val="22"/>
                <w:lang w:val="en-GB"/>
              </w:rPr>
              <w:t>dBm/(5 MHz)</w:t>
            </w:r>
            <w:r w:rsidRPr="008D2A17">
              <w:rPr>
                <w:rFonts w:ascii="inherit" w:hAnsi="inherit"/>
                <w:sz w:val="22"/>
                <w:szCs w:val="22"/>
                <w:lang w:val="en-GB"/>
              </w:rPr>
              <w:t xml:space="preserve"> EIRP per antenna (1) </w:t>
            </w:r>
          </w:p>
        </w:tc>
        <w:tc>
          <w:tcPr>
            <w:tcW w:w="1620" w:type="pct"/>
            <w:tcBorders>
              <w:top w:val="single" w:sz="6" w:space="0" w:color="000000"/>
              <w:left w:val="single" w:sz="6" w:space="0" w:color="000000"/>
              <w:bottom w:val="single" w:sz="6" w:space="0" w:color="000000"/>
              <w:right w:val="single" w:sz="6" w:space="0" w:color="000000"/>
            </w:tcBorders>
          </w:tcPr>
          <w:p w14:paraId="5EB73370" w14:textId="71E2C4A7" w:rsidR="00CC503E" w:rsidRPr="008D2A17" w:rsidRDefault="00CC503E" w:rsidP="00A42AF6">
            <w:pPr>
              <w:pStyle w:val="tbl-txt"/>
              <w:spacing w:before="60" w:beforeAutospacing="0" w:after="60" w:afterAutospacing="0"/>
              <w:rPr>
                <w:rFonts w:ascii="inherit" w:hAnsi="inherit"/>
                <w:sz w:val="22"/>
                <w:szCs w:val="22"/>
                <w:lang w:val="en-GB"/>
              </w:rPr>
            </w:pPr>
            <w:r w:rsidRPr="008D2A17">
              <w:rPr>
                <w:lang w:val="en-GB"/>
              </w:rPr>
              <w:t>Min(</w:t>
            </w:r>
            <w:r w:rsidRPr="008D2A17">
              <w:rPr>
                <w:rFonts w:ascii="inherit" w:hAnsi="inherit"/>
                <w:sz w:val="22"/>
                <w:szCs w:val="22"/>
                <w:lang w:val="en-GB"/>
              </w:rPr>
              <w:t>P</w:t>
            </w:r>
            <w:r w:rsidRPr="008D2A17">
              <w:rPr>
                <w:rStyle w:val="sub"/>
                <w:rFonts w:ascii="inherit" w:hAnsi="inherit"/>
                <w:sz w:val="15"/>
                <w:szCs w:val="15"/>
                <w:vertAlign w:val="subscript"/>
                <w:lang w:val="en-GB"/>
              </w:rPr>
              <w:t>Max</w:t>
            </w:r>
            <w:r w:rsidRPr="008D2A17">
              <w:rPr>
                <w:lang w:val="en-GB"/>
              </w:rPr>
              <w:t xml:space="preserve">'-40, 16) </w:t>
            </w:r>
            <w:r w:rsidR="00EA1D94" w:rsidRPr="008D2A17">
              <w:rPr>
                <w:lang w:val="en-GB"/>
              </w:rPr>
              <w:t>dBm/(5 MHz)</w:t>
            </w:r>
            <w:r w:rsidRPr="008D2A17">
              <w:rPr>
                <w:lang w:val="en-GB"/>
              </w:rPr>
              <w:t xml:space="preserve"> TRP per cell (2) (3) </w:t>
            </w:r>
          </w:p>
          <w:p w14:paraId="353D2A20" w14:textId="77777777" w:rsidR="00CC503E" w:rsidRPr="008D2A17" w:rsidRDefault="00CC503E" w:rsidP="00A42AF6">
            <w:pPr>
              <w:jc w:val="center"/>
              <w:rPr>
                <w:lang w:val="en-GB"/>
              </w:rPr>
            </w:pPr>
          </w:p>
        </w:tc>
      </w:tr>
      <w:tr w:rsidR="00CC503E" w:rsidRPr="008D2A17" w14:paraId="52C2A5DD" w14:textId="77777777" w:rsidTr="0008102F">
        <w:trPr>
          <w:tblCellSpacing w:w="0" w:type="dxa"/>
        </w:trPr>
        <w:tc>
          <w:tcPr>
            <w:tcW w:w="668" w:type="pct"/>
            <w:tcBorders>
              <w:top w:val="single" w:sz="6" w:space="0" w:color="000000"/>
              <w:left w:val="single" w:sz="6" w:space="0" w:color="000000"/>
              <w:bottom w:val="single" w:sz="6" w:space="0" w:color="000000"/>
              <w:right w:val="single" w:sz="6" w:space="0" w:color="000000"/>
            </w:tcBorders>
            <w:hideMark/>
          </w:tcPr>
          <w:p w14:paraId="5B6F21FE" w14:textId="77777777" w:rsidR="00CC503E" w:rsidRPr="008D2A17" w:rsidRDefault="00CC503E" w:rsidP="00A42AF6">
            <w:pPr>
              <w:pStyle w:val="tbl-txt"/>
              <w:spacing w:before="60" w:beforeAutospacing="0" w:after="60" w:afterAutospacing="0"/>
              <w:rPr>
                <w:rFonts w:ascii="inherit" w:hAnsi="inherit"/>
                <w:sz w:val="22"/>
                <w:szCs w:val="22"/>
                <w:lang w:val="en-GB"/>
              </w:rPr>
            </w:pPr>
            <w:r w:rsidRPr="008D2A17">
              <w:rPr>
                <w:rFonts w:ascii="inherit" w:hAnsi="inherit"/>
                <w:sz w:val="22"/>
                <w:szCs w:val="22"/>
                <w:lang w:val="en-GB"/>
              </w:rPr>
              <w:t>Transitional region</w:t>
            </w:r>
          </w:p>
        </w:tc>
        <w:tc>
          <w:tcPr>
            <w:tcW w:w="1246" w:type="pct"/>
            <w:tcBorders>
              <w:top w:val="single" w:sz="6" w:space="0" w:color="000000"/>
              <w:left w:val="single" w:sz="6" w:space="0" w:color="000000"/>
              <w:bottom w:val="single" w:sz="6" w:space="0" w:color="000000"/>
              <w:right w:val="single" w:sz="6" w:space="0" w:color="000000"/>
            </w:tcBorders>
            <w:hideMark/>
          </w:tcPr>
          <w:p w14:paraId="517804DC" w14:textId="77777777" w:rsidR="00CC503E" w:rsidRPr="008D2A17" w:rsidRDefault="00CC503E" w:rsidP="00A42AF6">
            <w:pPr>
              <w:pStyle w:val="tbl-txt"/>
              <w:spacing w:before="60" w:beforeAutospacing="0" w:after="60" w:afterAutospacing="0"/>
              <w:rPr>
                <w:rFonts w:ascii="inherit" w:hAnsi="inherit"/>
                <w:sz w:val="22"/>
                <w:szCs w:val="22"/>
                <w:lang w:val="en-GB"/>
              </w:rPr>
            </w:pPr>
            <w:r w:rsidRPr="008D2A17">
              <w:rPr>
                <w:rFonts w:ascii="inherit" w:hAnsi="inherit"/>
                <w:sz w:val="22"/>
                <w:szCs w:val="22"/>
                <w:lang w:val="en-GB"/>
              </w:rPr>
              <w:t>– 10 to – 5 MHz offset from lower block edge or</w:t>
            </w:r>
          </w:p>
          <w:p w14:paraId="045F41DE" w14:textId="77777777" w:rsidR="00CC503E" w:rsidRPr="008D2A17" w:rsidRDefault="00CC503E" w:rsidP="00A42AF6">
            <w:pPr>
              <w:pStyle w:val="tbl-txt"/>
              <w:spacing w:before="60" w:beforeAutospacing="0" w:after="60" w:afterAutospacing="0"/>
              <w:rPr>
                <w:rFonts w:ascii="inherit" w:hAnsi="inherit"/>
                <w:sz w:val="22"/>
                <w:szCs w:val="22"/>
                <w:lang w:val="en-GB"/>
              </w:rPr>
            </w:pPr>
            <w:r w:rsidRPr="008D2A17">
              <w:rPr>
                <w:rFonts w:ascii="inherit" w:hAnsi="inherit"/>
                <w:sz w:val="22"/>
                <w:szCs w:val="22"/>
                <w:lang w:val="en-GB"/>
              </w:rPr>
              <w:t>5 to 10 MHz offset from upper block edge</w:t>
            </w:r>
          </w:p>
        </w:tc>
        <w:tc>
          <w:tcPr>
            <w:tcW w:w="1466" w:type="pct"/>
            <w:tcBorders>
              <w:top w:val="single" w:sz="6" w:space="0" w:color="000000"/>
              <w:left w:val="single" w:sz="6" w:space="0" w:color="000000"/>
              <w:bottom w:val="single" w:sz="6" w:space="0" w:color="000000"/>
              <w:right w:val="single" w:sz="6" w:space="0" w:color="000000"/>
            </w:tcBorders>
            <w:hideMark/>
          </w:tcPr>
          <w:p w14:paraId="556EA23C" w14:textId="5F0EAE23" w:rsidR="00CC503E" w:rsidRPr="008D2A17" w:rsidRDefault="00CC503E" w:rsidP="0008102F">
            <w:pPr>
              <w:pStyle w:val="tbl-txt"/>
              <w:spacing w:before="60" w:beforeAutospacing="0" w:after="60" w:afterAutospacing="0"/>
              <w:rPr>
                <w:rFonts w:ascii="inherit" w:hAnsi="inherit"/>
                <w:sz w:val="22"/>
                <w:szCs w:val="22"/>
                <w:lang w:val="en-GB"/>
              </w:rPr>
            </w:pPr>
            <w:r w:rsidRPr="008D2A17">
              <w:rPr>
                <w:rFonts w:ascii="inherit" w:hAnsi="inherit"/>
                <w:sz w:val="22"/>
                <w:szCs w:val="22"/>
                <w:lang w:val="en-GB"/>
              </w:rPr>
              <w:t>Min(P</w:t>
            </w:r>
            <w:r w:rsidRPr="008D2A17">
              <w:rPr>
                <w:rStyle w:val="sub"/>
                <w:rFonts w:ascii="inherit" w:hAnsi="inherit"/>
                <w:sz w:val="15"/>
                <w:szCs w:val="15"/>
                <w:vertAlign w:val="subscript"/>
                <w:lang w:val="en-GB"/>
              </w:rPr>
              <w:t>Max</w:t>
            </w:r>
            <w:r w:rsidR="0008102F">
              <w:rPr>
                <w:rFonts w:ascii="inherit" w:hAnsi="inherit"/>
                <w:sz w:val="22"/>
                <w:szCs w:val="22"/>
                <w:lang w:val="en-GB"/>
              </w:rPr>
              <w:t>-</w:t>
            </w:r>
            <w:r w:rsidRPr="008D2A17">
              <w:rPr>
                <w:rFonts w:ascii="inherit" w:hAnsi="inherit"/>
                <w:sz w:val="22"/>
                <w:szCs w:val="22"/>
                <w:lang w:val="en-GB"/>
              </w:rPr>
              <w:t>43,</w:t>
            </w:r>
            <w:r w:rsidR="00DB110F">
              <w:rPr>
                <w:rFonts w:ascii="inherit" w:hAnsi="inherit"/>
                <w:sz w:val="22"/>
                <w:szCs w:val="22"/>
                <w:lang w:val="en-GB"/>
              </w:rPr>
              <w:t xml:space="preserve"> </w:t>
            </w:r>
            <w:r w:rsidRPr="008D2A17">
              <w:rPr>
                <w:rFonts w:ascii="inherit" w:hAnsi="inherit"/>
                <w:sz w:val="22"/>
                <w:szCs w:val="22"/>
                <w:lang w:val="en-GB"/>
              </w:rPr>
              <w:t xml:space="preserve">15) </w:t>
            </w:r>
            <w:r w:rsidR="00EA1D94" w:rsidRPr="008D2A17">
              <w:rPr>
                <w:rFonts w:ascii="inherit" w:hAnsi="inherit"/>
                <w:sz w:val="22"/>
                <w:szCs w:val="22"/>
                <w:lang w:val="en-GB"/>
              </w:rPr>
              <w:t>dBm/(5 MHz)</w:t>
            </w:r>
            <w:r w:rsidRPr="008D2A17">
              <w:rPr>
                <w:rFonts w:ascii="inherit" w:hAnsi="inherit"/>
                <w:sz w:val="22"/>
                <w:szCs w:val="22"/>
                <w:lang w:val="en-GB"/>
              </w:rPr>
              <w:t xml:space="preserve"> EIRP per antenna (1)</w:t>
            </w:r>
          </w:p>
        </w:tc>
        <w:tc>
          <w:tcPr>
            <w:tcW w:w="1620" w:type="pct"/>
            <w:tcBorders>
              <w:top w:val="single" w:sz="6" w:space="0" w:color="000000"/>
              <w:left w:val="single" w:sz="6" w:space="0" w:color="000000"/>
              <w:bottom w:val="single" w:sz="6" w:space="0" w:color="000000"/>
              <w:right w:val="single" w:sz="6" w:space="0" w:color="000000"/>
            </w:tcBorders>
          </w:tcPr>
          <w:p w14:paraId="1052C7AB" w14:textId="7D4C654A" w:rsidR="00CC503E" w:rsidRPr="008D2A17" w:rsidRDefault="00CC503E" w:rsidP="00A42AF6">
            <w:pPr>
              <w:pStyle w:val="tbl-txt"/>
              <w:spacing w:before="60" w:beforeAutospacing="0" w:after="60" w:afterAutospacing="0"/>
              <w:rPr>
                <w:rFonts w:ascii="inherit" w:hAnsi="inherit"/>
                <w:sz w:val="22"/>
                <w:szCs w:val="22"/>
                <w:lang w:val="en-GB"/>
              </w:rPr>
            </w:pPr>
            <w:r w:rsidRPr="008D2A17">
              <w:rPr>
                <w:lang w:val="en-GB"/>
              </w:rPr>
              <w:t>Min(</w:t>
            </w:r>
            <w:proofErr w:type="spellStart"/>
            <w:r w:rsidRPr="008D2A17">
              <w:rPr>
                <w:rFonts w:ascii="inherit" w:hAnsi="inherit"/>
                <w:sz w:val="22"/>
                <w:szCs w:val="22"/>
                <w:lang w:val="en-GB"/>
              </w:rPr>
              <w:t>P</w:t>
            </w:r>
            <w:r w:rsidRPr="008D2A17">
              <w:rPr>
                <w:rStyle w:val="sub"/>
                <w:rFonts w:ascii="inherit" w:hAnsi="inherit"/>
                <w:sz w:val="15"/>
                <w:szCs w:val="15"/>
                <w:vertAlign w:val="subscript"/>
                <w:lang w:val="en-GB"/>
              </w:rPr>
              <w:t>Max</w:t>
            </w:r>
            <w:proofErr w:type="spellEnd"/>
            <w:r w:rsidRPr="008D2A17">
              <w:rPr>
                <w:lang w:val="en-GB"/>
              </w:rPr>
              <w:t xml:space="preserve"> '-43, 12) </w:t>
            </w:r>
            <w:r w:rsidR="00EA1D94" w:rsidRPr="008D2A17">
              <w:rPr>
                <w:lang w:val="en-GB"/>
              </w:rPr>
              <w:t>dBm/(5 MHz)</w:t>
            </w:r>
            <w:r w:rsidRPr="008D2A17">
              <w:rPr>
                <w:lang w:val="en-GB"/>
              </w:rPr>
              <w:t xml:space="preserve"> TRP per cell (2) (3)</w:t>
            </w:r>
          </w:p>
        </w:tc>
      </w:tr>
    </w:tbl>
    <w:p w14:paraId="1061F8B6" w14:textId="6F80A8D8" w:rsidR="00CC503E" w:rsidRPr="008D2A17" w:rsidRDefault="00CC503E" w:rsidP="00EA1D94">
      <w:pPr>
        <w:pStyle w:val="ti-annotation"/>
        <w:spacing w:before="120" w:beforeAutospacing="0" w:after="0" w:afterAutospacing="0"/>
        <w:ind w:left="683"/>
        <w:rPr>
          <w:sz w:val="16"/>
          <w:lang w:val="en-GB"/>
        </w:rPr>
      </w:pPr>
      <w:r w:rsidRPr="008D2A17">
        <w:rPr>
          <w:sz w:val="16"/>
          <w:lang w:val="en-GB"/>
        </w:rPr>
        <w:t xml:space="preserve">(1) </w:t>
      </w:r>
      <w:proofErr w:type="spellStart"/>
      <w:r w:rsidRPr="008D2A17">
        <w:rPr>
          <w:sz w:val="16"/>
          <w:lang w:val="en-GB"/>
        </w:rPr>
        <w:t>PMax</w:t>
      </w:r>
      <w:proofErr w:type="spellEnd"/>
      <w:r w:rsidRPr="008D2A17">
        <w:rPr>
          <w:sz w:val="16"/>
          <w:lang w:val="en-GB"/>
        </w:rPr>
        <w:t xml:space="preserve"> is the maximum mean carrier power in dBm for the base station measured as e.i.r.p. per carrier per antenna</w:t>
      </w:r>
    </w:p>
    <w:p w14:paraId="198F2766" w14:textId="49A0A554" w:rsidR="00CC503E" w:rsidRPr="008D2A17" w:rsidRDefault="00CC503E" w:rsidP="00EA1D94">
      <w:pPr>
        <w:pStyle w:val="ti-annotation"/>
        <w:spacing w:before="120" w:beforeAutospacing="0" w:after="0" w:afterAutospacing="0"/>
        <w:ind w:left="683"/>
        <w:rPr>
          <w:sz w:val="16"/>
          <w:lang w:val="en-GB"/>
        </w:rPr>
      </w:pPr>
      <w:r w:rsidRPr="008D2A17">
        <w:rPr>
          <w:sz w:val="16"/>
          <w:lang w:val="en-GB"/>
        </w:rPr>
        <w:t xml:space="preserve">(2) </w:t>
      </w:r>
      <w:proofErr w:type="spellStart"/>
      <w:r w:rsidRPr="008D2A17">
        <w:rPr>
          <w:sz w:val="16"/>
          <w:lang w:val="en-GB"/>
        </w:rPr>
        <w:t>PMax</w:t>
      </w:r>
      <w:proofErr w:type="spellEnd"/>
      <w:r w:rsidRPr="008D2A17">
        <w:rPr>
          <w:sz w:val="16"/>
          <w:lang w:val="en-GB"/>
        </w:rPr>
        <w:t>' is the maximum mean carrier power in dBm for the base station measured as TRP per carrier in a given cell</w:t>
      </w:r>
    </w:p>
    <w:p w14:paraId="23E74042" w14:textId="0DE39EF2" w:rsidR="00CC503E" w:rsidRPr="008D2A17" w:rsidRDefault="00CC503E" w:rsidP="00EA1D94">
      <w:pPr>
        <w:pStyle w:val="ti-annotation"/>
        <w:spacing w:before="120" w:beforeAutospacing="0" w:after="0" w:afterAutospacing="0"/>
        <w:ind w:left="683"/>
        <w:rPr>
          <w:sz w:val="16"/>
          <w:lang w:val="en-GB"/>
        </w:rPr>
      </w:pPr>
      <w:r w:rsidRPr="008D2A17">
        <w:rPr>
          <w:sz w:val="16"/>
          <w:lang w:val="en-GB"/>
        </w:rPr>
        <w:t xml:space="preserve">(3) In a multi-sector base station, the radiated power limit </w:t>
      </w:r>
      <w:r w:rsidR="00A47409">
        <w:rPr>
          <w:sz w:val="16"/>
          <w:lang w:val="en-GB"/>
        </w:rPr>
        <w:t>applies</w:t>
      </w:r>
      <w:r w:rsidRPr="008D2A17">
        <w:rPr>
          <w:sz w:val="16"/>
          <w:lang w:val="en-GB"/>
        </w:rPr>
        <w:t xml:space="preserve"> to each one of the individual sectors.</w:t>
      </w:r>
    </w:p>
    <w:p w14:paraId="7998F366" w14:textId="77777777" w:rsidR="00CC503E" w:rsidRPr="008D2A17" w:rsidRDefault="00CC503E" w:rsidP="00CC503E">
      <w:pPr>
        <w:pStyle w:val="ti-annotation"/>
        <w:spacing w:before="120" w:beforeAutospacing="0" w:after="0" w:afterAutospacing="0"/>
        <w:rPr>
          <w:rStyle w:val="italic"/>
          <w:rFonts w:ascii="inherit" w:hAnsi="inherit"/>
          <w:i/>
          <w:iCs/>
          <w:color w:val="000000"/>
          <w:lang w:val="en-GB"/>
        </w:rPr>
      </w:pPr>
    </w:p>
    <w:p w14:paraId="7BBE7E92" w14:textId="77777777" w:rsidR="00CC503E" w:rsidRPr="008D2A17" w:rsidRDefault="00CC503E" w:rsidP="00CC503E">
      <w:pPr>
        <w:pStyle w:val="ti-annotation"/>
        <w:spacing w:before="120" w:beforeAutospacing="0" w:after="0" w:afterAutospacing="0"/>
        <w:rPr>
          <w:rFonts w:ascii="inherit" w:hAnsi="inherit"/>
          <w:i/>
          <w:iCs/>
          <w:color w:val="000000"/>
          <w:lang w:val="en-GB"/>
        </w:rPr>
      </w:pPr>
      <w:r w:rsidRPr="008D2A17">
        <w:rPr>
          <w:rStyle w:val="italic"/>
          <w:rFonts w:ascii="inherit" w:hAnsi="inherit"/>
          <w:i/>
          <w:iCs/>
          <w:color w:val="000000"/>
          <w:lang w:val="en-GB"/>
        </w:rPr>
        <w:t>Explanatory note to Table 4</w:t>
      </w:r>
    </w:p>
    <w:p w14:paraId="560AA43E" w14:textId="689B8A98" w:rsidR="00CC503E" w:rsidRPr="00B96E08" w:rsidRDefault="00CC503E" w:rsidP="0008102F">
      <w:pPr>
        <w:pStyle w:val="Normal1"/>
        <w:spacing w:before="120" w:beforeAutospacing="0" w:after="0" w:afterAutospacing="0"/>
        <w:jc w:val="both"/>
        <w:rPr>
          <w:lang w:val="en-US"/>
        </w:rPr>
      </w:pPr>
      <w:r w:rsidRPr="0008102F">
        <w:rPr>
          <w:rFonts w:ascii="inherit" w:hAnsi="inherit"/>
          <w:color w:val="000000"/>
          <w:lang w:val="en-GB"/>
        </w:rPr>
        <w:t>The</w:t>
      </w:r>
      <w:r w:rsidRPr="00BE123F">
        <w:rPr>
          <w:rFonts w:ascii="inherit" w:hAnsi="inherit"/>
          <w:color w:val="000000"/>
          <w:lang w:val="en-GB"/>
        </w:rPr>
        <w:t xml:space="preserve"> out-of-block power </w:t>
      </w:r>
      <w:r w:rsidRPr="0008102F">
        <w:rPr>
          <w:rFonts w:ascii="inherit" w:hAnsi="inherit"/>
          <w:color w:val="000000"/>
          <w:lang w:val="en-GB"/>
        </w:rPr>
        <w:t>limits are</w:t>
      </w:r>
      <w:r w:rsidRPr="00BE123F">
        <w:rPr>
          <w:rFonts w:ascii="inherit" w:hAnsi="inherit"/>
          <w:color w:val="000000"/>
          <w:lang w:val="en-GB"/>
        </w:rPr>
        <w:t xml:space="preserve"> proposed for coexistence of </w:t>
      </w:r>
      <w:r w:rsidRPr="0008102F">
        <w:rPr>
          <w:rFonts w:ascii="inherit" w:hAnsi="inherit"/>
          <w:color w:val="000000"/>
          <w:lang w:val="en-GB"/>
        </w:rPr>
        <w:t>synchronised WBB ECS BSs. Less stringent technical parameters, if agreed among the operators of such networks, may also be used. The transitional region power limits are defined to enable the reduction of power from the in-block level to the baseline. The requirements are expressed as attenuation relative to the maximum carrier power, combined with a fixed upper limit. The stricter of the two requirements applies.</w:t>
      </w:r>
      <w:r w:rsidRPr="00B96E08">
        <w:rPr>
          <w:rFonts w:ascii="inherit" w:hAnsi="inherit"/>
          <w:color w:val="000000"/>
          <w:lang w:val="en-US"/>
        </w:rPr>
        <w:t xml:space="preserve"> </w:t>
      </w:r>
    </w:p>
    <w:p w14:paraId="714BCC71" w14:textId="77777777" w:rsidR="00CC503E" w:rsidRPr="008D2A17" w:rsidRDefault="00CC503E" w:rsidP="00CC503E">
      <w:pPr>
        <w:pStyle w:val="Normal1"/>
        <w:spacing w:before="120" w:beforeAutospacing="0" w:after="0" w:afterAutospacing="0"/>
        <w:jc w:val="both"/>
        <w:rPr>
          <w:rFonts w:ascii="inherit" w:hAnsi="inherit"/>
          <w:color w:val="000000"/>
          <w:lang w:val="en-GB"/>
        </w:rPr>
      </w:pPr>
    </w:p>
    <w:p w14:paraId="03EEF6CD" w14:textId="77777777" w:rsidR="00CC503E" w:rsidRPr="008D2A17" w:rsidRDefault="00CC503E" w:rsidP="00CC503E">
      <w:pPr>
        <w:pStyle w:val="ti-tbl"/>
        <w:spacing w:before="120" w:beforeAutospacing="0" w:after="120" w:afterAutospacing="0"/>
        <w:jc w:val="center"/>
        <w:rPr>
          <w:rFonts w:ascii="inherit" w:hAnsi="inherit"/>
          <w:color w:val="000000"/>
          <w:lang w:val="en-GB"/>
        </w:rPr>
      </w:pPr>
      <w:r w:rsidRPr="008D2A17">
        <w:rPr>
          <w:rStyle w:val="italic"/>
          <w:rFonts w:ascii="inherit" w:hAnsi="inherit"/>
          <w:i/>
          <w:iCs/>
          <w:color w:val="000000"/>
          <w:lang w:val="en-GB"/>
        </w:rPr>
        <w:lastRenderedPageBreak/>
        <w:t>Table 5</w:t>
      </w:r>
    </w:p>
    <w:p w14:paraId="017ED1BF" w14:textId="2973DBE6" w:rsidR="00CC503E" w:rsidRPr="008D2A17" w:rsidRDefault="00CC503E" w:rsidP="00CC503E">
      <w:pPr>
        <w:pStyle w:val="ti-tbl"/>
        <w:spacing w:before="120" w:beforeAutospacing="0" w:after="120" w:afterAutospacing="0"/>
        <w:jc w:val="center"/>
        <w:rPr>
          <w:rFonts w:ascii="inherit" w:hAnsi="inherit"/>
          <w:color w:val="000000"/>
          <w:lang w:val="en-GB"/>
        </w:rPr>
      </w:pPr>
      <w:r w:rsidRPr="008D2A17">
        <w:rPr>
          <w:rStyle w:val="bold"/>
          <w:rFonts w:ascii="inherit" w:hAnsi="inherit"/>
          <w:b/>
          <w:bCs/>
          <w:color w:val="000000"/>
          <w:lang w:val="en-GB"/>
        </w:rPr>
        <w:t xml:space="preserve">Restricted baseline power limits for </w:t>
      </w:r>
      <w:r w:rsidRPr="00BE123F">
        <w:rPr>
          <w:rStyle w:val="bold"/>
          <w:rFonts w:ascii="inherit" w:hAnsi="inherit"/>
          <w:b/>
          <w:color w:val="000000"/>
          <w:lang w:val="en-GB"/>
        </w:rPr>
        <w:t xml:space="preserve">unsynchronised and semi-synchronised </w:t>
      </w:r>
      <w:r w:rsidR="004F6427">
        <w:rPr>
          <w:rStyle w:val="bold"/>
          <w:rFonts w:ascii="inherit" w:hAnsi="inherit"/>
          <w:b/>
          <w:bCs/>
          <w:color w:val="000000"/>
          <w:lang w:val="en-GB"/>
        </w:rPr>
        <w:t>WBB ECS</w:t>
      </w:r>
      <w:r w:rsidRPr="008D2A17">
        <w:rPr>
          <w:rStyle w:val="bold"/>
          <w:rFonts w:ascii="inherit" w:hAnsi="inherit"/>
          <w:b/>
          <w:bCs/>
          <w:color w:val="000000"/>
          <w:lang w:val="en-GB"/>
        </w:rPr>
        <w:t xml:space="preserve"> networks, for non-AAS and AAS base stations</w:t>
      </w:r>
    </w:p>
    <w:tbl>
      <w:tblPr>
        <w:tblW w:w="4772"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61"/>
        <w:gridCol w:w="2833"/>
        <w:gridCol w:w="2552"/>
        <w:gridCol w:w="1982"/>
      </w:tblGrid>
      <w:tr w:rsidR="0064253D" w:rsidRPr="008D2A17" w14:paraId="0F0CFD6B" w14:textId="77777777" w:rsidTr="0008102F">
        <w:trPr>
          <w:tblCellSpacing w:w="0" w:type="dxa"/>
        </w:trPr>
        <w:tc>
          <w:tcPr>
            <w:tcW w:w="1008" w:type="pct"/>
            <w:tcBorders>
              <w:top w:val="single" w:sz="6" w:space="0" w:color="000000"/>
              <w:left w:val="single" w:sz="6" w:space="0" w:color="000000"/>
              <w:bottom w:val="single" w:sz="6" w:space="0" w:color="000000"/>
              <w:right w:val="single" w:sz="6" w:space="0" w:color="000000"/>
            </w:tcBorders>
            <w:vAlign w:val="center"/>
            <w:hideMark/>
          </w:tcPr>
          <w:p w14:paraId="7941337F" w14:textId="77777777" w:rsidR="0064253D" w:rsidRPr="0008102F" w:rsidRDefault="0064253D" w:rsidP="00A42AF6">
            <w:pPr>
              <w:pStyle w:val="tbl-hdr"/>
              <w:spacing w:before="60" w:beforeAutospacing="0" w:after="60" w:afterAutospacing="0"/>
              <w:ind w:right="195"/>
              <w:jc w:val="center"/>
              <w:rPr>
                <w:rFonts w:ascii="inherit" w:hAnsi="inherit"/>
                <w:b/>
                <w:bCs/>
                <w:sz w:val="22"/>
                <w:szCs w:val="22"/>
                <w:lang w:val="en-GB"/>
              </w:rPr>
            </w:pPr>
            <w:r w:rsidRPr="0008102F">
              <w:rPr>
                <w:rFonts w:ascii="inherit" w:hAnsi="inherit"/>
                <w:b/>
                <w:bCs/>
                <w:sz w:val="22"/>
                <w:szCs w:val="22"/>
                <w:lang w:val="en-GB"/>
              </w:rPr>
              <w:t>BEM element</w:t>
            </w:r>
          </w:p>
        </w:tc>
        <w:tc>
          <w:tcPr>
            <w:tcW w:w="1535" w:type="pct"/>
            <w:tcBorders>
              <w:top w:val="single" w:sz="6" w:space="0" w:color="000000"/>
              <w:left w:val="single" w:sz="6" w:space="0" w:color="000000"/>
              <w:bottom w:val="single" w:sz="6" w:space="0" w:color="000000"/>
              <w:right w:val="single" w:sz="6" w:space="0" w:color="000000"/>
            </w:tcBorders>
          </w:tcPr>
          <w:p w14:paraId="7D569005" w14:textId="120666DA" w:rsidR="0064253D" w:rsidRPr="0008102F" w:rsidRDefault="0064253D" w:rsidP="00A42AF6">
            <w:pPr>
              <w:pStyle w:val="tbl-hdr"/>
              <w:spacing w:before="60" w:beforeAutospacing="0" w:after="60" w:afterAutospacing="0"/>
              <w:ind w:right="195"/>
              <w:jc w:val="center"/>
              <w:rPr>
                <w:b/>
                <w:lang w:val="en-GB"/>
              </w:rPr>
            </w:pPr>
            <w:r w:rsidRPr="0008102F">
              <w:rPr>
                <w:b/>
                <w:lang w:val="en-GB"/>
              </w:rPr>
              <w:t>Frequency Range</w:t>
            </w:r>
          </w:p>
        </w:tc>
        <w:tc>
          <w:tcPr>
            <w:tcW w:w="1383" w:type="pct"/>
            <w:tcBorders>
              <w:top w:val="single" w:sz="6" w:space="0" w:color="000000"/>
              <w:left w:val="single" w:sz="6" w:space="0" w:color="000000"/>
              <w:bottom w:val="single" w:sz="6" w:space="0" w:color="000000"/>
              <w:right w:val="single" w:sz="6" w:space="0" w:color="000000"/>
            </w:tcBorders>
            <w:vAlign w:val="center"/>
            <w:hideMark/>
          </w:tcPr>
          <w:p w14:paraId="5561884C" w14:textId="4D5AA9C7" w:rsidR="0064253D" w:rsidRPr="00B96E08" w:rsidRDefault="0064253D" w:rsidP="00A42AF6">
            <w:pPr>
              <w:pStyle w:val="tbl-hdr"/>
              <w:spacing w:before="60" w:beforeAutospacing="0" w:after="60" w:afterAutospacing="0"/>
              <w:ind w:right="195"/>
              <w:jc w:val="center"/>
              <w:rPr>
                <w:rFonts w:ascii="inherit" w:hAnsi="inherit"/>
                <w:b/>
                <w:bCs/>
                <w:sz w:val="22"/>
                <w:szCs w:val="22"/>
              </w:rPr>
            </w:pPr>
            <w:proofErr w:type="spellStart"/>
            <w:r w:rsidRPr="00B96E08">
              <w:rPr>
                <w:b/>
              </w:rPr>
              <w:t>Non-AAS</w:t>
            </w:r>
            <w:proofErr w:type="spellEnd"/>
            <w:r w:rsidRPr="00B96E08">
              <w:rPr>
                <w:b/>
              </w:rPr>
              <w:t xml:space="preserve"> </w:t>
            </w:r>
            <w:r w:rsidR="007F1AB6" w:rsidRPr="00B96E08">
              <w:rPr>
                <w:b/>
              </w:rPr>
              <w:t>e.i.r.p.</w:t>
            </w:r>
            <w:r w:rsidRPr="00B96E08">
              <w:rPr>
                <w:b/>
              </w:rPr>
              <w:t xml:space="preserve"> </w:t>
            </w:r>
            <w:proofErr w:type="spellStart"/>
            <w:r w:rsidRPr="00B96E08">
              <w:rPr>
                <w:b/>
              </w:rPr>
              <w:t>limit</w:t>
            </w:r>
            <w:proofErr w:type="spellEnd"/>
          </w:p>
        </w:tc>
        <w:tc>
          <w:tcPr>
            <w:tcW w:w="1074" w:type="pct"/>
            <w:tcBorders>
              <w:top w:val="single" w:sz="6" w:space="0" w:color="000000"/>
              <w:left w:val="single" w:sz="6" w:space="0" w:color="000000"/>
              <w:bottom w:val="single" w:sz="6" w:space="0" w:color="000000"/>
              <w:right w:val="single" w:sz="6" w:space="0" w:color="000000"/>
            </w:tcBorders>
            <w:vAlign w:val="center"/>
            <w:hideMark/>
          </w:tcPr>
          <w:p w14:paraId="19B6A60D" w14:textId="106FF15F" w:rsidR="0064253D" w:rsidRPr="0008102F" w:rsidRDefault="0064253D" w:rsidP="00A42AF6">
            <w:pPr>
              <w:pStyle w:val="tbl-hdr"/>
              <w:spacing w:before="60" w:beforeAutospacing="0" w:after="60" w:afterAutospacing="0"/>
              <w:ind w:right="195"/>
              <w:jc w:val="center"/>
              <w:rPr>
                <w:rFonts w:ascii="inherit" w:hAnsi="inherit"/>
                <w:b/>
                <w:bCs/>
                <w:sz w:val="22"/>
                <w:szCs w:val="22"/>
                <w:lang w:val="en-GB"/>
              </w:rPr>
            </w:pPr>
            <w:r w:rsidRPr="0008102F">
              <w:rPr>
                <w:b/>
                <w:lang w:val="en-GB"/>
              </w:rPr>
              <w:t xml:space="preserve">AAS </w:t>
            </w:r>
            <w:r w:rsidR="007F1AB6" w:rsidRPr="0008102F">
              <w:rPr>
                <w:b/>
                <w:lang w:val="en-GB"/>
              </w:rPr>
              <w:t>TRP</w:t>
            </w:r>
            <w:r w:rsidRPr="0008102F">
              <w:rPr>
                <w:b/>
                <w:lang w:val="en-GB"/>
              </w:rPr>
              <w:t xml:space="preserve"> limit</w:t>
            </w:r>
          </w:p>
        </w:tc>
      </w:tr>
      <w:tr w:rsidR="0064253D" w:rsidRPr="008D2A17" w14:paraId="374FBA1C" w14:textId="77777777" w:rsidTr="0008102F">
        <w:trPr>
          <w:tblCellSpacing w:w="0" w:type="dxa"/>
        </w:trPr>
        <w:tc>
          <w:tcPr>
            <w:tcW w:w="1008" w:type="pct"/>
            <w:tcBorders>
              <w:top w:val="single" w:sz="6" w:space="0" w:color="000000"/>
              <w:left w:val="single" w:sz="6" w:space="0" w:color="000000"/>
              <w:bottom w:val="single" w:sz="6" w:space="0" w:color="000000"/>
              <w:right w:val="single" w:sz="6" w:space="0" w:color="000000"/>
            </w:tcBorders>
            <w:vAlign w:val="center"/>
            <w:hideMark/>
          </w:tcPr>
          <w:p w14:paraId="0062AA4C" w14:textId="079194C3" w:rsidR="0064253D" w:rsidRPr="008D2A17" w:rsidRDefault="00787D1D" w:rsidP="00A42AF6">
            <w:pPr>
              <w:pStyle w:val="tbl-txt"/>
              <w:spacing w:before="60" w:beforeAutospacing="0" w:after="60" w:afterAutospacing="0"/>
              <w:jc w:val="center"/>
              <w:rPr>
                <w:rFonts w:ascii="inherit" w:hAnsi="inherit"/>
                <w:sz w:val="22"/>
                <w:szCs w:val="22"/>
                <w:lang w:val="en-GB"/>
              </w:rPr>
            </w:pPr>
            <w:r>
              <w:rPr>
                <w:lang w:val="en-GB"/>
              </w:rPr>
              <w:t>Restricted baseline</w:t>
            </w:r>
          </w:p>
        </w:tc>
        <w:tc>
          <w:tcPr>
            <w:tcW w:w="1535" w:type="pct"/>
            <w:tcBorders>
              <w:top w:val="single" w:sz="6" w:space="0" w:color="000000"/>
              <w:left w:val="single" w:sz="6" w:space="0" w:color="000000"/>
              <w:bottom w:val="single" w:sz="6" w:space="0" w:color="000000"/>
              <w:right w:val="single" w:sz="6" w:space="0" w:color="000000"/>
            </w:tcBorders>
          </w:tcPr>
          <w:p w14:paraId="24F7EC4C" w14:textId="77777777" w:rsidR="0064253D" w:rsidRPr="008D2A17" w:rsidRDefault="0064253D" w:rsidP="00A42AF6">
            <w:pPr>
              <w:pStyle w:val="tbl-num"/>
              <w:spacing w:before="60" w:beforeAutospacing="0" w:after="60" w:afterAutospacing="0"/>
              <w:ind w:right="195"/>
              <w:jc w:val="center"/>
              <w:rPr>
                <w:rFonts w:ascii="inherit" w:hAnsi="inherit"/>
                <w:sz w:val="22"/>
                <w:szCs w:val="22"/>
                <w:lang w:val="en-GB"/>
              </w:rPr>
            </w:pPr>
            <w:r w:rsidRPr="008D2A17">
              <w:rPr>
                <w:rFonts w:ascii="inherit" w:hAnsi="inherit"/>
                <w:sz w:val="22"/>
                <w:szCs w:val="22"/>
                <w:lang w:val="en-GB"/>
              </w:rPr>
              <w:t>Unsynchronised and semi synchronised blocks</w:t>
            </w:r>
          </w:p>
          <w:p w14:paraId="60FDD2EA" w14:textId="77777777" w:rsidR="0064253D" w:rsidRPr="008D2A17" w:rsidRDefault="0064253D" w:rsidP="00A42AF6">
            <w:pPr>
              <w:pStyle w:val="tbl-num"/>
              <w:spacing w:before="60" w:beforeAutospacing="0" w:after="60" w:afterAutospacing="0"/>
              <w:ind w:right="195"/>
              <w:jc w:val="center"/>
              <w:rPr>
                <w:rFonts w:ascii="inherit" w:hAnsi="inherit"/>
                <w:sz w:val="22"/>
                <w:szCs w:val="22"/>
                <w:lang w:val="en-GB"/>
              </w:rPr>
            </w:pPr>
            <w:r w:rsidRPr="008D2A17">
              <w:rPr>
                <w:rFonts w:ascii="inherit" w:hAnsi="inherit"/>
                <w:sz w:val="22"/>
                <w:szCs w:val="22"/>
                <w:lang w:val="en-GB"/>
              </w:rPr>
              <w:t>Below the lower block edge</w:t>
            </w:r>
          </w:p>
          <w:p w14:paraId="03554BF8" w14:textId="77777777" w:rsidR="0064253D" w:rsidRPr="008D2A17" w:rsidRDefault="0064253D" w:rsidP="00A42AF6">
            <w:pPr>
              <w:pStyle w:val="tbl-num"/>
              <w:spacing w:before="60" w:beforeAutospacing="0" w:after="60" w:afterAutospacing="0"/>
              <w:ind w:right="195"/>
              <w:jc w:val="center"/>
              <w:rPr>
                <w:rFonts w:ascii="inherit" w:hAnsi="inherit"/>
                <w:sz w:val="22"/>
                <w:szCs w:val="22"/>
                <w:lang w:val="en-GB"/>
              </w:rPr>
            </w:pPr>
            <w:r w:rsidRPr="008D2A17">
              <w:rPr>
                <w:rFonts w:ascii="inherit" w:hAnsi="inherit"/>
                <w:sz w:val="22"/>
                <w:szCs w:val="22"/>
                <w:lang w:val="en-GB"/>
              </w:rPr>
              <w:t>Above the upper block edge</w:t>
            </w:r>
          </w:p>
          <w:p w14:paraId="3A0D0A90" w14:textId="538E6432" w:rsidR="0064253D" w:rsidRPr="008D2A17" w:rsidRDefault="0064253D" w:rsidP="00A42AF6">
            <w:pPr>
              <w:pStyle w:val="tbl-num"/>
              <w:spacing w:before="60" w:beforeAutospacing="0" w:after="60" w:afterAutospacing="0"/>
              <w:ind w:right="195"/>
              <w:jc w:val="center"/>
              <w:rPr>
                <w:rFonts w:ascii="inherit" w:hAnsi="inherit"/>
                <w:sz w:val="22"/>
                <w:szCs w:val="22"/>
                <w:lang w:val="en-GB"/>
              </w:rPr>
            </w:pPr>
            <w:r w:rsidRPr="008D2A17">
              <w:rPr>
                <w:rFonts w:ascii="inherit" w:hAnsi="inherit"/>
                <w:sz w:val="22"/>
                <w:szCs w:val="22"/>
                <w:lang w:val="en-GB"/>
              </w:rPr>
              <w:t>Within 3400-3800 MHz</w:t>
            </w:r>
          </w:p>
        </w:tc>
        <w:tc>
          <w:tcPr>
            <w:tcW w:w="1383" w:type="pct"/>
            <w:tcBorders>
              <w:top w:val="single" w:sz="6" w:space="0" w:color="000000"/>
              <w:left w:val="single" w:sz="6" w:space="0" w:color="000000"/>
              <w:bottom w:val="single" w:sz="6" w:space="0" w:color="000000"/>
              <w:right w:val="single" w:sz="6" w:space="0" w:color="000000"/>
            </w:tcBorders>
            <w:vAlign w:val="center"/>
            <w:hideMark/>
          </w:tcPr>
          <w:p w14:paraId="642BD077" w14:textId="444EC1B4" w:rsidR="0064253D" w:rsidRPr="008D2A17" w:rsidRDefault="0064253D" w:rsidP="00A42AF6">
            <w:pPr>
              <w:pStyle w:val="tbl-num"/>
              <w:spacing w:before="60" w:beforeAutospacing="0" w:after="60" w:afterAutospacing="0"/>
              <w:ind w:right="195"/>
              <w:jc w:val="center"/>
              <w:rPr>
                <w:rFonts w:ascii="inherit" w:hAnsi="inherit"/>
                <w:sz w:val="22"/>
                <w:szCs w:val="22"/>
                <w:lang w:val="en-GB"/>
              </w:rPr>
            </w:pPr>
            <w:r w:rsidRPr="008D2A17">
              <w:rPr>
                <w:rFonts w:ascii="inherit" w:hAnsi="inherit"/>
                <w:sz w:val="22"/>
                <w:szCs w:val="22"/>
                <w:lang w:val="en-GB"/>
              </w:rPr>
              <w:t xml:space="preserve">-34 </w:t>
            </w:r>
            <w:r w:rsidR="0008102F">
              <w:rPr>
                <w:lang w:val="en-GB"/>
              </w:rPr>
              <w:t>dBm/(</w:t>
            </w:r>
            <w:r w:rsidRPr="008D2A17">
              <w:rPr>
                <w:lang w:val="en-GB"/>
              </w:rPr>
              <w:t>5</w:t>
            </w:r>
            <w:r w:rsidR="0008102F">
              <w:rPr>
                <w:lang w:val="en-GB"/>
              </w:rPr>
              <w:t xml:space="preserve"> </w:t>
            </w:r>
            <w:r w:rsidRPr="008D2A17">
              <w:rPr>
                <w:lang w:val="en-GB"/>
              </w:rPr>
              <w:t>MHz</w:t>
            </w:r>
            <w:r w:rsidR="0008102F">
              <w:rPr>
                <w:lang w:val="en-GB"/>
              </w:rPr>
              <w:t>)</w:t>
            </w:r>
            <w:r w:rsidRPr="008D2A17">
              <w:rPr>
                <w:lang w:val="en-GB"/>
              </w:rPr>
              <w:t xml:space="preserve"> </w:t>
            </w:r>
            <w:r w:rsidR="0008102F">
              <w:rPr>
                <w:lang w:val="en-GB"/>
              </w:rPr>
              <w:br/>
            </w:r>
            <w:r w:rsidRPr="008D2A17">
              <w:rPr>
                <w:lang w:val="en-GB"/>
              </w:rPr>
              <w:t>per cell (1)</w:t>
            </w:r>
          </w:p>
        </w:tc>
        <w:tc>
          <w:tcPr>
            <w:tcW w:w="1074" w:type="pct"/>
            <w:tcBorders>
              <w:top w:val="single" w:sz="6" w:space="0" w:color="000000"/>
              <w:left w:val="single" w:sz="6" w:space="0" w:color="000000"/>
              <w:bottom w:val="single" w:sz="6" w:space="0" w:color="000000"/>
              <w:right w:val="single" w:sz="6" w:space="0" w:color="000000"/>
            </w:tcBorders>
            <w:vAlign w:val="center"/>
            <w:hideMark/>
          </w:tcPr>
          <w:p w14:paraId="7FE96189" w14:textId="44AADA8B" w:rsidR="0064253D" w:rsidRPr="008D2A17" w:rsidRDefault="0008102F" w:rsidP="00A42AF6">
            <w:pPr>
              <w:pStyle w:val="tbl-txt"/>
              <w:spacing w:before="60" w:beforeAutospacing="0" w:after="60" w:afterAutospacing="0"/>
              <w:jc w:val="center"/>
              <w:rPr>
                <w:rFonts w:ascii="inherit" w:hAnsi="inherit"/>
                <w:sz w:val="22"/>
                <w:szCs w:val="22"/>
                <w:lang w:val="en-GB"/>
              </w:rPr>
            </w:pPr>
            <w:r>
              <w:rPr>
                <w:rFonts w:ascii="inherit" w:hAnsi="inherit"/>
                <w:sz w:val="22"/>
                <w:szCs w:val="22"/>
                <w:lang w:val="en-GB"/>
              </w:rPr>
              <w:t>-43 dBm/(</w:t>
            </w:r>
            <w:r w:rsidR="0064253D" w:rsidRPr="008D2A17">
              <w:rPr>
                <w:rFonts w:ascii="inherit" w:hAnsi="inherit"/>
                <w:sz w:val="22"/>
                <w:szCs w:val="22"/>
                <w:lang w:val="en-GB"/>
              </w:rPr>
              <w:t>5</w:t>
            </w:r>
            <w:r>
              <w:rPr>
                <w:rFonts w:ascii="inherit" w:hAnsi="inherit"/>
                <w:sz w:val="22"/>
                <w:szCs w:val="22"/>
                <w:lang w:val="en-GB"/>
              </w:rPr>
              <w:t xml:space="preserve"> </w:t>
            </w:r>
            <w:r w:rsidR="0064253D" w:rsidRPr="008D2A17">
              <w:rPr>
                <w:rFonts w:ascii="inherit" w:hAnsi="inherit"/>
                <w:sz w:val="22"/>
                <w:szCs w:val="22"/>
                <w:lang w:val="en-GB"/>
              </w:rPr>
              <w:t>MHz</w:t>
            </w:r>
            <w:r>
              <w:rPr>
                <w:rFonts w:ascii="inherit" w:hAnsi="inherit"/>
                <w:sz w:val="22"/>
                <w:szCs w:val="22"/>
                <w:lang w:val="en-GB"/>
              </w:rPr>
              <w:t>)</w:t>
            </w:r>
            <w:r w:rsidR="0064253D" w:rsidRPr="008D2A17">
              <w:rPr>
                <w:rFonts w:ascii="inherit" w:hAnsi="inherit"/>
                <w:sz w:val="22"/>
                <w:szCs w:val="22"/>
                <w:lang w:val="en-GB"/>
              </w:rPr>
              <w:t xml:space="preserve"> </w:t>
            </w:r>
            <w:r>
              <w:rPr>
                <w:rFonts w:ascii="inherit" w:hAnsi="inherit"/>
                <w:sz w:val="22"/>
                <w:szCs w:val="22"/>
                <w:lang w:val="en-GB"/>
              </w:rPr>
              <w:br/>
            </w:r>
            <w:r w:rsidR="0064253D" w:rsidRPr="008D2A17">
              <w:rPr>
                <w:rFonts w:ascii="inherit" w:hAnsi="inherit"/>
                <w:sz w:val="22"/>
                <w:szCs w:val="22"/>
                <w:lang w:val="en-GB"/>
              </w:rPr>
              <w:t>per cell (1)</w:t>
            </w:r>
          </w:p>
        </w:tc>
      </w:tr>
    </w:tbl>
    <w:p w14:paraId="08A38909" w14:textId="3907667E" w:rsidR="00CC503E" w:rsidRPr="008D2A17" w:rsidRDefault="00CC503E" w:rsidP="00EA1D94">
      <w:pPr>
        <w:pStyle w:val="ti-annotation"/>
        <w:spacing w:before="120" w:beforeAutospacing="0" w:after="0" w:afterAutospacing="0"/>
        <w:ind w:left="683"/>
        <w:rPr>
          <w:sz w:val="16"/>
          <w:lang w:val="en-GB"/>
        </w:rPr>
      </w:pPr>
      <w:r w:rsidRPr="008D2A17">
        <w:rPr>
          <w:sz w:val="16"/>
          <w:lang w:val="en-GB"/>
        </w:rPr>
        <w:t xml:space="preserve">(1) In a multi-sector base station, the radiated power limit </w:t>
      </w:r>
      <w:r w:rsidR="00A47409">
        <w:rPr>
          <w:sz w:val="16"/>
          <w:lang w:val="en-GB"/>
        </w:rPr>
        <w:t>applies</w:t>
      </w:r>
      <w:r w:rsidRPr="008D2A17">
        <w:rPr>
          <w:sz w:val="16"/>
          <w:lang w:val="en-GB"/>
        </w:rPr>
        <w:t xml:space="preserve"> to each one of the individual sectors.</w:t>
      </w:r>
    </w:p>
    <w:p w14:paraId="04CCCEFA" w14:textId="77777777" w:rsidR="00CC503E" w:rsidRPr="008D2A17" w:rsidRDefault="00CC503E" w:rsidP="00CC503E">
      <w:pPr>
        <w:pStyle w:val="ti-annotation"/>
        <w:spacing w:before="120" w:beforeAutospacing="0" w:after="0" w:afterAutospacing="0"/>
        <w:rPr>
          <w:rStyle w:val="italic"/>
          <w:rFonts w:ascii="inherit" w:hAnsi="inherit"/>
          <w:i/>
          <w:iCs/>
          <w:color w:val="000000"/>
          <w:lang w:val="en-GB"/>
        </w:rPr>
      </w:pPr>
    </w:p>
    <w:p w14:paraId="402D02D8" w14:textId="77777777" w:rsidR="00CC503E" w:rsidRPr="008D2A17" w:rsidRDefault="00CC503E" w:rsidP="00CC503E">
      <w:pPr>
        <w:pStyle w:val="ti-annotation"/>
        <w:spacing w:before="120" w:beforeAutospacing="0" w:after="0" w:afterAutospacing="0"/>
        <w:rPr>
          <w:rFonts w:ascii="inherit" w:hAnsi="inherit"/>
          <w:i/>
          <w:iCs/>
          <w:color w:val="000000"/>
          <w:lang w:val="en-GB"/>
        </w:rPr>
      </w:pPr>
      <w:r w:rsidRPr="008D2A17">
        <w:rPr>
          <w:rStyle w:val="italic"/>
          <w:rFonts w:ascii="inherit" w:hAnsi="inherit"/>
          <w:i/>
          <w:iCs/>
          <w:color w:val="000000"/>
          <w:lang w:val="en-GB"/>
        </w:rPr>
        <w:t>Explanatory note to Table 5</w:t>
      </w:r>
    </w:p>
    <w:p w14:paraId="19D2F0E3" w14:textId="2708E695" w:rsidR="00CC503E" w:rsidRPr="00BE123F" w:rsidRDefault="00CC503E" w:rsidP="00BE123F">
      <w:pPr>
        <w:pStyle w:val="Normal1"/>
        <w:jc w:val="both"/>
        <w:rPr>
          <w:rFonts w:ascii="inherit" w:hAnsi="inherit"/>
          <w:color w:val="000000"/>
          <w:lang w:val="en-US"/>
        </w:rPr>
      </w:pPr>
      <w:r w:rsidRPr="008D2A17">
        <w:rPr>
          <w:lang w:val="en-GB"/>
        </w:rPr>
        <w:t>T</w:t>
      </w:r>
      <w:r w:rsidR="00E575A1" w:rsidRPr="008D2A17">
        <w:rPr>
          <w:lang w:val="en-GB"/>
        </w:rPr>
        <w:t>able 5 provides the</w:t>
      </w:r>
      <w:r w:rsidRPr="008D2A17">
        <w:rPr>
          <w:lang w:val="en-GB"/>
        </w:rPr>
        <w:t xml:space="preserve"> restricted baseline power limit for coexistence of unsynchronised and </w:t>
      </w:r>
      <w:proofErr w:type="spellStart"/>
      <w:r w:rsidRPr="008D2A17">
        <w:rPr>
          <w:lang w:val="en-GB"/>
        </w:rPr>
        <w:t>semi</w:t>
      </w:r>
      <w:r w:rsidR="0008102F">
        <w:rPr>
          <w:lang w:val="en-GB"/>
        </w:rPr>
        <w:t>­</w:t>
      </w:r>
      <w:r w:rsidRPr="008D2A17">
        <w:rPr>
          <w:lang w:val="en-GB"/>
        </w:rPr>
        <w:t>synchronised</w:t>
      </w:r>
      <w:proofErr w:type="spellEnd"/>
      <w:r w:rsidRPr="008D2A17">
        <w:rPr>
          <w:lang w:val="en-GB"/>
        </w:rPr>
        <w:t xml:space="preserve"> </w:t>
      </w:r>
      <w:r w:rsidRPr="00BE123F">
        <w:rPr>
          <w:lang w:val="en-GB"/>
        </w:rPr>
        <w:t>WBB ECS BS, if no geographic separation is available</w:t>
      </w:r>
      <w:r w:rsidRPr="008D2A17">
        <w:rPr>
          <w:lang w:val="en-GB"/>
        </w:rPr>
        <w:t>.</w:t>
      </w:r>
      <w:r w:rsidRPr="00BE123F">
        <w:rPr>
          <w:lang w:val="en-GB"/>
        </w:rPr>
        <w:t xml:space="preserve"> Less stringent technical parameters, if agreed among the operators of such networks, may also be used. In addition, depending on national circumstances, EU Member States may define a relaxed alternative “restricted baseline </w:t>
      </w:r>
      <w:r w:rsidRPr="008D2A17">
        <w:rPr>
          <w:lang w:val="en-GB"/>
        </w:rPr>
        <w:t xml:space="preserve">power </w:t>
      </w:r>
      <w:r w:rsidRPr="00BE123F">
        <w:rPr>
          <w:lang w:val="en-GB"/>
        </w:rPr>
        <w:t>limit” applying to specific implementation cases to ensure a more efficient usage of spectrum</w:t>
      </w:r>
      <w:r w:rsidRPr="008D2A17">
        <w:rPr>
          <w:lang w:val="en-GB"/>
        </w:rPr>
        <w:t xml:space="preserve">. </w:t>
      </w:r>
      <w:r w:rsidRPr="008D2A17">
        <w:rPr>
          <w:rFonts w:ascii="inherit" w:hAnsi="inherit"/>
          <w:color w:val="000000"/>
          <w:lang w:val="en-GB"/>
        </w:rPr>
        <w:t xml:space="preserve"> </w:t>
      </w:r>
    </w:p>
    <w:p w14:paraId="4C6FF4D4" w14:textId="7E6F8D6C" w:rsidR="00CC503E" w:rsidRPr="008D2A17" w:rsidRDefault="00CC503E" w:rsidP="00CC503E">
      <w:pPr>
        <w:pStyle w:val="ti-tbl"/>
        <w:spacing w:before="120" w:beforeAutospacing="0" w:after="120" w:afterAutospacing="0"/>
        <w:jc w:val="center"/>
        <w:rPr>
          <w:rFonts w:ascii="inherit" w:hAnsi="inherit"/>
          <w:color w:val="000000"/>
          <w:lang w:val="en-GB"/>
        </w:rPr>
      </w:pPr>
      <w:r w:rsidRPr="00BE123F">
        <w:rPr>
          <w:rStyle w:val="italic"/>
          <w:rFonts w:ascii="inherit" w:hAnsi="inherit"/>
          <w:i/>
          <w:color w:val="000000"/>
          <w:lang w:val="en-US"/>
        </w:rPr>
        <w:t xml:space="preserve">Table </w:t>
      </w:r>
      <w:r w:rsidRPr="008D2A17">
        <w:rPr>
          <w:rStyle w:val="italic"/>
          <w:rFonts w:ascii="inherit" w:hAnsi="inherit"/>
          <w:i/>
          <w:iCs/>
          <w:color w:val="000000"/>
          <w:lang w:val="en-GB"/>
        </w:rPr>
        <w:t>6</w:t>
      </w:r>
    </w:p>
    <w:p w14:paraId="7E1043FA" w14:textId="7A51F525" w:rsidR="00CC503E" w:rsidRPr="00BE123F" w:rsidRDefault="0008102F" w:rsidP="00BE123F">
      <w:pPr>
        <w:pStyle w:val="ti-tbl"/>
        <w:spacing w:before="120" w:beforeAutospacing="0" w:after="120" w:afterAutospacing="0"/>
        <w:jc w:val="center"/>
        <w:rPr>
          <w:rFonts w:ascii="inherit" w:hAnsi="inherit"/>
          <w:color w:val="000000"/>
          <w:lang w:val="en-GB"/>
        </w:rPr>
      </w:pPr>
      <w:r w:rsidRPr="0008102F">
        <w:rPr>
          <w:rStyle w:val="bold"/>
          <w:rFonts w:ascii="inherit" w:hAnsi="inherit"/>
          <w:b/>
          <w:bCs/>
          <w:color w:val="000000"/>
          <w:lang w:val="en-GB"/>
        </w:rPr>
        <w:t>N</w:t>
      </w:r>
      <w:r w:rsidR="00405D91" w:rsidRPr="0008102F">
        <w:rPr>
          <w:rStyle w:val="bold"/>
          <w:rFonts w:ascii="inherit" w:hAnsi="inherit"/>
          <w:b/>
          <w:bCs/>
          <w:color w:val="000000"/>
          <w:lang w:val="en-GB"/>
        </w:rPr>
        <w:t xml:space="preserve">on-AAS and </w:t>
      </w:r>
      <w:r w:rsidR="00CC503E" w:rsidRPr="0008102F">
        <w:rPr>
          <w:rStyle w:val="bold"/>
          <w:rFonts w:ascii="inherit" w:hAnsi="inherit"/>
          <w:b/>
          <w:bCs/>
          <w:color w:val="000000"/>
          <w:lang w:val="en-GB"/>
        </w:rPr>
        <w:t xml:space="preserve">AAS Base station </w:t>
      </w:r>
      <w:r w:rsidRPr="0008102F">
        <w:rPr>
          <w:rStyle w:val="bold"/>
          <w:rFonts w:ascii="inherit" w:hAnsi="inherit"/>
          <w:b/>
          <w:bCs/>
          <w:color w:val="000000"/>
          <w:lang w:val="en-GB"/>
        </w:rPr>
        <w:t xml:space="preserve">(1) </w:t>
      </w:r>
      <w:r w:rsidR="00CC503E" w:rsidRPr="009247FD">
        <w:rPr>
          <w:rStyle w:val="bold"/>
          <w:rFonts w:ascii="inherit" w:hAnsi="inherit"/>
          <w:b/>
          <w:bCs/>
          <w:color w:val="000000"/>
          <w:lang w:val="en-GB"/>
        </w:rPr>
        <w:t>additional</w:t>
      </w:r>
      <w:r w:rsidR="00CC503E" w:rsidRPr="009247FD">
        <w:rPr>
          <w:rStyle w:val="bold"/>
          <w:rFonts w:ascii="inherit" w:hAnsi="inherit"/>
          <w:b/>
          <w:color w:val="000000"/>
          <w:lang w:val="en-US"/>
        </w:rPr>
        <w:t xml:space="preserve"> baseline power limits </w:t>
      </w:r>
      <w:r w:rsidR="00CC503E" w:rsidRPr="009247FD">
        <w:rPr>
          <w:rStyle w:val="bold"/>
          <w:rFonts w:ascii="inherit" w:hAnsi="inherit"/>
          <w:b/>
          <w:bCs/>
          <w:color w:val="000000"/>
          <w:lang w:val="en-GB"/>
        </w:rPr>
        <w:t xml:space="preserve">below 3400 MHz </w:t>
      </w:r>
      <w:r w:rsidR="00CC503E" w:rsidRPr="009247FD">
        <w:rPr>
          <w:rStyle w:val="bold"/>
          <w:rFonts w:ascii="inherit" w:hAnsi="inherit"/>
          <w:b/>
          <w:color w:val="000000"/>
          <w:lang w:val="en-US"/>
        </w:rPr>
        <w:t xml:space="preserve">for </w:t>
      </w:r>
      <w:r w:rsidR="00CC503E" w:rsidRPr="009247FD">
        <w:rPr>
          <w:rStyle w:val="bold"/>
          <w:rFonts w:ascii="inherit" w:hAnsi="inherit"/>
          <w:b/>
          <w:bCs/>
          <w:color w:val="000000"/>
          <w:lang w:val="en-GB"/>
        </w:rPr>
        <w:t>country specific cases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99"/>
        <w:gridCol w:w="2555"/>
        <w:gridCol w:w="1274"/>
        <w:gridCol w:w="1559"/>
        <w:gridCol w:w="2127"/>
        <w:gridCol w:w="1855"/>
      </w:tblGrid>
      <w:tr w:rsidR="00BF1CA6" w:rsidRPr="008D2A17" w14:paraId="0E04CBF1" w14:textId="77777777" w:rsidTr="00822317">
        <w:trPr>
          <w:tblCellSpacing w:w="0" w:type="dxa"/>
        </w:trPr>
        <w:tc>
          <w:tcPr>
            <w:tcW w:w="1476" w:type="pct"/>
            <w:gridSpan w:val="2"/>
            <w:tcBorders>
              <w:top w:val="single" w:sz="6" w:space="0" w:color="000000"/>
              <w:left w:val="single" w:sz="6" w:space="0" w:color="000000"/>
              <w:bottom w:val="single" w:sz="6" w:space="0" w:color="000000"/>
              <w:right w:val="single" w:sz="6" w:space="0" w:color="000000"/>
            </w:tcBorders>
            <w:vAlign w:val="center"/>
            <w:hideMark/>
          </w:tcPr>
          <w:p w14:paraId="05D8F503" w14:textId="77777777" w:rsidR="00BF1CA6" w:rsidRPr="008D2A17" w:rsidRDefault="00BF1CA6" w:rsidP="00822317">
            <w:pPr>
              <w:pStyle w:val="tbl-hdr"/>
              <w:spacing w:before="60" w:beforeAutospacing="0" w:after="60" w:afterAutospacing="0"/>
              <w:ind w:right="195"/>
              <w:jc w:val="center"/>
              <w:rPr>
                <w:rFonts w:ascii="inherit" w:hAnsi="inherit"/>
                <w:b/>
                <w:bCs/>
                <w:sz w:val="22"/>
                <w:szCs w:val="22"/>
                <w:lang w:val="en-GB"/>
              </w:rPr>
            </w:pPr>
            <w:r w:rsidRPr="008D2A17">
              <w:rPr>
                <w:rFonts w:ascii="inherit" w:hAnsi="inherit"/>
                <w:b/>
                <w:bCs/>
                <w:sz w:val="22"/>
                <w:szCs w:val="22"/>
                <w:lang w:val="en-GB"/>
              </w:rPr>
              <w:t>Case</w:t>
            </w:r>
          </w:p>
        </w:tc>
        <w:tc>
          <w:tcPr>
            <w:tcW w:w="659" w:type="pct"/>
            <w:tcBorders>
              <w:top w:val="single" w:sz="6" w:space="0" w:color="000000"/>
              <w:left w:val="single" w:sz="6" w:space="0" w:color="000000"/>
              <w:bottom w:val="single" w:sz="6" w:space="0" w:color="000000"/>
              <w:right w:val="single" w:sz="6" w:space="0" w:color="000000"/>
            </w:tcBorders>
            <w:vAlign w:val="center"/>
            <w:hideMark/>
          </w:tcPr>
          <w:p w14:paraId="6F3C325A" w14:textId="77777777" w:rsidR="00BF1CA6" w:rsidRPr="008D2A17" w:rsidRDefault="00BF1CA6" w:rsidP="00822317">
            <w:pPr>
              <w:ind w:right="195"/>
              <w:jc w:val="center"/>
              <w:rPr>
                <w:rFonts w:ascii="inherit" w:hAnsi="inherit"/>
                <w:b/>
                <w:sz w:val="22"/>
                <w:lang w:val="en-GB"/>
              </w:rPr>
            </w:pPr>
            <w:r w:rsidRPr="008D2A17">
              <w:rPr>
                <w:rFonts w:ascii="inherit" w:hAnsi="inherit"/>
                <w:b/>
                <w:sz w:val="22"/>
                <w:lang w:val="en-GB"/>
              </w:rPr>
              <w:t>BEM element</w:t>
            </w:r>
          </w:p>
        </w:tc>
        <w:tc>
          <w:tcPr>
            <w:tcW w:w="806" w:type="pct"/>
            <w:tcBorders>
              <w:top w:val="single" w:sz="6" w:space="0" w:color="000000"/>
              <w:left w:val="single" w:sz="6" w:space="0" w:color="000000"/>
              <w:bottom w:val="single" w:sz="6" w:space="0" w:color="000000"/>
              <w:right w:val="single" w:sz="6" w:space="0" w:color="000000"/>
            </w:tcBorders>
            <w:vAlign w:val="center"/>
            <w:hideMark/>
          </w:tcPr>
          <w:p w14:paraId="7364A4B9" w14:textId="77777777" w:rsidR="00BF1CA6" w:rsidRPr="008D2A17" w:rsidRDefault="00BF1CA6" w:rsidP="00822317">
            <w:pPr>
              <w:pStyle w:val="tbl-hdr"/>
              <w:spacing w:before="60" w:beforeAutospacing="0" w:after="60" w:afterAutospacing="0"/>
              <w:ind w:right="195"/>
              <w:jc w:val="center"/>
              <w:rPr>
                <w:rFonts w:ascii="inherit" w:hAnsi="inherit"/>
                <w:b/>
                <w:bCs/>
                <w:sz w:val="22"/>
                <w:szCs w:val="22"/>
                <w:lang w:val="en-GB"/>
              </w:rPr>
            </w:pPr>
            <w:r w:rsidRPr="008D2A17">
              <w:rPr>
                <w:rFonts w:ascii="inherit" w:hAnsi="inherit"/>
                <w:b/>
                <w:bCs/>
                <w:sz w:val="22"/>
                <w:szCs w:val="22"/>
                <w:lang w:val="en-GB"/>
              </w:rPr>
              <w:t>Frequency range</w:t>
            </w:r>
          </w:p>
        </w:tc>
        <w:tc>
          <w:tcPr>
            <w:tcW w:w="1100" w:type="pct"/>
            <w:tcBorders>
              <w:top w:val="single" w:sz="6" w:space="0" w:color="000000"/>
              <w:left w:val="single" w:sz="6" w:space="0" w:color="000000"/>
              <w:bottom w:val="single" w:sz="6" w:space="0" w:color="000000"/>
              <w:right w:val="single" w:sz="6" w:space="0" w:color="000000"/>
            </w:tcBorders>
            <w:vAlign w:val="center"/>
            <w:hideMark/>
          </w:tcPr>
          <w:p w14:paraId="77103B20" w14:textId="77777777" w:rsidR="00BF1CA6" w:rsidRPr="009247FD" w:rsidRDefault="00BF1CA6" w:rsidP="00822317">
            <w:pPr>
              <w:ind w:right="195"/>
              <w:jc w:val="center"/>
              <w:rPr>
                <w:rFonts w:ascii="inherit" w:hAnsi="inherit"/>
                <w:b/>
                <w:sz w:val="22"/>
                <w:lang w:val="fr-FR"/>
              </w:rPr>
            </w:pPr>
            <w:r w:rsidRPr="009247FD">
              <w:rPr>
                <w:b/>
                <w:lang w:val="fr-FR"/>
              </w:rPr>
              <w:t xml:space="preserve">Non AAS e.i.r.p. </w:t>
            </w:r>
            <w:proofErr w:type="spellStart"/>
            <w:r w:rsidRPr="009247FD">
              <w:rPr>
                <w:b/>
                <w:lang w:val="fr-FR"/>
              </w:rPr>
              <w:t>limit</w:t>
            </w:r>
            <w:proofErr w:type="spellEnd"/>
          </w:p>
        </w:tc>
        <w:tc>
          <w:tcPr>
            <w:tcW w:w="959" w:type="pct"/>
            <w:tcBorders>
              <w:top w:val="single" w:sz="6" w:space="0" w:color="000000"/>
              <w:left w:val="single" w:sz="6" w:space="0" w:color="000000"/>
              <w:bottom w:val="single" w:sz="6" w:space="0" w:color="000000"/>
              <w:right w:val="single" w:sz="6" w:space="0" w:color="000000"/>
            </w:tcBorders>
            <w:vAlign w:val="center"/>
          </w:tcPr>
          <w:p w14:paraId="44B92672" w14:textId="77777777" w:rsidR="00BF1CA6" w:rsidRPr="009247FD" w:rsidRDefault="00BF1CA6" w:rsidP="00822317">
            <w:pPr>
              <w:ind w:right="195"/>
              <w:jc w:val="center"/>
              <w:rPr>
                <w:rFonts w:ascii="inherit" w:hAnsi="inherit"/>
                <w:b/>
                <w:sz w:val="22"/>
                <w:lang w:val="en-GB"/>
              </w:rPr>
            </w:pPr>
            <w:r w:rsidRPr="009247FD">
              <w:rPr>
                <w:b/>
                <w:lang w:val="en-GB"/>
              </w:rPr>
              <w:t>AAS TRP limit</w:t>
            </w:r>
          </w:p>
        </w:tc>
      </w:tr>
      <w:tr w:rsidR="00BF1CA6" w:rsidRPr="008D2A17" w14:paraId="7840E768" w14:textId="77777777" w:rsidTr="00822317">
        <w:trPr>
          <w:tblCellSpacing w:w="0" w:type="dxa"/>
        </w:trPr>
        <w:tc>
          <w:tcPr>
            <w:tcW w:w="155" w:type="pct"/>
            <w:tcBorders>
              <w:top w:val="single" w:sz="6" w:space="0" w:color="000000"/>
              <w:left w:val="single" w:sz="6" w:space="0" w:color="000000"/>
              <w:bottom w:val="single" w:sz="6" w:space="0" w:color="000000"/>
              <w:right w:val="single" w:sz="6" w:space="0" w:color="000000"/>
            </w:tcBorders>
            <w:vAlign w:val="center"/>
            <w:hideMark/>
          </w:tcPr>
          <w:p w14:paraId="69109EEF" w14:textId="77777777" w:rsidR="00BF1CA6" w:rsidRPr="008D2A17" w:rsidRDefault="00BF1CA6" w:rsidP="00822317">
            <w:pPr>
              <w:pStyle w:val="ti-tbl"/>
              <w:spacing w:before="60" w:beforeAutospacing="0" w:after="60" w:afterAutospacing="0"/>
              <w:jc w:val="center"/>
              <w:rPr>
                <w:rFonts w:ascii="inherit" w:hAnsi="inherit"/>
                <w:sz w:val="22"/>
                <w:lang w:val="en-GB"/>
              </w:rPr>
            </w:pPr>
            <w:r w:rsidRPr="008D2A17">
              <w:rPr>
                <w:rFonts w:ascii="inherit" w:hAnsi="inherit"/>
                <w:sz w:val="22"/>
                <w:szCs w:val="22"/>
                <w:lang w:val="en-GB"/>
              </w:rPr>
              <w:t>A</w:t>
            </w:r>
          </w:p>
        </w:tc>
        <w:tc>
          <w:tcPr>
            <w:tcW w:w="1321" w:type="pct"/>
            <w:tcBorders>
              <w:top w:val="single" w:sz="6" w:space="0" w:color="000000"/>
              <w:left w:val="single" w:sz="6" w:space="0" w:color="000000"/>
              <w:bottom w:val="single" w:sz="6" w:space="0" w:color="000000"/>
              <w:right w:val="single" w:sz="6" w:space="0" w:color="000000"/>
            </w:tcBorders>
            <w:vAlign w:val="center"/>
            <w:hideMark/>
          </w:tcPr>
          <w:p w14:paraId="3DAE347B" w14:textId="77777777" w:rsidR="00BF1CA6" w:rsidRPr="008D2A17" w:rsidRDefault="00BF1CA6" w:rsidP="00822317">
            <w:pPr>
              <w:spacing w:before="60" w:after="60"/>
              <w:ind w:right="195"/>
              <w:jc w:val="center"/>
              <w:rPr>
                <w:rFonts w:ascii="inherit" w:hAnsi="inherit"/>
                <w:sz w:val="22"/>
                <w:lang w:val="en-GB"/>
              </w:rPr>
            </w:pPr>
            <w:r w:rsidRPr="008D2A17">
              <w:rPr>
                <w:rFonts w:ascii="inherit" w:hAnsi="inherit"/>
                <w:sz w:val="22"/>
                <w:szCs w:val="22"/>
                <w:lang w:val="en-GB"/>
              </w:rPr>
              <w:t>Union countries with military radiolocation systems below 3400 MHz</w:t>
            </w:r>
          </w:p>
        </w:tc>
        <w:tc>
          <w:tcPr>
            <w:tcW w:w="659" w:type="pct"/>
            <w:tcBorders>
              <w:top w:val="single" w:sz="6" w:space="0" w:color="000000"/>
              <w:left w:val="single" w:sz="6" w:space="0" w:color="000000"/>
              <w:bottom w:val="single" w:sz="6" w:space="0" w:color="000000"/>
              <w:right w:val="single" w:sz="6" w:space="0" w:color="000000"/>
            </w:tcBorders>
            <w:vAlign w:val="center"/>
            <w:hideMark/>
          </w:tcPr>
          <w:p w14:paraId="5F201D9C" w14:textId="77777777" w:rsidR="00BF1CA6" w:rsidRPr="008D2A17" w:rsidRDefault="00BF1CA6" w:rsidP="00822317">
            <w:pPr>
              <w:pStyle w:val="ti-tbl"/>
              <w:spacing w:before="60" w:beforeAutospacing="0" w:after="60" w:afterAutospacing="0"/>
              <w:jc w:val="center"/>
              <w:rPr>
                <w:rFonts w:ascii="inherit" w:hAnsi="inherit"/>
                <w:sz w:val="22"/>
                <w:lang w:val="en-GB"/>
              </w:rPr>
            </w:pPr>
            <w:r>
              <w:rPr>
                <w:rFonts w:ascii="inherit" w:hAnsi="inherit"/>
                <w:sz w:val="22"/>
                <w:szCs w:val="22"/>
                <w:lang w:val="en-GB"/>
              </w:rPr>
              <w:t>Additional baseline</w:t>
            </w:r>
          </w:p>
        </w:tc>
        <w:tc>
          <w:tcPr>
            <w:tcW w:w="806" w:type="pct"/>
            <w:tcBorders>
              <w:top w:val="single" w:sz="6" w:space="0" w:color="000000"/>
              <w:left w:val="single" w:sz="6" w:space="0" w:color="000000"/>
              <w:bottom w:val="single" w:sz="6" w:space="0" w:color="000000"/>
              <w:right w:val="single" w:sz="6" w:space="0" w:color="000000"/>
            </w:tcBorders>
            <w:vAlign w:val="center"/>
            <w:hideMark/>
          </w:tcPr>
          <w:p w14:paraId="6E1CDC16" w14:textId="77777777" w:rsidR="00BF1CA6" w:rsidRPr="008D2A17" w:rsidRDefault="00BF1CA6" w:rsidP="00822317">
            <w:pPr>
              <w:pStyle w:val="tbl-num"/>
              <w:spacing w:before="60" w:beforeAutospacing="0" w:after="60" w:afterAutospacing="0"/>
              <w:ind w:right="195"/>
              <w:jc w:val="center"/>
              <w:rPr>
                <w:rFonts w:ascii="inherit" w:hAnsi="inherit"/>
                <w:sz w:val="22"/>
                <w:szCs w:val="22"/>
                <w:lang w:val="en-GB"/>
              </w:rPr>
            </w:pPr>
            <w:r w:rsidRPr="008D2A17">
              <w:rPr>
                <w:rFonts w:ascii="inherit" w:hAnsi="inherit"/>
                <w:sz w:val="22"/>
                <w:szCs w:val="22"/>
                <w:lang w:val="en-GB"/>
              </w:rPr>
              <w:t>Below 3400 MHz (2)</w:t>
            </w:r>
          </w:p>
        </w:tc>
        <w:tc>
          <w:tcPr>
            <w:tcW w:w="1100" w:type="pct"/>
            <w:tcBorders>
              <w:top w:val="single" w:sz="6" w:space="0" w:color="000000"/>
              <w:left w:val="single" w:sz="6" w:space="0" w:color="000000"/>
              <w:bottom w:val="single" w:sz="6" w:space="0" w:color="000000"/>
              <w:right w:val="single" w:sz="6" w:space="0" w:color="000000"/>
            </w:tcBorders>
            <w:vAlign w:val="center"/>
            <w:hideMark/>
          </w:tcPr>
          <w:p w14:paraId="64341FD7" w14:textId="77777777" w:rsidR="00BF1CA6" w:rsidRPr="008D2A17" w:rsidRDefault="00BF1CA6" w:rsidP="00822317">
            <w:pPr>
              <w:pStyle w:val="tbl-txt"/>
              <w:spacing w:before="60" w:beforeAutospacing="0" w:after="60" w:afterAutospacing="0"/>
              <w:jc w:val="center"/>
              <w:rPr>
                <w:rFonts w:ascii="inherit" w:hAnsi="inherit"/>
                <w:sz w:val="22"/>
                <w:szCs w:val="22"/>
                <w:lang w:val="en-GB"/>
              </w:rPr>
            </w:pPr>
            <w:r w:rsidRPr="008D2A17">
              <w:rPr>
                <w:rFonts w:ascii="inherit" w:hAnsi="inherit"/>
                <w:sz w:val="22"/>
                <w:szCs w:val="22"/>
                <w:lang w:val="en-GB"/>
              </w:rPr>
              <w:t>– 59 dBm/MHz EIRP per antenna</w:t>
            </w:r>
          </w:p>
        </w:tc>
        <w:tc>
          <w:tcPr>
            <w:tcW w:w="959" w:type="pct"/>
            <w:tcBorders>
              <w:top w:val="single" w:sz="6" w:space="0" w:color="000000"/>
              <w:left w:val="single" w:sz="6" w:space="0" w:color="000000"/>
              <w:right w:val="single" w:sz="6" w:space="0" w:color="000000"/>
            </w:tcBorders>
            <w:vAlign w:val="center"/>
          </w:tcPr>
          <w:p w14:paraId="3EB67204" w14:textId="77777777" w:rsidR="00BF1CA6" w:rsidRPr="008D2A17" w:rsidRDefault="00BF1CA6" w:rsidP="00822317">
            <w:pPr>
              <w:pStyle w:val="tbl-txt"/>
              <w:spacing w:before="60" w:beforeAutospacing="0" w:after="60" w:afterAutospacing="0"/>
              <w:jc w:val="center"/>
              <w:rPr>
                <w:rFonts w:ascii="inherit" w:hAnsi="inherit"/>
                <w:sz w:val="22"/>
                <w:szCs w:val="22"/>
                <w:lang w:val="en-GB"/>
              </w:rPr>
            </w:pPr>
            <w:r w:rsidRPr="008D2A17">
              <w:rPr>
                <w:rFonts w:ascii="inherit" w:hAnsi="inherit"/>
                <w:sz w:val="22"/>
                <w:szCs w:val="22"/>
                <w:lang w:val="en-GB"/>
              </w:rPr>
              <w:t>-52 dBm/MHz TRP per cell (</w:t>
            </w:r>
            <w:r>
              <w:rPr>
                <w:rFonts w:ascii="inherit" w:hAnsi="inherit"/>
                <w:sz w:val="22"/>
                <w:szCs w:val="22"/>
                <w:lang w:val="en-GB"/>
              </w:rPr>
              <w:t>3</w:t>
            </w:r>
            <w:r w:rsidRPr="008D2A17">
              <w:rPr>
                <w:rFonts w:ascii="inherit" w:hAnsi="inherit"/>
                <w:sz w:val="22"/>
                <w:szCs w:val="22"/>
                <w:lang w:val="en-GB"/>
              </w:rPr>
              <w:t>)</w:t>
            </w:r>
          </w:p>
        </w:tc>
      </w:tr>
      <w:tr w:rsidR="00BF1CA6" w:rsidRPr="008D2A17" w14:paraId="4BCA3CC0" w14:textId="77777777" w:rsidTr="00822317">
        <w:trPr>
          <w:tblCellSpacing w:w="0" w:type="dxa"/>
        </w:trPr>
        <w:tc>
          <w:tcPr>
            <w:tcW w:w="155" w:type="pct"/>
            <w:tcBorders>
              <w:top w:val="single" w:sz="6" w:space="0" w:color="000000"/>
              <w:left w:val="single" w:sz="6" w:space="0" w:color="000000"/>
              <w:bottom w:val="single" w:sz="6" w:space="0" w:color="000000"/>
              <w:right w:val="single" w:sz="6" w:space="0" w:color="000000"/>
            </w:tcBorders>
            <w:vAlign w:val="center"/>
            <w:hideMark/>
          </w:tcPr>
          <w:p w14:paraId="6CFA6675" w14:textId="77777777" w:rsidR="00BF1CA6" w:rsidRPr="008D2A17" w:rsidRDefault="00BF1CA6" w:rsidP="00822317">
            <w:pPr>
              <w:pStyle w:val="tbl-txt"/>
              <w:spacing w:before="60" w:beforeAutospacing="0" w:after="60" w:afterAutospacing="0"/>
              <w:jc w:val="center"/>
              <w:rPr>
                <w:rFonts w:ascii="inherit" w:hAnsi="inherit"/>
                <w:sz w:val="22"/>
                <w:szCs w:val="22"/>
                <w:lang w:val="en-GB"/>
              </w:rPr>
            </w:pPr>
            <w:r w:rsidRPr="008D2A17">
              <w:rPr>
                <w:rFonts w:ascii="inherit" w:hAnsi="inherit"/>
                <w:sz w:val="22"/>
                <w:szCs w:val="22"/>
                <w:lang w:val="en-GB"/>
              </w:rPr>
              <w:t>B</w:t>
            </w:r>
          </w:p>
        </w:tc>
        <w:tc>
          <w:tcPr>
            <w:tcW w:w="1321" w:type="pct"/>
            <w:tcBorders>
              <w:top w:val="single" w:sz="6" w:space="0" w:color="000000"/>
              <w:left w:val="single" w:sz="6" w:space="0" w:color="000000"/>
              <w:bottom w:val="single" w:sz="6" w:space="0" w:color="000000"/>
              <w:right w:val="single" w:sz="6" w:space="0" w:color="000000"/>
            </w:tcBorders>
            <w:vAlign w:val="center"/>
            <w:hideMark/>
          </w:tcPr>
          <w:p w14:paraId="5D398313" w14:textId="77777777" w:rsidR="00BF1CA6" w:rsidRPr="008D2A17" w:rsidRDefault="00BF1CA6" w:rsidP="00822317">
            <w:pPr>
              <w:pStyle w:val="tbl-num"/>
              <w:spacing w:before="60" w:beforeAutospacing="0" w:after="60" w:afterAutospacing="0"/>
              <w:ind w:right="195"/>
              <w:jc w:val="center"/>
              <w:rPr>
                <w:rFonts w:ascii="inherit" w:hAnsi="inherit"/>
                <w:sz w:val="22"/>
                <w:szCs w:val="22"/>
                <w:lang w:val="en-GB"/>
              </w:rPr>
            </w:pPr>
            <w:r w:rsidRPr="008D2A17">
              <w:rPr>
                <w:rFonts w:ascii="inherit" w:hAnsi="inherit"/>
                <w:sz w:val="22"/>
                <w:szCs w:val="22"/>
                <w:lang w:val="en-GB"/>
              </w:rPr>
              <w:t>Union countries with military radiolocation systems below 3400 MHz</w:t>
            </w:r>
          </w:p>
        </w:tc>
        <w:tc>
          <w:tcPr>
            <w:tcW w:w="659" w:type="pct"/>
            <w:tcBorders>
              <w:top w:val="single" w:sz="6" w:space="0" w:color="000000"/>
              <w:left w:val="single" w:sz="6" w:space="0" w:color="000000"/>
              <w:bottom w:val="single" w:sz="6" w:space="0" w:color="000000"/>
              <w:right w:val="single" w:sz="6" w:space="0" w:color="000000"/>
            </w:tcBorders>
            <w:vAlign w:val="center"/>
            <w:hideMark/>
          </w:tcPr>
          <w:p w14:paraId="02665163" w14:textId="77777777" w:rsidR="00BF1CA6" w:rsidRPr="008D2A17" w:rsidRDefault="00BF1CA6" w:rsidP="00822317">
            <w:pPr>
              <w:pStyle w:val="tbl-txt"/>
              <w:spacing w:before="60" w:beforeAutospacing="0" w:after="60" w:afterAutospacing="0"/>
              <w:jc w:val="center"/>
              <w:rPr>
                <w:rFonts w:ascii="inherit" w:hAnsi="inherit"/>
                <w:sz w:val="22"/>
                <w:szCs w:val="22"/>
                <w:lang w:val="en-GB"/>
              </w:rPr>
            </w:pPr>
            <w:r>
              <w:rPr>
                <w:rFonts w:ascii="inherit" w:hAnsi="inherit"/>
                <w:sz w:val="22"/>
                <w:szCs w:val="22"/>
                <w:lang w:val="en-GB"/>
              </w:rPr>
              <w:t>Additional baseline</w:t>
            </w:r>
          </w:p>
        </w:tc>
        <w:tc>
          <w:tcPr>
            <w:tcW w:w="806" w:type="pct"/>
            <w:tcBorders>
              <w:top w:val="single" w:sz="6" w:space="0" w:color="000000"/>
              <w:left w:val="single" w:sz="6" w:space="0" w:color="000000"/>
              <w:bottom w:val="single" w:sz="6" w:space="0" w:color="000000"/>
              <w:right w:val="single" w:sz="6" w:space="0" w:color="000000"/>
            </w:tcBorders>
            <w:vAlign w:val="center"/>
            <w:hideMark/>
          </w:tcPr>
          <w:p w14:paraId="2A4D0281" w14:textId="77777777" w:rsidR="00BF1CA6" w:rsidRPr="008D2A17" w:rsidRDefault="00BF1CA6" w:rsidP="00822317">
            <w:pPr>
              <w:pStyle w:val="tbl-num"/>
              <w:spacing w:before="60" w:beforeAutospacing="0" w:after="60" w:afterAutospacing="0"/>
              <w:ind w:right="195"/>
              <w:jc w:val="center"/>
              <w:rPr>
                <w:rFonts w:ascii="inherit" w:hAnsi="inherit"/>
                <w:sz w:val="22"/>
                <w:szCs w:val="22"/>
                <w:lang w:val="en-GB"/>
              </w:rPr>
            </w:pPr>
            <w:r w:rsidRPr="008D2A17">
              <w:rPr>
                <w:rFonts w:ascii="inherit" w:hAnsi="inherit"/>
                <w:sz w:val="22"/>
                <w:szCs w:val="22"/>
                <w:lang w:val="en-GB"/>
              </w:rPr>
              <w:t>Below 3400 MHz (2)</w:t>
            </w:r>
          </w:p>
        </w:tc>
        <w:tc>
          <w:tcPr>
            <w:tcW w:w="1100" w:type="pct"/>
            <w:tcBorders>
              <w:top w:val="single" w:sz="6" w:space="0" w:color="000000"/>
              <w:left w:val="single" w:sz="6" w:space="0" w:color="000000"/>
              <w:bottom w:val="single" w:sz="6" w:space="0" w:color="000000"/>
              <w:right w:val="single" w:sz="6" w:space="0" w:color="000000"/>
            </w:tcBorders>
            <w:vAlign w:val="center"/>
            <w:hideMark/>
          </w:tcPr>
          <w:p w14:paraId="6765E9E7" w14:textId="77777777" w:rsidR="00BF1CA6" w:rsidRPr="008D2A17" w:rsidRDefault="00BF1CA6" w:rsidP="00822317">
            <w:pPr>
              <w:pStyle w:val="tbl-txt"/>
              <w:spacing w:before="60" w:beforeAutospacing="0" w:after="60" w:afterAutospacing="0"/>
              <w:jc w:val="center"/>
              <w:rPr>
                <w:rFonts w:ascii="inherit" w:hAnsi="inherit"/>
                <w:sz w:val="22"/>
                <w:szCs w:val="22"/>
                <w:lang w:val="en-GB"/>
              </w:rPr>
            </w:pPr>
            <w:r w:rsidRPr="008D2A17">
              <w:rPr>
                <w:rFonts w:ascii="inherit" w:hAnsi="inherit"/>
                <w:sz w:val="22"/>
                <w:szCs w:val="22"/>
                <w:lang w:val="en-GB"/>
              </w:rPr>
              <w:t>– 50 dBm/MHz EIRP</w:t>
            </w:r>
            <w:r w:rsidRPr="008D2A17">
              <w:rPr>
                <w:lang w:val="en-GB"/>
              </w:rPr>
              <w:t> </w:t>
            </w:r>
            <w:r w:rsidRPr="008D2A17">
              <w:rPr>
                <w:rFonts w:ascii="inherit" w:hAnsi="inherit"/>
                <w:sz w:val="22"/>
                <w:szCs w:val="22"/>
                <w:lang w:val="en-GB"/>
              </w:rPr>
              <w:t>per antenna</w:t>
            </w:r>
          </w:p>
        </w:tc>
        <w:tc>
          <w:tcPr>
            <w:tcW w:w="959" w:type="pct"/>
            <w:tcBorders>
              <w:left w:val="single" w:sz="6" w:space="0" w:color="000000"/>
              <w:bottom w:val="single" w:sz="6" w:space="0" w:color="000000"/>
              <w:right w:val="single" w:sz="6" w:space="0" w:color="000000"/>
            </w:tcBorders>
            <w:vAlign w:val="center"/>
          </w:tcPr>
          <w:p w14:paraId="4BCB27FF" w14:textId="77777777" w:rsidR="00BF1CA6" w:rsidRPr="008D2A17" w:rsidRDefault="00BF1CA6" w:rsidP="00822317">
            <w:pPr>
              <w:pStyle w:val="tbl-txt"/>
              <w:spacing w:before="60" w:beforeAutospacing="0" w:after="60" w:afterAutospacing="0"/>
              <w:jc w:val="center"/>
              <w:rPr>
                <w:rFonts w:ascii="inherit" w:hAnsi="inherit"/>
                <w:sz w:val="22"/>
                <w:szCs w:val="22"/>
                <w:lang w:val="en-GB"/>
              </w:rPr>
            </w:pPr>
            <w:r w:rsidRPr="008D2A17">
              <w:rPr>
                <w:rFonts w:ascii="inherit" w:hAnsi="inherit"/>
                <w:sz w:val="22"/>
                <w:szCs w:val="22"/>
                <w:lang w:val="en-GB"/>
              </w:rPr>
              <w:t>-52 dBm/MHz TRP per cell (</w:t>
            </w:r>
            <w:r>
              <w:rPr>
                <w:rFonts w:ascii="inherit" w:hAnsi="inherit"/>
                <w:sz w:val="22"/>
                <w:szCs w:val="22"/>
                <w:lang w:val="en-GB"/>
              </w:rPr>
              <w:t>3</w:t>
            </w:r>
            <w:r w:rsidRPr="008D2A17">
              <w:rPr>
                <w:rFonts w:ascii="inherit" w:hAnsi="inherit"/>
                <w:sz w:val="22"/>
                <w:szCs w:val="22"/>
                <w:lang w:val="en-GB"/>
              </w:rPr>
              <w:t>)</w:t>
            </w:r>
          </w:p>
        </w:tc>
      </w:tr>
      <w:tr w:rsidR="00BF1CA6" w:rsidRPr="008D2A17" w14:paraId="3CEF0FFA" w14:textId="77777777" w:rsidTr="00822317">
        <w:trPr>
          <w:tblCellSpacing w:w="0" w:type="dxa"/>
        </w:trPr>
        <w:tc>
          <w:tcPr>
            <w:tcW w:w="155" w:type="pct"/>
            <w:tcBorders>
              <w:top w:val="single" w:sz="6" w:space="0" w:color="000000"/>
              <w:left w:val="single" w:sz="6" w:space="0" w:color="000000"/>
              <w:bottom w:val="single" w:sz="6" w:space="0" w:color="000000"/>
              <w:right w:val="single" w:sz="6" w:space="0" w:color="000000"/>
            </w:tcBorders>
            <w:vAlign w:val="center"/>
            <w:hideMark/>
          </w:tcPr>
          <w:p w14:paraId="288966CC" w14:textId="77777777" w:rsidR="00BF1CA6" w:rsidRPr="008D2A17" w:rsidRDefault="00BF1CA6" w:rsidP="00822317">
            <w:pPr>
              <w:pStyle w:val="tbl-txt"/>
              <w:spacing w:before="60" w:beforeAutospacing="0" w:after="60" w:afterAutospacing="0"/>
              <w:jc w:val="center"/>
              <w:rPr>
                <w:rFonts w:ascii="inherit" w:hAnsi="inherit"/>
                <w:sz w:val="22"/>
                <w:szCs w:val="22"/>
                <w:lang w:val="en-GB"/>
              </w:rPr>
            </w:pPr>
            <w:r w:rsidRPr="008D2A17">
              <w:rPr>
                <w:rFonts w:ascii="inherit" w:hAnsi="inherit"/>
                <w:sz w:val="22"/>
                <w:szCs w:val="22"/>
                <w:lang w:val="en-GB"/>
              </w:rPr>
              <w:t>C</w:t>
            </w:r>
          </w:p>
        </w:tc>
        <w:tc>
          <w:tcPr>
            <w:tcW w:w="1321" w:type="pct"/>
            <w:tcBorders>
              <w:top w:val="single" w:sz="6" w:space="0" w:color="000000"/>
              <w:left w:val="single" w:sz="6" w:space="0" w:color="000000"/>
              <w:bottom w:val="single" w:sz="6" w:space="0" w:color="000000"/>
              <w:right w:val="single" w:sz="6" w:space="0" w:color="000000"/>
            </w:tcBorders>
            <w:vAlign w:val="center"/>
            <w:hideMark/>
          </w:tcPr>
          <w:p w14:paraId="3A3959CE" w14:textId="77777777" w:rsidR="00BF1CA6" w:rsidRPr="008D2A17" w:rsidRDefault="00BF1CA6" w:rsidP="00822317">
            <w:pPr>
              <w:pStyle w:val="tbl-txt"/>
              <w:spacing w:before="60" w:beforeAutospacing="0" w:after="60" w:afterAutospacing="0"/>
              <w:jc w:val="center"/>
              <w:rPr>
                <w:rFonts w:ascii="inherit" w:hAnsi="inherit"/>
                <w:sz w:val="22"/>
                <w:szCs w:val="22"/>
                <w:lang w:val="en-GB"/>
              </w:rPr>
            </w:pPr>
            <w:r w:rsidRPr="008D2A17">
              <w:rPr>
                <w:rFonts w:ascii="inherit" w:hAnsi="inherit"/>
                <w:sz w:val="22"/>
                <w:szCs w:val="22"/>
                <w:lang w:val="en-GB"/>
              </w:rPr>
              <w:t>Union countries without adjacent band usage or with usage that does not need extra protection</w:t>
            </w:r>
          </w:p>
        </w:tc>
        <w:tc>
          <w:tcPr>
            <w:tcW w:w="659" w:type="pct"/>
            <w:tcBorders>
              <w:top w:val="single" w:sz="6" w:space="0" w:color="000000"/>
              <w:left w:val="single" w:sz="6" w:space="0" w:color="000000"/>
              <w:bottom w:val="single" w:sz="6" w:space="0" w:color="000000"/>
              <w:right w:val="single" w:sz="6" w:space="0" w:color="000000"/>
            </w:tcBorders>
            <w:vAlign w:val="center"/>
            <w:hideMark/>
          </w:tcPr>
          <w:p w14:paraId="4537086E" w14:textId="77777777" w:rsidR="00BF1CA6" w:rsidRPr="008D2A17" w:rsidRDefault="00BF1CA6" w:rsidP="00822317">
            <w:pPr>
              <w:pStyle w:val="tbl-txt"/>
              <w:spacing w:before="60" w:beforeAutospacing="0" w:after="60" w:afterAutospacing="0"/>
              <w:jc w:val="center"/>
              <w:rPr>
                <w:rFonts w:ascii="inherit" w:hAnsi="inherit"/>
                <w:sz w:val="22"/>
                <w:szCs w:val="22"/>
                <w:lang w:val="en-GB"/>
              </w:rPr>
            </w:pPr>
            <w:r>
              <w:rPr>
                <w:rFonts w:ascii="inherit" w:hAnsi="inherit"/>
                <w:sz w:val="22"/>
                <w:szCs w:val="22"/>
                <w:lang w:val="en-GB"/>
              </w:rPr>
              <w:t>Additional baseline</w:t>
            </w:r>
          </w:p>
        </w:tc>
        <w:tc>
          <w:tcPr>
            <w:tcW w:w="806" w:type="pct"/>
            <w:tcBorders>
              <w:top w:val="single" w:sz="6" w:space="0" w:color="000000"/>
              <w:left w:val="single" w:sz="6" w:space="0" w:color="000000"/>
              <w:bottom w:val="single" w:sz="6" w:space="0" w:color="000000"/>
              <w:right w:val="single" w:sz="6" w:space="0" w:color="000000"/>
            </w:tcBorders>
            <w:vAlign w:val="center"/>
            <w:hideMark/>
          </w:tcPr>
          <w:p w14:paraId="6B4B4092" w14:textId="77777777" w:rsidR="00BF1CA6" w:rsidRPr="008D2A17" w:rsidRDefault="00BF1CA6" w:rsidP="00822317">
            <w:pPr>
              <w:spacing w:before="60" w:after="60"/>
              <w:ind w:right="195"/>
              <w:jc w:val="center"/>
              <w:rPr>
                <w:rFonts w:ascii="inherit" w:hAnsi="inherit"/>
                <w:sz w:val="22"/>
                <w:lang w:val="en-GB"/>
              </w:rPr>
            </w:pPr>
            <w:r w:rsidRPr="008D2A17">
              <w:rPr>
                <w:rFonts w:ascii="inherit" w:hAnsi="inherit"/>
                <w:sz w:val="22"/>
                <w:szCs w:val="22"/>
                <w:lang w:val="en-GB"/>
              </w:rPr>
              <w:t xml:space="preserve">Below 3400 MHz </w:t>
            </w:r>
          </w:p>
        </w:tc>
        <w:tc>
          <w:tcPr>
            <w:tcW w:w="1100" w:type="pct"/>
            <w:tcBorders>
              <w:top w:val="single" w:sz="6" w:space="0" w:color="000000"/>
              <w:left w:val="single" w:sz="6" w:space="0" w:color="000000"/>
              <w:bottom w:val="single" w:sz="6" w:space="0" w:color="000000"/>
              <w:right w:val="single" w:sz="6" w:space="0" w:color="000000"/>
            </w:tcBorders>
            <w:vAlign w:val="center"/>
            <w:hideMark/>
          </w:tcPr>
          <w:p w14:paraId="40F90E5C" w14:textId="77777777" w:rsidR="00BF1CA6" w:rsidRPr="008D2A17" w:rsidRDefault="00BF1CA6" w:rsidP="00822317">
            <w:pPr>
              <w:pStyle w:val="tbl-txt"/>
              <w:spacing w:before="60" w:beforeAutospacing="0" w:after="60" w:afterAutospacing="0"/>
              <w:jc w:val="center"/>
              <w:rPr>
                <w:rFonts w:ascii="inherit" w:hAnsi="inherit"/>
                <w:sz w:val="22"/>
                <w:szCs w:val="22"/>
                <w:lang w:val="en-GB"/>
              </w:rPr>
            </w:pPr>
            <w:r w:rsidRPr="008D2A17">
              <w:rPr>
                <w:rFonts w:ascii="inherit" w:hAnsi="inherit"/>
                <w:sz w:val="22"/>
                <w:szCs w:val="22"/>
                <w:lang w:val="en-GB"/>
              </w:rPr>
              <w:t>Not applicable</w:t>
            </w:r>
          </w:p>
        </w:tc>
        <w:tc>
          <w:tcPr>
            <w:tcW w:w="959" w:type="pct"/>
            <w:tcBorders>
              <w:top w:val="single" w:sz="6" w:space="0" w:color="000000"/>
              <w:left w:val="single" w:sz="6" w:space="0" w:color="000000"/>
              <w:bottom w:val="single" w:sz="6" w:space="0" w:color="000000"/>
              <w:right w:val="single" w:sz="6" w:space="0" w:color="000000"/>
            </w:tcBorders>
            <w:vAlign w:val="center"/>
          </w:tcPr>
          <w:p w14:paraId="2DA8B9DD" w14:textId="77777777" w:rsidR="00BF1CA6" w:rsidRPr="008D2A17" w:rsidRDefault="00BF1CA6" w:rsidP="00822317">
            <w:pPr>
              <w:pStyle w:val="tbl-txt"/>
              <w:spacing w:before="60" w:beforeAutospacing="0" w:after="60" w:afterAutospacing="0"/>
              <w:jc w:val="center"/>
              <w:rPr>
                <w:rFonts w:ascii="inherit" w:hAnsi="inherit"/>
                <w:sz w:val="22"/>
                <w:szCs w:val="22"/>
                <w:lang w:val="en-GB"/>
              </w:rPr>
            </w:pPr>
            <w:r w:rsidRPr="008D2A17">
              <w:rPr>
                <w:rFonts w:ascii="inherit" w:hAnsi="inherit"/>
                <w:sz w:val="22"/>
                <w:szCs w:val="22"/>
                <w:lang w:val="en-GB"/>
              </w:rPr>
              <w:t>Not applicable</w:t>
            </w:r>
          </w:p>
        </w:tc>
      </w:tr>
    </w:tbl>
    <w:p w14:paraId="7B083B54" w14:textId="77777777" w:rsidR="00BF1CA6" w:rsidRDefault="00BF1CA6" w:rsidP="00C653AD">
      <w:pPr>
        <w:pStyle w:val="ECCParagraph"/>
        <w:rPr>
          <w:rStyle w:val="ECCHLcyan"/>
          <w:shd w:val="clear" w:color="auto" w:fill="auto"/>
        </w:rPr>
      </w:pPr>
    </w:p>
    <w:p w14:paraId="344B70E5" w14:textId="79288537" w:rsidR="00BF1CA6" w:rsidRPr="008D2A17" w:rsidRDefault="00BF1CA6" w:rsidP="005B1F22">
      <w:pPr>
        <w:pStyle w:val="ti-annotation"/>
        <w:spacing w:before="0" w:beforeAutospacing="0" w:after="60" w:afterAutospacing="0"/>
        <w:rPr>
          <w:sz w:val="16"/>
          <w:lang w:val="en-GB"/>
        </w:rPr>
      </w:pPr>
      <w:r w:rsidRPr="004D2941">
        <w:rPr>
          <w:sz w:val="16"/>
          <w:lang w:val="en-GB"/>
        </w:rPr>
        <w:t>(1</w:t>
      </w:r>
      <w:r>
        <w:rPr>
          <w:sz w:val="16"/>
          <w:lang w:val="en-GB"/>
        </w:rPr>
        <w:t xml:space="preserve">) </w:t>
      </w:r>
      <w:r w:rsidRPr="008D2A17">
        <w:rPr>
          <w:sz w:val="16"/>
          <w:lang w:val="en-GB"/>
        </w:rPr>
        <w:t>Alternative measures may be required on a case by case basis for indoor AAS BSs on a national basis.</w:t>
      </w:r>
    </w:p>
    <w:p w14:paraId="509589A0" w14:textId="794B1FDC" w:rsidR="008978B9" w:rsidRPr="00FA5407" w:rsidRDefault="008978B9" w:rsidP="005B1F22">
      <w:pPr>
        <w:pStyle w:val="ti-annotation"/>
        <w:spacing w:before="0" w:beforeAutospacing="0" w:after="60" w:afterAutospacing="0"/>
        <w:rPr>
          <w:sz w:val="16"/>
          <w:lang w:val="en-GB"/>
        </w:rPr>
      </w:pPr>
      <w:r w:rsidRPr="00304FE5">
        <w:rPr>
          <w:sz w:val="16"/>
          <w:lang w:val="en-GB"/>
        </w:rPr>
        <w:t>(</w:t>
      </w:r>
      <w:r w:rsidRPr="00FA5407">
        <w:rPr>
          <w:sz w:val="16"/>
          <w:lang w:val="en-GB"/>
        </w:rPr>
        <w:t xml:space="preserve">2) </w:t>
      </w:r>
      <w:r w:rsidR="00D93BD7" w:rsidRPr="0040197F">
        <w:rPr>
          <w:sz w:val="16"/>
          <w:lang w:val="en-GB"/>
        </w:rPr>
        <w:t>In cases where Member States have already implemented a guard band when issuing licences for terrestrial systems capable of providing ECS before the adoption of this Implementing Decision and in accordance with Commission Decision 2008/411/EC as amended by Commission Implementing Decision 2014/276/EU, these Member States may apply the additional baseline only below such guard band, provided it complies with the protection of radars in the adjacent band and with cross-border obligations.</w:t>
      </w:r>
    </w:p>
    <w:p w14:paraId="3C58C35C" w14:textId="3634D7E2" w:rsidR="00BF1CA6" w:rsidRPr="00E80CEC" w:rsidRDefault="008978B9" w:rsidP="008978B9">
      <w:pPr>
        <w:pStyle w:val="ti-annotation"/>
        <w:spacing w:before="0" w:beforeAutospacing="0" w:after="0" w:afterAutospacing="0"/>
        <w:rPr>
          <w:sz w:val="16"/>
          <w:lang w:val="en-GB"/>
        </w:rPr>
      </w:pPr>
      <w:r w:rsidRPr="00492E41">
        <w:rPr>
          <w:sz w:val="16"/>
          <w:lang w:val="en-GB"/>
        </w:rPr>
        <w:t xml:space="preserve"> </w:t>
      </w:r>
      <w:r w:rsidR="00BF1CA6" w:rsidRPr="00E80CEC">
        <w:rPr>
          <w:sz w:val="16"/>
          <w:lang w:val="en-GB"/>
        </w:rPr>
        <w:t xml:space="preserve">(3) In a multi-sector base station, the radiated power limit </w:t>
      </w:r>
      <w:r w:rsidR="00A47409" w:rsidRPr="00E80CEC">
        <w:rPr>
          <w:sz w:val="16"/>
          <w:lang w:val="en-GB"/>
        </w:rPr>
        <w:t>applies</w:t>
      </w:r>
      <w:r w:rsidR="00BF1CA6" w:rsidRPr="00E80CEC">
        <w:rPr>
          <w:sz w:val="16"/>
          <w:lang w:val="en-GB"/>
        </w:rPr>
        <w:t xml:space="preserve"> to each one of the individual sectors</w:t>
      </w:r>
    </w:p>
    <w:p w14:paraId="7FFA2D53" w14:textId="64040CD5" w:rsidR="00405D91" w:rsidRPr="00FA5407" w:rsidRDefault="00405D91" w:rsidP="00405D91">
      <w:pPr>
        <w:pStyle w:val="Normal1"/>
        <w:spacing w:before="120"/>
        <w:jc w:val="both"/>
        <w:rPr>
          <w:rFonts w:ascii="inherit" w:hAnsi="inherit"/>
          <w:color w:val="000000"/>
          <w:lang w:val="en-GB"/>
        </w:rPr>
      </w:pPr>
      <w:r w:rsidRPr="00FA5407">
        <w:rPr>
          <w:rFonts w:ascii="inherit" w:hAnsi="inherit"/>
          <w:color w:val="000000"/>
          <w:lang w:val="en-GB"/>
        </w:rPr>
        <w:lastRenderedPageBreak/>
        <w:t xml:space="preserve">The additional baseline limit </w:t>
      </w:r>
      <w:r w:rsidR="00742779" w:rsidRPr="00FA5407">
        <w:rPr>
          <w:rFonts w:ascii="inherit" w:hAnsi="inherit"/>
          <w:color w:val="000000"/>
          <w:lang w:val="en-GB"/>
        </w:rPr>
        <w:t xml:space="preserve">reflects the need for protection for military radiolocation in some countries. EU Member States may select the limits from case A or B for non AAS depending on the level of protection required for the radar in the region in question. </w:t>
      </w:r>
    </w:p>
    <w:p w14:paraId="51F9FC55" w14:textId="28AC4915" w:rsidR="00BB7F33" w:rsidRPr="008D2A17" w:rsidRDefault="00FC6C99" w:rsidP="00BB7F33">
      <w:pPr>
        <w:pStyle w:val="Normal1"/>
        <w:spacing w:before="120"/>
        <w:jc w:val="both"/>
        <w:rPr>
          <w:rFonts w:ascii="inherit" w:hAnsi="inherit"/>
          <w:color w:val="000000"/>
          <w:lang w:val="en-GB"/>
        </w:rPr>
      </w:pPr>
      <w:r w:rsidRPr="00FA5407">
        <w:rPr>
          <w:rFonts w:ascii="inherit" w:hAnsi="inherit"/>
          <w:color w:val="000000"/>
          <w:lang w:val="en-GB"/>
        </w:rPr>
        <w:t>A</w:t>
      </w:r>
      <w:r w:rsidR="00405D91" w:rsidRPr="00FA5407">
        <w:rPr>
          <w:rFonts w:ascii="inherit" w:hAnsi="inherit"/>
          <w:color w:val="000000"/>
          <w:lang w:val="en-GB"/>
        </w:rPr>
        <w:t xml:space="preserve"> coordination zone of up to 12 km around fixed terrestrial radars, based on </w:t>
      </w:r>
      <w:proofErr w:type="gramStart"/>
      <w:r w:rsidR="00405D91" w:rsidRPr="00FA5407">
        <w:rPr>
          <w:rFonts w:ascii="inherit" w:hAnsi="inherit"/>
          <w:color w:val="000000"/>
          <w:lang w:val="en-GB"/>
        </w:rPr>
        <w:t>a</w:t>
      </w:r>
      <w:proofErr w:type="gramEnd"/>
      <w:r w:rsidR="00405D91" w:rsidRPr="00FA5407">
        <w:rPr>
          <w:rFonts w:ascii="inherit" w:hAnsi="inherit"/>
          <w:color w:val="000000"/>
          <w:lang w:val="en-GB"/>
        </w:rPr>
        <w:t xml:space="preserve"> AAS </w:t>
      </w:r>
      <w:r w:rsidR="007F1AB6" w:rsidRPr="00FA5407">
        <w:rPr>
          <w:rFonts w:ascii="inherit" w:hAnsi="inherit"/>
          <w:color w:val="000000"/>
          <w:lang w:val="en-GB"/>
        </w:rPr>
        <w:t>TRP</w:t>
      </w:r>
      <w:r w:rsidR="00405D91" w:rsidRPr="00FA5407">
        <w:rPr>
          <w:rFonts w:ascii="inherit" w:hAnsi="inherit"/>
          <w:color w:val="000000"/>
          <w:lang w:val="en-GB"/>
        </w:rPr>
        <w:t xml:space="preserve"> limit of </w:t>
      </w:r>
      <w:r w:rsidR="007E17B1" w:rsidRPr="00FA5407">
        <w:rPr>
          <w:color w:val="000000"/>
          <w:lang w:val="en-GB"/>
        </w:rPr>
        <w:t>−</w:t>
      </w:r>
      <w:r w:rsidR="00405D91" w:rsidRPr="00FA5407">
        <w:rPr>
          <w:rFonts w:ascii="inherit" w:hAnsi="inherit"/>
          <w:color w:val="000000"/>
          <w:lang w:val="en-GB"/>
        </w:rPr>
        <w:t>52 dBm/MHz per cell, may be required. Such coordination is the responsibility of the relevant</w:t>
      </w:r>
      <w:r w:rsidR="00480C95" w:rsidRPr="00FA5407">
        <w:rPr>
          <w:rFonts w:ascii="inherit" w:hAnsi="inherit"/>
          <w:color w:val="000000"/>
          <w:lang w:val="en-GB"/>
        </w:rPr>
        <w:t xml:space="preserve"> Member State</w:t>
      </w:r>
      <w:r w:rsidR="00405D91" w:rsidRPr="00FA5407">
        <w:rPr>
          <w:rFonts w:ascii="inherit" w:hAnsi="inherit"/>
          <w:color w:val="000000"/>
          <w:lang w:val="en-GB"/>
        </w:rPr>
        <w:t>.</w:t>
      </w:r>
      <w:r w:rsidR="00BB7F33" w:rsidRPr="00FA5407">
        <w:rPr>
          <w:rFonts w:ascii="inherit" w:hAnsi="inherit"/>
          <w:color w:val="000000"/>
          <w:lang w:val="en-GB"/>
        </w:rPr>
        <w:t xml:space="preserve"> Other mitigation measures like geographical separation, in-block power limit, or an additional guard band may be necessary.</w:t>
      </w:r>
      <w:r w:rsidR="00BB7F33" w:rsidRPr="008D2A17">
        <w:rPr>
          <w:rFonts w:ascii="inherit" w:hAnsi="inherit"/>
          <w:color w:val="000000"/>
          <w:lang w:val="en-GB"/>
        </w:rPr>
        <w:t xml:space="preserve"> </w:t>
      </w:r>
    </w:p>
    <w:p w14:paraId="749337B2" w14:textId="6C14F8E8" w:rsidR="00405D91" w:rsidRPr="008D2A17" w:rsidRDefault="00405D91" w:rsidP="00405D91">
      <w:pPr>
        <w:pStyle w:val="Normal1"/>
        <w:spacing w:before="120"/>
        <w:jc w:val="both"/>
        <w:rPr>
          <w:rFonts w:ascii="inherit" w:hAnsi="inherit"/>
          <w:color w:val="000000"/>
          <w:lang w:val="en-GB"/>
        </w:rPr>
      </w:pPr>
      <w:r w:rsidRPr="008D2A17">
        <w:rPr>
          <w:rFonts w:ascii="inherit" w:hAnsi="inherit"/>
          <w:color w:val="000000"/>
          <w:lang w:val="en-GB"/>
        </w:rPr>
        <w:t xml:space="preserve">In case of </w:t>
      </w:r>
      <w:r w:rsidR="00854576">
        <w:rPr>
          <w:rFonts w:ascii="inherit" w:hAnsi="inherit"/>
          <w:color w:val="000000"/>
          <w:lang w:val="en-GB"/>
        </w:rPr>
        <w:t>indoor</w:t>
      </w:r>
      <w:r w:rsidRPr="008D2A17">
        <w:rPr>
          <w:rFonts w:ascii="inherit" w:hAnsi="inherit"/>
          <w:color w:val="000000"/>
          <w:lang w:val="en-GB"/>
        </w:rPr>
        <w:t xml:space="preserve"> deployments, </w:t>
      </w:r>
      <w:r w:rsidR="00640554">
        <w:rPr>
          <w:rFonts w:ascii="inherit" w:hAnsi="inherit"/>
          <w:color w:val="000000"/>
          <w:lang w:val="en-GB"/>
        </w:rPr>
        <w:t xml:space="preserve">Member States </w:t>
      </w:r>
      <w:r w:rsidR="00640554" w:rsidRPr="00640554">
        <w:rPr>
          <w:rFonts w:ascii="inherit" w:hAnsi="inherit"/>
          <w:color w:val="000000"/>
          <w:lang w:val="en-GB"/>
        </w:rPr>
        <w:t>may define a relaxed limit applying to specific implementation cases</w:t>
      </w:r>
      <w:r w:rsidRPr="008D2A17">
        <w:rPr>
          <w:rFonts w:ascii="inherit" w:hAnsi="inherit"/>
          <w:color w:val="000000"/>
          <w:lang w:val="en-GB"/>
        </w:rPr>
        <w:t xml:space="preserve">. </w:t>
      </w:r>
    </w:p>
    <w:p w14:paraId="6DAA1FBE" w14:textId="77777777" w:rsidR="00CC503E" w:rsidRPr="008D2A17" w:rsidRDefault="00CC503E" w:rsidP="00CC503E">
      <w:pPr>
        <w:pStyle w:val="ti-tbl"/>
        <w:spacing w:before="120" w:beforeAutospacing="0" w:after="120" w:afterAutospacing="0"/>
        <w:jc w:val="center"/>
        <w:rPr>
          <w:rStyle w:val="italic"/>
          <w:i/>
          <w:iCs/>
          <w:lang w:val="en-GB"/>
        </w:rPr>
      </w:pPr>
      <w:r w:rsidRPr="008D2A17">
        <w:rPr>
          <w:rStyle w:val="italic"/>
          <w:i/>
          <w:iCs/>
          <w:lang w:val="en-GB"/>
        </w:rPr>
        <w:t>Table 7</w:t>
      </w:r>
    </w:p>
    <w:p w14:paraId="3290B52F" w14:textId="77777777" w:rsidR="00CC503E" w:rsidRPr="00FC6C99" w:rsidRDefault="00CC503E" w:rsidP="00CC503E">
      <w:pPr>
        <w:pStyle w:val="ti-tbl"/>
        <w:spacing w:before="120" w:beforeAutospacing="0" w:after="120" w:afterAutospacing="0"/>
        <w:jc w:val="center"/>
        <w:rPr>
          <w:rFonts w:ascii="inherit" w:hAnsi="inherit"/>
          <w:b/>
          <w:color w:val="000000"/>
          <w:lang w:val="en-GB"/>
        </w:rPr>
      </w:pPr>
      <w:r w:rsidRPr="00FC6C99">
        <w:rPr>
          <w:rStyle w:val="bold"/>
          <w:rFonts w:ascii="inherit" w:hAnsi="inherit"/>
          <w:b/>
          <w:bCs/>
          <w:color w:val="000000"/>
          <w:lang w:val="en-GB"/>
        </w:rPr>
        <w:t xml:space="preserve">Base station additional baseline </w:t>
      </w:r>
      <w:r w:rsidRPr="00FC6C99">
        <w:rPr>
          <w:rStyle w:val="bold"/>
          <w:rFonts w:ascii="inherit" w:hAnsi="inherit"/>
          <w:b/>
          <w:color w:val="000000"/>
          <w:lang w:val="en-GB"/>
        </w:rPr>
        <w:t>power limits</w:t>
      </w:r>
      <w:r w:rsidRPr="00FC6C99">
        <w:rPr>
          <w:rStyle w:val="bold"/>
          <w:rFonts w:ascii="inherit" w:hAnsi="inherit"/>
          <w:b/>
          <w:bCs/>
          <w:color w:val="000000"/>
          <w:lang w:val="en-GB"/>
        </w:rPr>
        <w:t xml:space="preserve"> above 3800 MHz for </w:t>
      </w:r>
      <w:r w:rsidRPr="00FC6C99">
        <w:rPr>
          <w:rStyle w:val="bold"/>
          <w:rFonts w:ascii="inherit" w:hAnsi="inherit"/>
          <w:b/>
          <w:color w:val="000000"/>
          <w:lang w:val="en-GB"/>
        </w:rPr>
        <w:t>coexistence with FSS</w:t>
      </w:r>
      <w:r w:rsidRPr="00FC6C99">
        <w:rPr>
          <w:rStyle w:val="bold"/>
          <w:rFonts w:ascii="inherit" w:hAnsi="inherit"/>
          <w:b/>
          <w:bCs/>
          <w:color w:val="000000"/>
          <w:lang w:val="en-GB"/>
        </w:rPr>
        <w:t>/</w:t>
      </w:r>
      <w:r w:rsidRPr="00FC6C99">
        <w:rPr>
          <w:rStyle w:val="bold"/>
          <w:rFonts w:ascii="inherit" w:hAnsi="inherit"/>
          <w:b/>
          <w:color w:val="000000"/>
          <w:lang w:val="en-GB"/>
        </w:rPr>
        <w:t>FS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49"/>
        <w:gridCol w:w="1845"/>
        <w:gridCol w:w="3258"/>
        <w:gridCol w:w="3417"/>
      </w:tblGrid>
      <w:tr w:rsidR="00BF1CA6" w:rsidRPr="008D2A17" w14:paraId="5EE8BC08" w14:textId="77777777" w:rsidTr="00822317">
        <w:trPr>
          <w:tblCellSpacing w:w="0" w:type="dxa"/>
        </w:trPr>
        <w:tc>
          <w:tcPr>
            <w:tcW w:w="594" w:type="pct"/>
            <w:tcBorders>
              <w:top w:val="single" w:sz="6" w:space="0" w:color="000000"/>
              <w:left w:val="single" w:sz="6" w:space="0" w:color="000000"/>
              <w:bottom w:val="single" w:sz="6" w:space="0" w:color="000000"/>
              <w:right w:val="single" w:sz="6" w:space="0" w:color="000000"/>
            </w:tcBorders>
            <w:vAlign w:val="center"/>
            <w:hideMark/>
          </w:tcPr>
          <w:p w14:paraId="00B9DEED" w14:textId="77777777" w:rsidR="00BF1CA6" w:rsidRPr="008D2A17" w:rsidRDefault="00BF1CA6" w:rsidP="00822317">
            <w:pPr>
              <w:ind w:right="195"/>
              <w:jc w:val="center"/>
              <w:rPr>
                <w:rFonts w:ascii="inherit" w:hAnsi="inherit"/>
                <w:b/>
                <w:sz w:val="22"/>
                <w:lang w:val="en-GB"/>
              </w:rPr>
            </w:pPr>
            <w:r w:rsidRPr="008D2A17">
              <w:rPr>
                <w:rFonts w:ascii="inherit" w:hAnsi="inherit"/>
                <w:b/>
                <w:sz w:val="22"/>
                <w:lang w:val="en-GB"/>
              </w:rPr>
              <w:t>BEM element</w:t>
            </w:r>
          </w:p>
        </w:tc>
        <w:tc>
          <w:tcPr>
            <w:tcW w:w="954" w:type="pct"/>
            <w:tcBorders>
              <w:top w:val="single" w:sz="6" w:space="0" w:color="000000"/>
              <w:left w:val="single" w:sz="6" w:space="0" w:color="000000"/>
              <w:bottom w:val="single" w:sz="6" w:space="0" w:color="000000"/>
              <w:right w:val="single" w:sz="6" w:space="0" w:color="000000"/>
            </w:tcBorders>
            <w:vAlign w:val="center"/>
            <w:hideMark/>
          </w:tcPr>
          <w:p w14:paraId="75A9D4E1" w14:textId="77777777" w:rsidR="00BF1CA6" w:rsidRPr="008D2A17" w:rsidRDefault="00BF1CA6" w:rsidP="00822317">
            <w:pPr>
              <w:ind w:right="195"/>
              <w:jc w:val="center"/>
              <w:rPr>
                <w:rFonts w:ascii="inherit" w:hAnsi="inherit"/>
                <w:b/>
                <w:sz w:val="22"/>
                <w:lang w:val="en-GB"/>
              </w:rPr>
            </w:pPr>
            <w:r w:rsidRPr="008D2A17">
              <w:rPr>
                <w:rFonts w:ascii="inherit" w:hAnsi="inherit"/>
                <w:b/>
                <w:sz w:val="22"/>
                <w:lang w:val="en-GB"/>
              </w:rPr>
              <w:t>Frequency range</w:t>
            </w:r>
          </w:p>
        </w:tc>
        <w:tc>
          <w:tcPr>
            <w:tcW w:w="1685" w:type="pct"/>
            <w:tcBorders>
              <w:top w:val="single" w:sz="6" w:space="0" w:color="000000"/>
              <w:left w:val="single" w:sz="6" w:space="0" w:color="000000"/>
              <w:bottom w:val="single" w:sz="6" w:space="0" w:color="000000"/>
              <w:right w:val="single" w:sz="6" w:space="0" w:color="000000"/>
            </w:tcBorders>
            <w:vAlign w:val="center"/>
            <w:hideMark/>
          </w:tcPr>
          <w:p w14:paraId="0F58B115" w14:textId="77777777" w:rsidR="00BF1CA6" w:rsidRPr="00FC6C99" w:rsidRDefault="00BF1CA6" w:rsidP="00822317">
            <w:pPr>
              <w:pStyle w:val="tbl-hdr"/>
              <w:spacing w:before="60" w:beforeAutospacing="0" w:after="60" w:afterAutospacing="0"/>
              <w:ind w:right="195"/>
              <w:jc w:val="center"/>
              <w:rPr>
                <w:rFonts w:ascii="inherit" w:hAnsi="inherit"/>
                <w:b/>
                <w:bCs/>
                <w:sz w:val="22"/>
                <w:szCs w:val="22"/>
                <w:lang w:val="en-GB"/>
              </w:rPr>
            </w:pPr>
            <w:r w:rsidRPr="00FC6C99">
              <w:rPr>
                <w:rFonts w:ascii="inherit" w:hAnsi="inherit"/>
                <w:b/>
                <w:bCs/>
                <w:sz w:val="22"/>
                <w:szCs w:val="22"/>
                <w:lang w:val="en-GB"/>
              </w:rPr>
              <w:t xml:space="preserve">Non-AAS </w:t>
            </w:r>
            <w:r w:rsidRPr="00FC6C99">
              <w:rPr>
                <w:b/>
                <w:lang w:val="en-GB"/>
              </w:rPr>
              <w:t>e.i.r.p. limit per antenna</w:t>
            </w:r>
          </w:p>
        </w:tc>
        <w:tc>
          <w:tcPr>
            <w:tcW w:w="1767" w:type="pct"/>
            <w:tcBorders>
              <w:top w:val="single" w:sz="6" w:space="0" w:color="000000"/>
              <w:left w:val="single" w:sz="6" w:space="0" w:color="000000"/>
              <w:bottom w:val="single" w:sz="6" w:space="0" w:color="000000"/>
              <w:right w:val="single" w:sz="6" w:space="0" w:color="000000"/>
            </w:tcBorders>
            <w:vAlign w:val="center"/>
          </w:tcPr>
          <w:p w14:paraId="588E1C83" w14:textId="77777777" w:rsidR="00BF1CA6" w:rsidRPr="00FC6C99" w:rsidRDefault="00BF1CA6" w:rsidP="00822317">
            <w:pPr>
              <w:pStyle w:val="tbl-hdr"/>
              <w:spacing w:before="60" w:beforeAutospacing="0" w:after="60" w:afterAutospacing="0"/>
              <w:ind w:right="195"/>
              <w:jc w:val="center"/>
              <w:rPr>
                <w:rFonts w:ascii="inherit" w:hAnsi="inherit"/>
                <w:b/>
                <w:sz w:val="22"/>
                <w:lang w:val="en-GB"/>
              </w:rPr>
            </w:pPr>
            <w:r w:rsidRPr="00FC6C99">
              <w:rPr>
                <w:b/>
                <w:lang w:val="en-GB"/>
              </w:rPr>
              <w:t>AAS TRP limit</w:t>
            </w:r>
          </w:p>
        </w:tc>
      </w:tr>
      <w:tr w:rsidR="00BF1CA6" w:rsidRPr="008D2A17" w14:paraId="16519D1D" w14:textId="77777777" w:rsidTr="00822317">
        <w:trPr>
          <w:tblCellSpacing w:w="0" w:type="dxa"/>
        </w:trPr>
        <w:tc>
          <w:tcPr>
            <w:tcW w:w="594" w:type="pct"/>
            <w:vMerge w:val="restart"/>
            <w:tcBorders>
              <w:top w:val="single" w:sz="6" w:space="0" w:color="000000"/>
              <w:left w:val="single" w:sz="6" w:space="0" w:color="000000"/>
              <w:right w:val="single" w:sz="6" w:space="0" w:color="000000"/>
            </w:tcBorders>
            <w:vAlign w:val="center"/>
            <w:hideMark/>
          </w:tcPr>
          <w:p w14:paraId="21827512" w14:textId="77777777" w:rsidR="00BF1CA6" w:rsidRPr="008D2A17" w:rsidRDefault="00BF1CA6" w:rsidP="00822317">
            <w:pPr>
              <w:pStyle w:val="tbl-txt"/>
              <w:spacing w:before="60" w:beforeAutospacing="0" w:after="60" w:afterAutospacing="0"/>
              <w:jc w:val="center"/>
              <w:rPr>
                <w:rFonts w:ascii="inherit" w:hAnsi="inherit"/>
                <w:sz w:val="22"/>
                <w:lang w:val="en-GB"/>
              </w:rPr>
            </w:pPr>
            <w:r>
              <w:rPr>
                <w:rFonts w:ascii="inherit" w:hAnsi="inherit"/>
                <w:sz w:val="22"/>
                <w:lang w:val="en-GB"/>
              </w:rPr>
              <w:t>Additional baseline</w:t>
            </w:r>
          </w:p>
        </w:tc>
        <w:tc>
          <w:tcPr>
            <w:tcW w:w="954" w:type="pct"/>
            <w:tcBorders>
              <w:top w:val="single" w:sz="6" w:space="0" w:color="000000"/>
              <w:left w:val="single" w:sz="6" w:space="0" w:color="000000"/>
              <w:bottom w:val="single" w:sz="6" w:space="0" w:color="000000"/>
              <w:right w:val="single" w:sz="6" w:space="0" w:color="000000"/>
            </w:tcBorders>
            <w:vAlign w:val="center"/>
            <w:hideMark/>
          </w:tcPr>
          <w:p w14:paraId="24D1F82D" w14:textId="77777777" w:rsidR="00BF1CA6" w:rsidRPr="008D2A17" w:rsidRDefault="00BF1CA6" w:rsidP="00822317">
            <w:pPr>
              <w:pStyle w:val="tbl-txt"/>
              <w:spacing w:before="60" w:beforeAutospacing="0" w:after="60" w:afterAutospacing="0"/>
              <w:jc w:val="center"/>
              <w:rPr>
                <w:rFonts w:ascii="inherit" w:hAnsi="inherit"/>
                <w:sz w:val="22"/>
                <w:lang w:val="en-GB"/>
              </w:rPr>
            </w:pPr>
            <w:r w:rsidRPr="008D2A17">
              <w:rPr>
                <w:rFonts w:ascii="inherit" w:hAnsi="inherit"/>
                <w:sz w:val="22"/>
                <w:lang w:val="en-GB"/>
              </w:rPr>
              <w:t>3800-3805 MHz</w:t>
            </w:r>
          </w:p>
        </w:tc>
        <w:tc>
          <w:tcPr>
            <w:tcW w:w="1685" w:type="pct"/>
            <w:tcBorders>
              <w:top w:val="single" w:sz="6" w:space="0" w:color="000000"/>
              <w:left w:val="single" w:sz="6" w:space="0" w:color="000000"/>
              <w:bottom w:val="single" w:sz="6" w:space="0" w:color="000000"/>
              <w:right w:val="single" w:sz="6" w:space="0" w:color="000000"/>
            </w:tcBorders>
            <w:vAlign w:val="center"/>
            <w:hideMark/>
          </w:tcPr>
          <w:p w14:paraId="262A9883" w14:textId="77777777" w:rsidR="00BF1CA6" w:rsidRPr="008D2A17" w:rsidRDefault="00BF1CA6" w:rsidP="00822317">
            <w:pPr>
              <w:pStyle w:val="tbl-txt"/>
              <w:spacing w:before="60" w:beforeAutospacing="0" w:after="60" w:afterAutospacing="0"/>
              <w:jc w:val="center"/>
              <w:rPr>
                <w:rFonts w:ascii="inherit" w:hAnsi="inherit"/>
                <w:sz w:val="22"/>
                <w:szCs w:val="22"/>
                <w:lang w:val="en-GB"/>
              </w:rPr>
            </w:pPr>
            <w:r w:rsidRPr="008D2A17">
              <w:rPr>
                <w:rFonts w:ascii="inherit" w:hAnsi="inherit"/>
                <w:sz w:val="22"/>
                <w:szCs w:val="22"/>
                <w:lang w:val="en-GB"/>
              </w:rPr>
              <w:t>Min(</w:t>
            </w:r>
            <w:proofErr w:type="spellStart"/>
            <w:r w:rsidRPr="008D2A17">
              <w:rPr>
                <w:rFonts w:ascii="inherit" w:hAnsi="inherit"/>
                <w:sz w:val="22"/>
                <w:szCs w:val="22"/>
                <w:lang w:val="en-GB"/>
              </w:rPr>
              <w:t>P</w:t>
            </w:r>
            <w:r w:rsidRPr="008D2A17">
              <w:rPr>
                <w:rStyle w:val="sub"/>
                <w:rFonts w:ascii="inherit" w:hAnsi="inherit"/>
                <w:sz w:val="15"/>
                <w:szCs w:val="15"/>
                <w:vertAlign w:val="subscript"/>
                <w:lang w:val="en-GB"/>
              </w:rPr>
              <w:t>Max</w:t>
            </w:r>
            <w:proofErr w:type="spellEnd"/>
            <w:r w:rsidRPr="008D2A17">
              <w:rPr>
                <w:rFonts w:ascii="inherit" w:hAnsi="inherit"/>
                <w:sz w:val="22"/>
                <w:szCs w:val="22"/>
                <w:lang w:val="en-GB"/>
              </w:rPr>
              <w:t xml:space="preserve"> – 40, 21) dBm/(5 MHz) EIRP per antenna (1)</w:t>
            </w:r>
          </w:p>
        </w:tc>
        <w:tc>
          <w:tcPr>
            <w:tcW w:w="1767" w:type="pct"/>
            <w:tcBorders>
              <w:top w:val="single" w:sz="6" w:space="0" w:color="000000"/>
              <w:left w:val="single" w:sz="6" w:space="0" w:color="000000"/>
              <w:bottom w:val="single" w:sz="6" w:space="0" w:color="000000"/>
              <w:right w:val="single" w:sz="6" w:space="0" w:color="000000"/>
            </w:tcBorders>
            <w:vAlign w:val="center"/>
          </w:tcPr>
          <w:p w14:paraId="4B299BFA" w14:textId="77777777" w:rsidR="00BF1CA6" w:rsidRPr="008D2A17" w:rsidRDefault="00BF1CA6" w:rsidP="00822317">
            <w:pPr>
              <w:jc w:val="center"/>
              <w:rPr>
                <w:rFonts w:ascii="inherit" w:hAnsi="inherit"/>
                <w:sz w:val="22"/>
                <w:lang w:val="en-GB"/>
              </w:rPr>
            </w:pPr>
            <w:r w:rsidRPr="008D2A17">
              <w:rPr>
                <w:lang w:val="en-GB"/>
              </w:rPr>
              <w:t xml:space="preserve">Min(PMax'-40, 16) </w:t>
            </w:r>
            <w:r w:rsidRPr="008D2A17">
              <w:rPr>
                <w:rFonts w:ascii="inherit" w:hAnsi="inherit"/>
                <w:sz w:val="22"/>
                <w:szCs w:val="22"/>
                <w:lang w:val="en-GB" w:eastAsia="fr-FR"/>
              </w:rPr>
              <w:t xml:space="preserve">dBm/(5MHz) </w:t>
            </w:r>
            <w:r>
              <w:rPr>
                <w:rFonts w:ascii="inherit" w:hAnsi="inherit"/>
                <w:sz w:val="22"/>
                <w:szCs w:val="22"/>
                <w:lang w:val="en-GB" w:eastAsia="fr-FR"/>
              </w:rPr>
              <w:br/>
            </w:r>
            <w:r w:rsidRPr="008D2A17">
              <w:rPr>
                <w:rFonts w:ascii="inherit" w:hAnsi="inherit"/>
                <w:sz w:val="22"/>
                <w:szCs w:val="22"/>
                <w:lang w:val="en-GB" w:eastAsia="fr-FR"/>
              </w:rPr>
              <w:t>TRP per cell (2) (3)</w:t>
            </w:r>
          </w:p>
        </w:tc>
      </w:tr>
      <w:tr w:rsidR="00BF1CA6" w:rsidRPr="008D2A17" w14:paraId="4875FDA4" w14:textId="77777777" w:rsidTr="00822317">
        <w:trPr>
          <w:tblCellSpacing w:w="0" w:type="dxa"/>
        </w:trPr>
        <w:tc>
          <w:tcPr>
            <w:tcW w:w="594" w:type="pct"/>
            <w:vMerge/>
            <w:tcBorders>
              <w:left w:val="single" w:sz="6" w:space="0" w:color="000000"/>
              <w:right w:val="single" w:sz="6" w:space="0" w:color="000000"/>
            </w:tcBorders>
            <w:vAlign w:val="center"/>
            <w:hideMark/>
          </w:tcPr>
          <w:p w14:paraId="54052C76" w14:textId="77777777" w:rsidR="00BF1CA6" w:rsidRPr="008D2A17" w:rsidRDefault="00BF1CA6" w:rsidP="00822317">
            <w:pPr>
              <w:pStyle w:val="tbl-txt"/>
              <w:spacing w:before="60" w:beforeAutospacing="0" w:after="60" w:afterAutospacing="0"/>
              <w:jc w:val="center"/>
              <w:rPr>
                <w:rFonts w:ascii="inherit" w:hAnsi="inherit"/>
                <w:sz w:val="22"/>
                <w:lang w:val="en-GB"/>
              </w:rPr>
            </w:pPr>
          </w:p>
        </w:tc>
        <w:tc>
          <w:tcPr>
            <w:tcW w:w="954" w:type="pct"/>
            <w:tcBorders>
              <w:top w:val="single" w:sz="6" w:space="0" w:color="000000"/>
              <w:left w:val="single" w:sz="6" w:space="0" w:color="000000"/>
              <w:bottom w:val="single" w:sz="6" w:space="0" w:color="000000"/>
              <w:right w:val="single" w:sz="6" w:space="0" w:color="000000"/>
            </w:tcBorders>
            <w:vAlign w:val="center"/>
            <w:hideMark/>
          </w:tcPr>
          <w:p w14:paraId="65879D48" w14:textId="77777777" w:rsidR="00BF1CA6" w:rsidRPr="008D2A17" w:rsidRDefault="00BF1CA6" w:rsidP="00822317">
            <w:pPr>
              <w:pStyle w:val="tbl-txt"/>
              <w:spacing w:before="60" w:beforeAutospacing="0" w:after="60" w:afterAutospacing="0"/>
              <w:jc w:val="center"/>
              <w:rPr>
                <w:rFonts w:ascii="inherit" w:hAnsi="inherit"/>
                <w:sz w:val="22"/>
                <w:lang w:val="en-GB"/>
              </w:rPr>
            </w:pPr>
            <w:r w:rsidRPr="008D2A17">
              <w:rPr>
                <w:rFonts w:ascii="inherit" w:hAnsi="inherit"/>
                <w:sz w:val="22"/>
                <w:lang w:val="en-GB"/>
              </w:rPr>
              <w:t>3805-3810 MHz</w:t>
            </w:r>
          </w:p>
        </w:tc>
        <w:tc>
          <w:tcPr>
            <w:tcW w:w="1685" w:type="pct"/>
            <w:tcBorders>
              <w:top w:val="single" w:sz="6" w:space="0" w:color="000000"/>
              <w:left w:val="single" w:sz="6" w:space="0" w:color="000000"/>
              <w:bottom w:val="single" w:sz="6" w:space="0" w:color="000000"/>
              <w:right w:val="single" w:sz="6" w:space="0" w:color="000000"/>
            </w:tcBorders>
            <w:vAlign w:val="center"/>
            <w:hideMark/>
          </w:tcPr>
          <w:p w14:paraId="1EA9BB02" w14:textId="77777777" w:rsidR="00BF1CA6" w:rsidRPr="008D2A17" w:rsidRDefault="00BF1CA6" w:rsidP="00822317">
            <w:pPr>
              <w:pStyle w:val="tbl-txt"/>
              <w:spacing w:before="60" w:beforeAutospacing="0" w:after="60" w:afterAutospacing="0"/>
              <w:jc w:val="center"/>
              <w:rPr>
                <w:rFonts w:ascii="inherit" w:hAnsi="inherit"/>
                <w:sz w:val="22"/>
                <w:szCs w:val="22"/>
                <w:lang w:val="en-GB"/>
              </w:rPr>
            </w:pPr>
            <w:r w:rsidRPr="008D2A17">
              <w:rPr>
                <w:rFonts w:ascii="inherit" w:hAnsi="inherit"/>
                <w:sz w:val="22"/>
                <w:szCs w:val="22"/>
                <w:lang w:val="en-GB"/>
              </w:rPr>
              <w:t>Min(</w:t>
            </w:r>
            <w:proofErr w:type="spellStart"/>
            <w:r w:rsidRPr="008D2A17">
              <w:rPr>
                <w:rFonts w:ascii="inherit" w:hAnsi="inherit"/>
                <w:sz w:val="22"/>
                <w:szCs w:val="22"/>
                <w:lang w:val="en-GB"/>
              </w:rPr>
              <w:t>P</w:t>
            </w:r>
            <w:r w:rsidRPr="008D2A17">
              <w:rPr>
                <w:rStyle w:val="sub"/>
                <w:rFonts w:ascii="inherit" w:hAnsi="inherit"/>
                <w:sz w:val="15"/>
                <w:szCs w:val="15"/>
                <w:vertAlign w:val="subscript"/>
                <w:lang w:val="en-GB"/>
              </w:rPr>
              <w:t>Max</w:t>
            </w:r>
            <w:proofErr w:type="spellEnd"/>
            <w:r w:rsidRPr="008D2A17">
              <w:rPr>
                <w:rFonts w:ascii="inherit" w:hAnsi="inherit"/>
                <w:sz w:val="22"/>
                <w:szCs w:val="22"/>
                <w:lang w:val="en-GB"/>
              </w:rPr>
              <w:t xml:space="preserve"> – 43, 15) dBm/(5 MHz) EIRP per antenna (1)</w:t>
            </w:r>
          </w:p>
        </w:tc>
        <w:tc>
          <w:tcPr>
            <w:tcW w:w="1767" w:type="pct"/>
            <w:tcBorders>
              <w:top w:val="single" w:sz="6" w:space="0" w:color="000000"/>
              <w:left w:val="single" w:sz="6" w:space="0" w:color="000000"/>
              <w:bottom w:val="single" w:sz="6" w:space="0" w:color="000000"/>
              <w:right w:val="single" w:sz="6" w:space="0" w:color="000000"/>
            </w:tcBorders>
            <w:vAlign w:val="center"/>
          </w:tcPr>
          <w:p w14:paraId="70780C1F" w14:textId="77777777" w:rsidR="00BF1CA6" w:rsidRPr="008D2A17" w:rsidRDefault="00BF1CA6" w:rsidP="00822317">
            <w:pPr>
              <w:pStyle w:val="tbl-txt"/>
              <w:spacing w:before="60" w:beforeAutospacing="0" w:after="60" w:afterAutospacing="0"/>
              <w:jc w:val="center"/>
              <w:rPr>
                <w:rFonts w:ascii="inherit" w:hAnsi="inherit"/>
                <w:sz w:val="22"/>
                <w:lang w:val="en-GB"/>
              </w:rPr>
            </w:pPr>
            <w:r w:rsidRPr="008D2A17">
              <w:rPr>
                <w:lang w:val="en-GB"/>
              </w:rPr>
              <w:t>Min(PMax'-43, 12)</w:t>
            </w:r>
            <w:r w:rsidRPr="008D2A17">
              <w:rPr>
                <w:rFonts w:ascii="inherit" w:hAnsi="inherit"/>
                <w:sz w:val="22"/>
                <w:szCs w:val="22"/>
                <w:lang w:val="en-GB"/>
              </w:rPr>
              <w:t xml:space="preserve"> dBm/(5MHz) TRP per cell (2) (3)</w:t>
            </w:r>
          </w:p>
        </w:tc>
      </w:tr>
      <w:tr w:rsidR="00BF1CA6" w:rsidRPr="008D2A17" w14:paraId="41BE33BA" w14:textId="77777777" w:rsidTr="00822317">
        <w:trPr>
          <w:tblCellSpacing w:w="0" w:type="dxa"/>
        </w:trPr>
        <w:tc>
          <w:tcPr>
            <w:tcW w:w="594" w:type="pct"/>
            <w:vMerge/>
            <w:tcBorders>
              <w:left w:val="single" w:sz="6" w:space="0" w:color="000000"/>
              <w:right w:val="single" w:sz="6" w:space="0" w:color="000000"/>
            </w:tcBorders>
            <w:vAlign w:val="center"/>
          </w:tcPr>
          <w:p w14:paraId="71906A7F" w14:textId="77777777" w:rsidR="00BF1CA6" w:rsidRPr="008D2A17" w:rsidRDefault="00BF1CA6" w:rsidP="00822317">
            <w:pPr>
              <w:pStyle w:val="tbl-txt"/>
              <w:spacing w:before="60" w:beforeAutospacing="0" w:after="60" w:afterAutospacing="0"/>
              <w:jc w:val="center"/>
              <w:rPr>
                <w:rFonts w:ascii="inherit" w:hAnsi="inherit"/>
                <w:sz w:val="22"/>
                <w:szCs w:val="22"/>
                <w:lang w:val="en-GB"/>
              </w:rPr>
            </w:pPr>
          </w:p>
        </w:tc>
        <w:tc>
          <w:tcPr>
            <w:tcW w:w="954" w:type="pct"/>
            <w:tcBorders>
              <w:top w:val="single" w:sz="6" w:space="0" w:color="000000"/>
              <w:left w:val="single" w:sz="6" w:space="0" w:color="000000"/>
              <w:bottom w:val="single" w:sz="6" w:space="0" w:color="000000"/>
              <w:right w:val="single" w:sz="6" w:space="0" w:color="000000"/>
            </w:tcBorders>
            <w:vAlign w:val="center"/>
          </w:tcPr>
          <w:p w14:paraId="4C5275E2" w14:textId="77777777" w:rsidR="00BF1CA6" w:rsidRPr="008D2A17" w:rsidRDefault="00BF1CA6" w:rsidP="00822317">
            <w:pPr>
              <w:pStyle w:val="tbl-txt"/>
              <w:spacing w:before="60" w:beforeAutospacing="0" w:after="60" w:afterAutospacing="0"/>
              <w:jc w:val="center"/>
              <w:rPr>
                <w:rFonts w:ascii="inherit" w:hAnsi="inherit"/>
                <w:sz w:val="22"/>
                <w:szCs w:val="22"/>
                <w:lang w:val="en-GB"/>
              </w:rPr>
            </w:pPr>
            <w:r w:rsidRPr="008D2A17">
              <w:rPr>
                <w:rFonts w:ascii="inherit" w:hAnsi="inherit"/>
                <w:sz w:val="22"/>
                <w:szCs w:val="22"/>
                <w:lang w:val="en-GB"/>
              </w:rPr>
              <w:t>3810-3840 MHz</w:t>
            </w:r>
          </w:p>
        </w:tc>
        <w:tc>
          <w:tcPr>
            <w:tcW w:w="1685" w:type="pct"/>
            <w:tcBorders>
              <w:top w:val="single" w:sz="6" w:space="0" w:color="000000"/>
              <w:left w:val="single" w:sz="6" w:space="0" w:color="000000"/>
              <w:bottom w:val="single" w:sz="6" w:space="0" w:color="000000"/>
              <w:right w:val="single" w:sz="6" w:space="0" w:color="000000"/>
            </w:tcBorders>
            <w:vAlign w:val="center"/>
          </w:tcPr>
          <w:p w14:paraId="128140BC" w14:textId="77777777" w:rsidR="00BF1CA6" w:rsidRPr="008D2A17" w:rsidRDefault="00BF1CA6" w:rsidP="00822317">
            <w:pPr>
              <w:pStyle w:val="tbl-txt"/>
              <w:spacing w:before="60" w:beforeAutospacing="0" w:after="60" w:afterAutospacing="0"/>
              <w:jc w:val="center"/>
              <w:rPr>
                <w:rFonts w:ascii="inherit" w:hAnsi="inherit"/>
                <w:sz w:val="22"/>
                <w:szCs w:val="22"/>
                <w:lang w:val="en-GB"/>
              </w:rPr>
            </w:pPr>
            <w:r w:rsidRPr="008D2A17">
              <w:rPr>
                <w:rFonts w:ascii="inherit" w:hAnsi="inherit"/>
                <w:sz w:val="22"/>
                <w:szCs w:val="22"/>
                <w:lang w:val="en-GB"/>
              </w:rPr>
              <w:t>Min(</w:t>
            </w:r>
            <w:proofErr w:type="spellStart"/>
            <w:r w:rsidRPr="008D2A17">
              <w:rPr>
                <w:rFonts w:ascii="inherit" w:hAnsi="inherit"/>
                <w:sz w:val="22"/>
                <w:szCs w:val="22"/>
                <w:lang w:val="en-GB"/>
              </w:rPr>
              <w:t>P</w:t>
            </w:r>
            <w:r w:rsidRPr="008D2A17">
              <w:rPr>
                <w:rStyle w:val="sub"/>
                <w:rFonts w:ascii="inherit" w:hAnsi="inherit"/>
                <w:sz w:val="15"/>
                <w:szCs w:val="15"/>
                <w:vertAlign w:val="subscript"/>
                <w:lang w:val="en-GB"/>
              </w:rPr>
              <w:t>Max</w:t>
            </w:r>
            <w:proofErr w:type="spellEnd"/>
            <w:r w:rsidRPr="008D2A17">
              <w:rPr>
                <w:rFonts w:ascii="inherit" w:hAnsi="inherit"/>
                <w:sz w:val="22"/>
                <w:szCs w:val="22"/>
                <w:lang w:val="en-GB"/>
              </w:rPr>
              <w:t xml:space="preserve"> −43, 13) dBm/(5 MHz) EIRP per antenna (1)</w:t>
            </w:r>
          </w:p>
        </w:tc>
        <w:tc>
          <w:tcPr>
            <w:tcW w:w="1767" w:type="pct"/>
            <w:tcBorders>
              <w:top w:val="single" w:sz="6" w:space="0" w:color="000000"/>
              <w:left w:val="single" w:sz="6" w:space="0" w:color="000000"/>
              <w:bottom w:val="single" w:sz="6" w:space="0" w:color="000000"/>
              <w:right w:val="single" w:sz="6" w:space="0" w:color="000000"/>
            </w:tcBorders>
            <w:vAlign w:val="center"/>
          </w:tcPr>
          <w:p w14:paraId="039D39C7" w14:textId="77777777" w:rsidR="00BF1CA6" w:rsidRPr="008D2A17" w:rsidRDefault="00BF1CA6" w:rsidP="00822317">
            <w:pPr>
              <w:pStyle w:val="tbl-txt"/>
              <w:spacing w:before="60" w:beforeAutospacing="0" w:after="60" w:afterAutospacing="0"/>
              <w:jc w:val="center"/>
              <w:rPr>
                <w:rFonts w:ascii="inherit" w:hAnsi="inherit"/>
                <w:sz w:val="22"/>
                <w:lang w:val="en-GB"/>
              </w:rPr>
            </w:pPr>
            <w:r w:rsidRPr="008D2A17">
              <w:rPr>
                <w:lang w:val="en-GB"/>
              </w:rPr>
              <w:t>Min(PMax'-43, 1)</w:t>
            </w:r>
            <w:r w:rsidRPr="008D2A17">
              <w:rPr>
                <w:rFonts w:ascii="inherit" w:hAnsi="inherit"/>
                <w:sz w:val="22"/>
                <w:szCs w:val="22"/>
                <w:lang w:val="en-GB"/>
              </w:rPr>
              <w:t>dBm/(5MHz) TRP per cell (2) (3)</w:t>
            </w:r>
          </w:p>
        </w:tc>
      </w:tr>
      <w:tr w:rsidR="00BF1CA6" w:rsidRPr="008D2A17" w14:paraId="4EFA782D" w14:textId="77777777" w:rsidTr="00822317">
        <w:trPr>
          <w:tblCellSpacing w:w="0" w:type="dxa"/>
        </w:trPr>
        <w:tc>
          <w:tcPr>
            <w:tcW w:w="594" w:type="pct"/>
            <w:vMerge/>
            <w:tcBorders>
              <w:left w:val="single" w:sz="6" w:space="0" w:color="000000"/>
              <w:bottom w:val="single" w:sz="6" w:space="0" w:color="000000"/>
              <w:right w:val="single" w:sz="6" w:space="0" w:color="000000"/>
            </w:tcBorders>
            <w:vAlign w:val="center"/>
          </w:tcPr>
          <w:p w14:paraId="38D33565" w14:textId="77777777" w:rsidR="00BF1CA6" w:rsidRPr="008D2A17" w:rsidRDefault="00BF1CA6" w:rsidP="00822317">
            <w:pPr>
              <w:pStyle w:val="tbl-txt"/>
              <w:spacing w:before="60" w:beforeAutospacing="0" w:after="60" w:afterAutospacing="0"/>
              <w:jc w:val="center"/>
              <w:rPr>
                <w:rFonts w:ascii="inherit" w:hAnsi="inherit"/>
                <w:sz w:val="22"/>
                <w:szCs w:val="22"/>
                <w:lang w:val="en-GB"/>
              </w:rPr>
            </w:pPr>
          </w:p>
        </w:tc>
        <w:tc>
          <w:tcPr>
            <w:tcW w:w="954" w:type="pct"/>
            <w:tcBorders>
              <w:top w:val="single" w:sz="6" w:space="0" w:color="000000"/>
              <w:left w:val="single" w:sz="6" w:space="0" w:color="000000"/>
              <w:bottom w:val="single" w:sz="6" w:space="0" w:color="000000"/>
              <w:right w:val="single" w:sz="6" w:space="0" w:color="000000"/>
            </w:tcBorders>
            <w:vAlign w:val="center"/>
          </w:tcPr>
          <w:p w14:paraId="19B440D4" w14:textId="77777777" w:rsidR="00BF1CA6" w:rsidRPr="008D2A17" w:rsidDel="00724A19" w:rsidRDefault="00BF1CA6" w:rsidP="00822317">
            <w:pPr>
              <w:pStyle w:val="tbl-txt"/>
              <w:spacing w:before="60" w:beforeAutospacing="0" w:after="60" w:afterAutospacing="0"/>
              <w:jc w:val="center"/>
              <w:rPr>
                <w:rFonts w:ascii="inherit" w:hAnsi="inherit"/>
                <w:sz w:val="22"/>
                <w:szCs w:val="22"/>
                <w:lang w:val="en-GB"/>
              </w:rPr>
            </w:pPr>
            <w:r w:rsidRPr="008D2A17">
              <w:rPr>
                <w:rFonts w:ascii="inherit" w:hAnsi="inherit"/>
                <w:sz w:val="22"/>
                <w:szCs w:val="22"/>
                <w:lang w:val="en-GB"/>
              </w:rPr>
              <w:t xml:space="preserve">Above 3840 MHz </w:t>
            </w:r>
          </w:p>
        </w:tc>
        <w:tc>
          <w:tcPr>
            <w:tcW w:w="1685" w:type="pct"/>
            <w:tcBorders>
              <w:top w:val="single" w:sz="6" w:space="0" w:color="000000"/>
              <w:left w:val="single" w:sz="6" w:space="0" w:color="000000"/>
              <w:bottom w:val="single" w:sz="6" w:space="0" w:color="000000"/>
              <w:right w:val="single" w:sz="6" w:space="0" w:color="000000"/>
            </w:tcBorders>
            <w:vAlign w:val="center"/>
          </w:tcPr>
          <w:p w14:paraId="3327D664" w14:textId="77777777" w:rsidR="00BF1CA6" w:rsidRPr="008D2A17" w:rsidRDefault="00BF1CA6" w:rsidP="00822317">
            <w:pPr>
              <w:pStyle w:val="tbl-txt"/>
              <w:spacing w:before="60" w:beforeAutospacing="0" w:after="60" w:afterAutospacing="0"/>
              <w:jc w:val="center"/>
              <w:rPr>
                <w:rFonts w:ascii="inherit" w:hAnsi="inherit"/>
                <w:sz w:val="22"/>
                <w:szCs w:val="22"/>
                <w:lang w:val="en-GB"/>
              </w:rPr>
            </w:pPr>
            <w:r w:rsidRPr="008D2A17">
              <w:rPr>
                <w:rFonts w:ascii="inherit" w:hAnsi="inherit"/>
                <w:sz w:val="22"/>
                <w:szCs w:val="22"/>
                <w:lang w:val="en-GB"/>
              </w:rPr>
              <w:t>-2 dBm/(5MHz) EIRP per antenna (1)</w:t>
            </w:r>
          </w:p>
        </w:tc>
        <w:tc>
          <w:tcPr>
            <w:tcW w:w="1767" w:type="pct"/>
            <w:tcBorders>
              <w:top w:val="single" w:sz="6" w:space="0" w:color="000000"/>
              <w:left w:val="single" w:sz="6" w:space="0" w:color="000000"/>
              <w:bottom w:val="single" w:sz="6" w:space="0" w:color="000000"/>
              <w:right w:val="single" w:sz="6" w:space="0" w:color="000000"/>
            </w:tcBorders>
            <w:vAlign w:val="center"/>
          </w:tcPr>
          <w:p w14:paraId="1A5877D9" w14:textId="77777777" w:rsidR="00BF1CA6" w:rsidRPr="008D2A17" w:rsidRDefault="00BF1CA6" w:rsidP="00822317">
            <w:pPr>
              <w:pStyle w:val="tbl-txt"/>
              <w:spacing w:before="60" w:beforeAutospacing="0" w:after="60" w:afterAutospacing="0"/>
              <w:jc w:val="center"/>
              <w:rPr>
                <w:rFonts w:ascii="inherit" w:hAnsi="inherit"/>
                <w:sz w:val="22"/>
                <w:szCs w:val="22"/>
                <w:lang w:val="en-GB"/>
              </w:rPr>
            </w:pPr>
            <w:r w:rsidRPr="008D2A17">
              <w:rPr>
                <w:lang w:val="en-GB"/>
              </w:rPr>
              <w:t xml:space="preserve">-14 dBm/(5MHz) </w:t>
            </w:r>
            <w:r w:rsidRPr="008D2A17">
              <w:rPr>
                <w:rFonts w:ascii="inherit" w:hAnsi="inherit"/>
                <w:sz w:val="22"/>
                <w:szCs w:val="22"/>
                <w:lang w:val="en-GB"/>
              </w:rPr>
              <w:t>TRP per cell</w:t>
            </w:r>
            <w:r w:rsidRPr="008D2A17">
              <w:rPr>
                <w:lang w:val="en-GB"/>
              </w:rPr>
              <w:t xml:space="preserve"> (3)</w:t>
            </w:r>
          </w:p>
        </w:tc>
      </w:tr>
    </w:tbl>
    <w:p w14:paraId="151C89D8" w14:textId="77777777" w:rsidR="00BF1CA6" w:rsidRPr="00FC6C99" w:rsidRDefault="00BF1CA6" w:rsidP="00BF1CA6">
      <w:pPr>
        <w:spacing w:after="120"/>
        <w:rPr>
          <w:rFonts w:ascii="Times New Roman" w:hAnsi="Times New Roman"/>
          <w:sz w:val="16"/>
          <w:lang w:val="en-GB" w:eastAsia="fr-FR"/>
        </w:rPr>
      </w:pPr>
      <w:r w:rsidRPr="00FC6C99">
        <w:rPr>
          <w:rFonts w:ascii="Times New Roman" w:hAnsi="Times New Roman"/>
          <w:sz w:val="16"/>
          <w:lang w:val="en-GB" w:eastAsia="fr-FR"/>
        </w:rPr>
        <w:t xml:space="preserve">(1) </w:t>
      </w:r>
      <w:proofErr w:type="spellStart"/>
      <w:r w:rsidRPr="00FC6C99">
        <w:rPr>
          <w:rFonts w:ascii="Times New Roman" w:hAnsi="Times New Roman"/>
          <w:sz w:val="16"/>
          <w:lang w:val="en-GB" w:eastAsia="fr-FR"/>
        </w:rPr>
        <w:t>PMax</w:t>
      </w:r>
      <w:proofErr w:type="spellEnd"/>
      <w:r w:rsidRPr="00FC6C99">
        <w:rPr>
          <w:rFonts w:ascii="Times New Roman" w:hAnsi="Times New Roman"/>
          <w:sz w:val="16"/>
          <w:lang w:val="en-GB" w:eastAsia="fr-FR"/>
        </w:rPr>
        <w:t xml:space="preserve"> is the maximum mean carrier power in dBm for the base station measured as e.i.r.p. per carrier per antenna</w:t>
      </w:r>
    </w:p>
    <w:p w14:paraId="02E0E569" w14:textId="77777777" w:rsidR="00BF1CA6" w:rsidRPr="00FC6C99" w:rsidRDefault="00BF1CA6" w:rsidP="00BF1CA6">
      <w:pPr>
        <w:spacing w:after="120"/>
        <w:rPr>
          <w:rFonts w:ascii="Times New Roman" w:hAnsi="Times New Roman"/>
          <w:sz w:val="16"/>
          <w:lang w:val="en-GB" w:eastAsia="fr-FR"/>
        </w:rPr>
      </w:pPr>
      <w:r w:rsidRPr="00FC6C99">
        <w:rPr>
          <w:rFonts w:ascii="Times New Roman" w:hAnsi="Times New Roman"/>
          <w:sz w:val="16"/>
          <w:lang w:val="en-GB" w:eastAsia="fr-FR"/>
        </w:rPr>
        <w:t xml:space="preserve">(2) </w:t>
      </w:r>
      <w:proofErr w:type="spellStart"/>
      <w:r w:rsidRPr="00FC6C99">
        <w:rPr>
          <w:rFonts w:ascii="Times New Roman" w:hAnsi="Times New Roman"/>
          <w:sz w:val="16"/>
          <w:lang w:val="en-GB" w:eastAsia="fr-FR"/>
        </w:rPr>
        <w:t>PMax</w:t>
      </w:r>
      <w:proofErr w:type="spellEnd"/>
      <w:r w:rsidRPr="00FC6C99">
        <w:rPr>
          <w:rFonts w:ascii="Times New Roman" w:hAnsi="Times New Roman"/>
          <w:sz w:val="16"/>
          <w:lang w:val="en-GB" w:eastAsia="fr-FR"/>
        </w:rPr>
        <w:t>' is the maximum mean carrier power in dBm for the base station measured as TRP per carrier in a given cell</w:t>
      </w:r>
    </w:p>
    <w:p w14:paraId="3721DFC1" w14:textId="0D8E4106" w:rsidR="00BF1CA6" w:rsidRPr="00BE123F" w:rsidRDefault="00BF1CA6" w:rsidP="00BE123F">
      <w:pPr>
        <w:spacing w:after="120"/>
        <w:rPr>
          <w:rFonts w:ascii="Times New Roman" w:hAnsi="Times New Roman"/>
          <w:sz w:val="16"/>
          <w:lang w:val="en-GB" w:eastAsia="fr-FR"/>
        </w:rPr>
      </w:pPr>
      <w:r w:rsidRPr="00FC6C99">
        <w:rPr>
          <w:rFonts w:ascii="Times New Roman" w:hAnsi="Times New Roman"/>
          <w:sz w:val="16"/>
          <w:lang w:val="en-GB" w:eastAsia="fr-FR"/>
        </w:rPr>
        <w:t xml:space="preserve">(3) In a multi-sector base station, the radiated power limit </w:t>
      </w:r>
      <w:r w:rsidR="00A47409">
        <w:rPr>
          <w:rFonts w:ascii="Times New Roman" w:hAnsi="Times New Roman"/>
          <w:sz w:val="16"/>
          <w:lang w:val="en-GB" w:eastAsia="fr-FR"/>
        </w:rPr>
        <w:t>applies</w:t>
      </w:r>
      <w:r w:rsidRPr="00FC6C99">
        <w:rPr>
          <w:rFonts w:ascii="Times New Roman" w:hAnsi="Times New Roman"/>
          <w:sz w:val="16"/>
          <w:lang w:val="en-GB" w:eastAsia="fr-FR"/>
        </w:rPr>
        <w:t xml:space="preserve"> to each one of the individual sectors.</w:t>
      </w:r>
    </w:p>
    <w:p w14:paraId="4CB8679C" w14:textId="12339CB6" w:rsidR="00CC503E" w:rsidRPr="008D2A17" w:rsidRDefault="00CC503E" w:rsidP="00CC503E">
      <w:pPr>
        <w:pStyle w:val="ti-annotation"/>
        <w:spacing w:before="120" w:beforeAutospacing="0" w:after="0" w:afterAutospacing="0"/>
        <w:rPr>
          <w:rStyle w:val="italic"/>
          <w:rFonts w:ascii="inherit" w:hAnsi="inherit"/>
          <w:i/>
          <w:iCs/>
          <w:color w:val="000000"/>
          <w:lang w:val="en-GB"/>
        </w:rPr>
      </w:pPr>
      <w:r w:rsidRPr="008D2A17">
        <w:rPr>
          <w:rStyle w:val="italic"/>
          <w:rFonts w:ascii="inherit" w:hAnsi="inherit"/>
          <w:i/>
          <w:iCs/>
          <w:color w:val="000000"/>
          <w:lang w:val="en-GB"/>
        </w:rPr>
        <w:t>Explanatory note to Table 7</w:t>
      </w:r>
    </w:p>
    <w:p w14:paraId="596BA057" w14:textId="62CA9C11" w:rsidR="00CC503E" w:rsidRPr="00BE123F" w:rsidRDefault="00CC503E" w:rsidP="00BE123F">
      <w:pPr>
        <w:pStyle w:val="ti-annotation"/>
        <w:spacing w:before="120" w:beforeAutospacing="0" w:after="0" w:afterAutospacing="0"/>
        <w:rPr>
          <w:rFonts w:ascii="inherit" w:hAnsi="inherit"/>
          <w:i/>
          <w:color w:val="000000"/>
          <w:lang w:val="en-US"/>
        </w:rPr>
      </w:pPr>
      <w:r w:rsidRPr="008D2A17">
        <w:rPr>
          <w:lang w:val="en-GB"/>
        </w:rPr>
        <w:t>The additional baselines</w:t>
      </w:r>
      <w:r w:rsidRPr="00BE123F">
        <w:rPr>
          <w:lang w:val="en-GB"/>
        </w:rPr>
        <w:t xml:space="preserve"> defined in </w:t>
      </w:r>
      <w:r w:rsidRPr="008D2A17">
        <w:rPr>
          <w:lang w:val="en-GB"/>
        </w:rPr>
        <w:t>Table 7 for AAS and non-AAS base stations</w:t>
      </w:r>
      <w:r w:rsidRPr="00BE123F">
        <w:rPr>
          <w:lang w:val="en-GB"/>
        </w:rPr>
        <w:t xml:space="preserve"> are applied at the 3800 MHz band edge to support the coordination process to be carried out at national </w:t>
      </w:r>
      <w:proofErr w:type="gramStart"/>
      <w:r w:rsidRPr="00BE123F">
        <w:rPr>
          <w:lang w:val="en-GB"/>
        </w:rPr>
        <w:t xml:space="preserve">level </w:t>
      </w:r>
      <w:r w:rsidRPr="008D2A17">
        <w:rPr>
          <w:lang w:val="en-GB"/>
        </w:rPr>
        <w:t>.</w:t>
      </w:r>
      <w:proofErr w:type="gramEnd"/>
    </w:p>
    <w:p w14:paraId="59FD312B" w14:textId="77777777" w:rsidR="00CC503E" w:rsidRPr="008D2A17" w:rsidRDefault="00CC503E" w:rsidP="00FC6C99">
      <w:pPr>
        <w:pStyle w:val="ti-tbl"/>
        <w:keepNext/>
        <w:keepLines/>
        <w:spacing w:before="120" w:beforeAutospacing="0" w:after="120" w:afterAutospacing="0"/>
        <w:jc w:val="center"/>
        <w:rPr>
          <w:rFonts w:ascii="inherit" w:hAnsi="inherit"/>
          <w:color w:val="000000"/>
          <w:lang w:val="en-GB"/>
        </w:rPr>
      </w:pPr>
      <w:r w:rsidRPr="008D2A17">
        <w:rPr>
          <w:rStyle w:val="italic"/>
          <w:rFonts w:ascii="inherit" w:hAnsi="inherit"/>
          <w:i/>
          <w:color w:val="000000"/>
          <w:lang w:val="en-GB"/>
        </w:rPr>
        <w:lastRenderedPageBreak/>
        <w:t>Figure</w:t>
      </w:r>
    </w:p>
    <w:p w14:paraId="6154172F" w14:textId="77777777" w:rsidR="00CC503E" w:rsidRDefault="00CC503E" w:rsidP="00FC6C99">
      <w:pPr>
        <w:pStyle w:val="ti-tbl"/>
        <w:keepNext/>
        <w:keepLines/>
        <w:spacing w:before="120" w:beforeAutospacing="0" w:after="120" w:afterAutospacing="0"/>
        <w:jc w:val="center"/>
        <w:rPr>
          <w:rStyle w:val="bold"/>
          <w:rFonts w:ascii="inherit" w:hAnsi="inherit"/>
          <w:b/>
          <w:bCs/>
          <w:color w:val="000000"/>
          <w:lang w:val="en-GB"/>
        </w:rPr>
      </w:pPr>
      <w:r w:rsidRPr="008D2A17">
        <w:rPr>
          <w:rStyle w:val="bold"/>
          <w:rFonts w:ascii="inherit" w:hAnsi="inherit"/>
          <w:b/>
          <w:bCs/>
          <w:color w:val="000000"/>
          <w:lang w:val="en-GB"/>
        </w:rPr>
        <w:t xml:space="preserve">Example TDD Base station power limits BEM elements </w:t>
      </w:r>
    </w:p>
    <w:p w14:paraId="514EF074" w14:textId="5ECAFD2D" w:rsidR="00FA5407" w:rsidRDefault="00FA5407" w:rsidP="00FC6C99">
      <w:pPr>
        <w:pStyle w:val="ti-tbl"/>
        <w:keepNext/>
        <w:keepLines/>
        <w:spacing w:before="120" w:beforeAutospacing="0" w:after="120" w:afterAutospacing="0"/>
        <w:jc w:val="center"/>
        <w:rPr>
          <w:rStyle w:val="bold"/>
          <w:rFonts w:ascii="inherit" w:hAnsi="inherit"/>
          <w:b/>
          <w:bCs/>
          <w:color w:val="000000"/>
          <w:lang w:val="en-GB"/>
        </w:rPr>
      </w:pPr>
      <w:r>
        <w:rPr>
          <w:rFonts w:ascii="inherit" w:hAnsi="inherit"/>
          <w:b/>
          <w:bCs/>
          <w:noProof/>
          <w:color w:val="000000"/>
          <w:lang w:val="da-DK" w:eastAsia="da-DK"/>
        </w:rPr>
        <w:drawing>
          <wp:inline distT="0" distB="0" distL="0" distR="0" wp14:anchorId="2C50047B" wp14:editId="7302C446">
            <wp:extent cx="6158975" cy="253874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63093" cy="2540446"/>
                    </a:xfrm>
                    <a:prstGeom prst="rect">
                      <a:avLst/>
                    </a:prstGeom>
                    <a:noFill/>
                  </pic:spPr>
                </pic:pic>
              </a:graphicData>
            </a:graphic>
          </wp:inline>
        </w:drawing>
      </w:r>
    </w:p>
    <w:p w14:paraId="720A5ABC" w14:textId="332A97F8" w:rsidR="00CC503E" w:rsidRPr="008D2A17" w:rsidRDefault="00CC503E" w:rsidP="00CC503E">
      <w:pPr>
        <w:pStyle w:val="ti-tbl"/>
        <w:spacing w:before="120" w:beforeAutospacing="0" w:after="120" w:afterAutospacing="0"/>
        <w:jc w:val="center"/>
        <w:rPr>
          <w:rFonts w:ascii="inherit" w:hAnsi="inherit"/>
          <w:color w:val="000000"/>
          <w:lang w:val="en-GB"/>
        </w:rPr>
      </w:pPr>
    </w:p>
    <w:p w14:paraId="54E573C3" w14:textId="77777777" w:rsidR="00CC503E" w:rsidRPr="008D2A17" w:rsidRDefault="00CC503E" w:rsidP="00CC503E">
      <w:pPr>
        <w:pStyle w:val="ti-grseq-1"/>
        <w:spacing w:before="240" w:beforeAutospacing="0" w:after="120" w:afterAutospacing="0"/>
        <w:jc w:val="both"/>
        <w:rPr>
          <w:rFonts w:ascii="inherit" w:hAnsi="inherit"/>
          <w:b/>
          <w:bCs/>
          <w:color w:val="000000"/>
          <w:lang w:val="en-GB"/>
        </w:rPr>
      </w:pPr>
      <w:r w:rsidRPr="008D2A17">
        <w:rPr>
          <w:rFonts w:ascii="inherit" w:hAnsi="inherit"/>
          <w:b/>
          <w:bCs/>
          <w:color w:val="000000"/>
          <w:lang w:val="en-GB"/>
        </w:rPr>
        <w:t>C.   TECHNICAL CONDITIONS FOR TERMINAL STATIONS</w:t>
      </w:r>
    </w:p>
    <w:p w14:paraId="0196D0D7" w14:textId="77777777" w:rsidR="00CC503E" w:rsidRPr="008D2A17" w:rsidRDefault="00CC503E" w:rsidP="00CC503E">
      <w:pPr>
        <w:pStyle w:val="ti-tbl"/>
        <w:spacing w:before="120" w:beforeAutospacing="0" w:after="120" w:afterAutospacing="0"/>
        <w:jc w:val="center"/>
        <w:rPr>
          <w:rFonts w:ascii="inherit" w:hAnsi="inherit"/>
          <w:color w:val="000000"/>
          <w:lang w:val="en-GB"/>
        </w:rPr>
      </w:pPr>
      <w:r w:rsidRPr="008D2A17">
        <w:rPr>
          <w:rStyle w:val="italic"/>
          <w:rFonts w:ascii="inherit" w:hAnsi="inherit"/>
          <w:i/>
          <w:iCs/>
          <w:color w:val="000000"/>
          <w:lang w:val="en-GB"/>
        </w:rPr>
        <w:t>Table 8</w:t>
      </w:r>
    </w:p>
    <w:p w14:paraId="11D68925" w14:textId="0546CB84" w:rsidR="00CC503E" w:rsidRPr="008D2A17" w:rsidRDefault="00CC503E" w:rsidP="00CC503E">
      <w:pPr>
        <w:pStyle w:val="ti-tbl"/>
        <w:spacing w:before="120" w:beforeAutospacing="0" w:after="120" w:afterAutospacing="0"/>
        <w:jc w:val="center"/>
        <w:rPr>
          <w:rFonts w:ascii="inherit" w:hAnsi="inherit"/>
          <w:color w:val="000000"/>
          <w:lang w:val="en-GB"/>
        </w:rPr>
      </w:pPr>
      <w:r w:rsidRPr="001A5E27">
        <w:rPr>
          <w:rStyle w:val="bold"/>
          <w:rFonts w:ascii="inherit" w:hAnsi="inherit"/>
          <w:b/>
          <w:color w:val="000000"/>
          <w:lang w:val="en-GB"/>
        </w:rPr>
        <w:t>In-block requirement</w:t>
      </w:r>
      <w:r w:rsidRPr="001A5E27">
        <w:rPr>
          <w:rStyle w:val="bold"/>
          <w:rFonts w:ascii="inherit" w:hAnsi="inherit"/>
          <w:b/>
          <w:bCs/>
          <w:color w:val="000000"/>
          <w:lang w:val="en-GB"/>
        </w:rPr>
        <w:t xml:space="preserve"> — terminal station</w:t>
      </w:r>
      <w:r w:rsidRPr="008D2A17">
        <w:rPr>
          <w:rStyle w:val="bold"/>
          <w:rFonts w:ascii="inherit" w:hAnsi="inherit"/>
          <w:b/>
          <w:bCs/>
          <w:color w:val="000000"/>
          <w:lang w:val="en-GB"/>
        </w:rPr>
        <w:t xml:space="preserve"> BEM in-block power limit</w:t>
      </w:r>
    </w:p>
    <w:tbl>
      <w:tblPr>
        <w:tblW w:w="4992"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86"/>
        <w:gridCol w:w="3968"/>
      </w:tblGrid>
      <w:tr w:rsidR="00CC503E" w:rsidRPr="008D2A17" w14:paraId="6E66FE65" w14:textId="77777777" w:rsidTr="00BE123F">
        <w:trPr>
          <w:tblCellSpacing w:w="0" w:type="dxa"/>
        </w:trPr>
        <w:tc>
          <w:tcPr>
            <w:tcW w:w="2945" w:type="pct"/>
            <w:tcBorders>
              <w:top w:val="single" w:sz="6" w:space="0" w:color="000000"/>
              <w:left w:val="single" w:sz="6" w:space="0" w:color="000000"/>
              <w:bottom w:val="single" w:sz="6" w:space="0" w:color="000000"/>
              <w:right w:val="single" w:sz="6" w:space="0" w:color="000000"/>
            </w:tcBorders>
            <w:hideMark/>
          </w:tcPr>
          <w:p w14:paraId="6E581D64" w14:textId="40FBC165" w:rsidR="00CC503E" w:rsidRPr="008D2A17" w:rsidRDefault="00CC503E" w:rsidP="00A42AF6">
            <w:pPr>
              <w:pStyle w:val="tbl-txt"/>
              <w:spacing w:before="60" w:beforeAutospacing="0" w:after="60" w:afterAutospacing="0"/>
              <w:rPr>
                <w:rFonts w:ascii="inherit" w:hAnsi="inherit"/>
                <w:sz w:val="22"/>
                <w:lang w:val="en-GB"/>
              </w:rPr>
            </w:pPr>
            <w:r w:rsidRPr="008D2A17">
              <w:rPr>
                <w:rFonts w:ascii="inherit" w:hAnsi="inherit"/>
                <w:sz w:val="22"/>
                <w:szCs w:val="22"/>
                <w:lang w:val="en-GB"/>
              </w:rPr>
              <w:t>Maximum in-block power</w:t>
            </w:r>
            <w:hyperlink r:id="rId23" w:anchor="ntr9-L_2014139EN.01002102-E0009" w:history="1">
              <w:r w:rsidRPr="008D2A17">
                <w:rPr>
                  <w:rStyle w:val="Hyperlink"/>
                  <w:rFonts w:ascii="inherit" w:hAnsi="inherit"/>
                  <w:sz w:val="22"/>
                  <w:szCs w:val="22"/>
                  <w:lang w:val="en-GB"/>
                </w:rPr>
                <w:t> </w:t>
              </w:r>
            </w:hyperlink>
          </w:p>
        </w:tc>
        <w:tc>
          <w:tcPr>
            <w:tcW w:w="2055" w:type="pct"/>
            <w:tcBorders>
              <w:top w:val="single" w:sz="6" w:space="0" w:color="000000"/>
              <w:left w:val="single" w:sz="6" w:space="0" w:color="000000"/>
              <w:bottom w:val="single" w:sz="6" w:space="0" w:color="000000"/>
              <w:right w:val="single" w:sz="6" w:space="0" w:color="000000"/>
            </w:tcBorders>
          </w:tcPr>
          <w:p w14:paraId="456C7F93" w14:textId="0C96621D" w:rsidR="00CC503E" w:rsidRPr="00BE123F" w:rsidRDefault="00CC503E" w:rsidP="00BE123F">
            <w:pPr>
              <w:pStyle w:val="tbl-txt"/>
              <w:spacing w:before="60" w:beforeAutospacing="0" w:after="60" w:afterAutospacing="0"/>
              <w:jc w:val="center"/>
              <w:rPr>
                <w:rFonts w:ascii="inherit" w:hAnsi="inherit"/>
                <w:sz w:val="22"/>
              </w:rPr>
            </w:pPr>
            <w:r w:rsidRPr="00BE123F">
              <w:rPr>
                <w:rFonts w:ascii="inherit" w:hAnsi="inherit"/>
                <w:sz w:val="22"/>
                <w:lang w:val="en-GB"/>
              </w:rPr>
              <w:t>28 dBm TRP</w:t>
            </w:r>
          </w:p>
        </w:tc>
      </w:tr>
    </w:tbl>
    <w:p w14:paraId="02125BAE" w14:textId="33B1677C" w:rsidR="006057EC" w:rsidRPr="00B96E08" w:rsidRDefault="00CC503E" w:rsidP="00BE123F">
      <w:pPr>
        <w:pStyle w:val="doc-ti"/>
        <w:shd w:val="clear" w:color="auto" w:fill="FFFFFF"/>
        <w:spacing w:before="240" w:beforeAutospacing="0" w:after="120" w:afterAutospacing="0"/>
        <w:rPr>
          <w:lang w:val="en-US"/>
        </w:rPr>
      </w:pPr>
      <w:r w:rsidRPr="008D2A17">
        <w:rPr>
          <w:lang w:val="en-GB"/>
        </w:rPr>
        <w:t>It</w:t>
      </w:r>
      <w:r w:rsidRPr="00BE123F">
        <w:rPr>
          <w:lang w:val="en-GB"/>
        </w:rPr>
        <w:t xml:space="preserve"> is recommended that the in-block </w:t>
      </w:r>
      <w:r w:rsidRPr="008D2A17">
        <w:rPr>
          <w:lang w:val="en-GB"/>
        </w:rPr>
        <w:t xml:space="preserve">radiated power </w:t>
      </w:r>
      <w:r w:rsidR="006057EC" w:rsidRPr="008D2A17">
        <w:rPr>
          <w:lang w:val="en-GB"/>
        </w:rPr>
        <w:t>for mobile TS</w:t>
      </w:r>
      <w:r w:rsidR="006057EC" w:rsidRPr="00BE123F">
        <w:rPr>
          <w:lang w:val="en-GB"/>
        </w:rPr>
        <w:t xml:space="preserve"> </w:t>
      </w:r>
      <w:r w:rsidRPr="00BE123F">
        <w:rPr>
          <w:lang w:val="en-GB"/>
        </w:rPr>
        <w:t>does not exceed 28 dBm.</w:t>
      </w:r>
      <w:r w:rsidRPr="008D2A17">
        <w:rPr>
          <w:lang w:val="en-GB"/>
        </w:rPr>
        <w:t xml:space="preserve"> </w:t>
      </w:r>
      <w:r w:rsidR="006057EC" w:rsidRPr="008D2A17">
        <w:rPr>
          <w:lang w:val="en-GB"/>
        </w:rPr>
        <w:t>The in</w:t>
      </w:r>
      <w:r w:rsidR="00FC6C99">
        <w:rPr>
          <w:lang w:val="en-GB"/>
        </w:rPr>
        <w:t>­</w:t>
      </w:r>
      <w:r w:rsidR="006057EC" w:rsidRPr="008D2A17">
        <w:rPr>
          <w:lang w:val="en-GB"/>
        </w:rPr>
        <w:t xml:space="preserve">block radiated power </w:t>
      </w:r>
      <w:r w:rsidR="00FC5C76" w:rsidRPr="008D2A17">
        <w:rPr>
          <w:lang w:val="en-GB"/>
        </w:rPr>
        <w:t>lim</w:t>
      </w:r>
      <w:r w:rsidR="006057EC" w:rsidRPr="008D2A17">
        <w:rPr>
          <w:lang w:val="en-GB"/>
        </w:rPr>
        <w:t>it for fixed/nomadic TS may be agreed on a national basis, provided cross-border obligations are fulfilled.</w:t>
      </w:r>
    </w:p>
    <w:p w14:paraId="159B4644" w14:textId="32C338F0" w:rsidR="00CC503E" w:rsidRPr="008D2A17" w:rsidRDefault="00405D91" w:rsidP="00EA1D94">
      <w:pPr>
        <w:pStyle w:val="doc-ti"/>
        <w:shd w:val="clear" w:color="auto" w:fill="FFFFFF"/>
        <w:spacing w:before="240" w:beforeAutospacing="0" w:after="120" w:afterAutospacing="0"/>
        <w:rPr>
          <w:b/>
          <w:bCs/>
          <w:color w:val="000000"/>
          <w:lang w:val="en-GB"/>
        </w:rPr>
      </w:pPr>
      <w:r w:rsidRPr="008D2A17">
        <w:rPr>
          <w:rFonts w:ascii="inherit" w:hAnsi="inherit"/>
          <w:color w:val="000000"/>
          <w:lang w:val="en-GB"/>
        </w:rPr>
        <w:t>Note that for TSs, mitigation measures to protect radar below 3400MHz may be necessary, for example, geographical separation or an additional guard band.</w:t>
      </w:r>
      <w:r w:rsidR="00CC503E" w:rsidRPr="008D2A17">
        <w:rPr>
          <w:rFonts w:ascii="inherit" w:hAnsi="inherit"/>
          <w:color w:val="000000"/>
          <w:lang w:val="en-GB"/>
        </w:rPr>
        <w:t xml:space="preserve"> </w:t>
      </w:r>
    </w:p>
    <w:p w14:paraId="5BAD834F" w14:textId="77777777" w:rsidR="00AB46DF" w:rsidRPr="008D2A17" w:rsidRDefault="003C3EE4" w:rsidP="00381B4F">
      <w:pPr>
        <w:pStyle w:val="ECCAnnexheading1"/>
      </w:pPr>
      <w:bookmarkStart w:id="2107" w:name="_Toc514428361"/>
      <w:bookmarkStart w:id="2108" w:name="_Toc507766124"/>
      <w:r w:rsidRPr="008D2A17">
        <w:lastRenderedPageBreak/>
        <w:t>List of reference</w:t>
      </w:r>
      <w:bookmarkEnd w:id="2107"/>
      <w:bookmarkEnd w:id="2108"/>
    </w:p>
    <w:p w14:paraId="50A03948" w14:textId="36CD5274" w:rsidR="00CF1FDD" w:rsidRPr="00BF1CA6" w:rsidRDefault="00CF1FDD" w:rsidP="00BE123F">
      <w:pPr>
        <w:pStyle w:val="ECCReference"/>
        <w:numPr>
          <w:ilvl w:val="0"/>
          <w:numId w:val="4"/>
        </w:numPr>
      </w:pPr>
      <w:bookmarkStart w:id="2109" w:name="_Ref505252123"/>
      <w:bookmarkStart w:id="2110" w:name="_Ref499797462"/>
      <w:bookmarkStart w:id="2111" w:name="_Ref505353543"/>
      <w:bookmarkStart w:id="2112" w:name="_Ref514428317"/>
      <w:bookmarkStart w:id="2113" w:name="_Ref500928586"/>
      <w:bookmarkStart w:id="2114" w:name="_Ref498663280"/>
      <w:r w:rsidRPr="00BF1CA6">
        <w:t>EC Decision 2014/276/EU</w:t>
      </w:r>
      <w:bookmarkEnd w:id="2109"/>
      <w:r>
        <w:t>:</w:t>
      </w:r>
      <w:r w:rsidRPr="00CF0720">
        <w:t xml:space="preserve"> “</w:t>
      </w:r>
      <w:r w:rsidRPr="00864516">
        <w:t xml:space="preserve">Commission Implementing Decision of 2 May 2014 on amending Decision 2008/411/EC on the harmonisation of the 3400 - 3800 MHz </w:t>
      </w:r>
      <w:r w:rsidRPr="00BF1CA6">
        <w:t xml:space="preserve">frequency </w:t>
      </w:r>
      <w:r w:rsidRPr="00864516">
        <w:t>band</w:t>
      </w:r>
      <w:r w:rsidRPr="00BF1CA6">
        <w:t xml:space="preserve"> for </w:t>
      </w:r>
      <w:r w:rsidRPr="00864516">
        <w:t>terrestrial systems capable of providing electronic</w:t>
      </w:r>
      <w:r w:rsidRPr="00BF1CA6">
        <w:t xml:space="preserve"> communications </w:t>
      </w:r>
      <w:r>
        <w:t>services</w:t>
      </w:r>
      <w:r w:rsidRPr="00BF1CA6">
        <w:t xml:space="preserve"> in the </w:t>
      </w:r>
      <w:bookmarkEnd w:id="2110"/>
      <w:bookmarkEnd w:id="2111"/>
      <w:r>
        <w:t>Community”</w:t>
      </w:r>
      <w:bookmarkEnd w:id="2112"/>
    </w:p>
    <w:p w14:paraId="1677E24F" w14:textId="064B6599" w:rsidR="00CF1FDD" w:rsidRPr="00BF1CA6" w:rsidRDefault="00CF1FDD" w:rsidP="00BE123F">
      <w:pPr>
        <w:pStyle w:val="ECCReference"/>
        <w:numPr>
          <w:ilvl w:val="0"/>
          <w:numId w:val="4"/>
        </w:numPr>
      </w:pPr>
      <w:bookmarkStart w:id="2115" w:name="_Ref500924972"/>
      <w:bookmarkStart w:id="2116" w:name="_Ref500264610"/>
      <w:bookmarkStart w:id="2117" w:name="_Ref499800793"/>
      <w:bookmarkEnd w:id="2113"/>
      <w:r w:rsidRPr="00BF1CA6">
        <w:t>ECC Decision (11)06</w:t>
      </w:r>
      <w:r w:rsidRPr="00CF0720">
        <w:t>: "Harmonised</w:t>
      </w:r>
      <w:r w:rsidRPr="00BF1CA6">
        <w:t xml:space="preserve"> frequency arrangements for mobile/fixed communications networks (MFCN) operating in the bands 3400-3600</w:t>
      </w:r>
      <w:r w:rsidRPr="00CF0720">
        <w:t xml:space="preserve"> </w:t>
      </w:r>
      <w:r w:rsidRPr="00BF1CA6">
        <w:t>MHz and 3600-3800</w:t>
      </w:r>
      <w:r w:rsidRPr="00CF0720">
        <w:t xml:space="preserve"> </w:t>
      </w:r>
      <w:r w:rsidRPr="00BF1CA6">
        <w:t>MHz</w:t>
      </w:r>
      <w:r w:rsidRPr="00CF0720">
        <w:t>" - Approved 09 December 2011, Amended 14 March 2014</w:t>
      </w:r>
      <w:bookmarkEnd w:id="2115"/>
    </w:p>
    <w:p w14:paraId="6D10BF5D" w14:textId="158555F5" w:rsidR="0094535F" w:rsidRPr="008D2A17" w:rsidRDefault="0094535F" w:rsidP="0094535F">
      <w:pPr>
        <w:pStyle w:val="reference"/>
        <w:numPr>
          <w:ilvl w:val="0"/>
          <w:numId w:val="4"/>
        </w:numPr>
        <w:jc w:val="both"/>
        <w:rPr>
          <w:lang w:val="en-GB"/>
        </w:rPr>
      </w:pPr>
      <w:r w:rsidRPr="008D2A17">
        <w:rPr>
          <w:lang w:val="en-GB"/>
        </w:rPr>
        <w:t>ECC Report 254: "Operational guidelines for spectrum sharing to support the implementation of the current ECC framework in the 3600-3800</w:t>
      </w:r>
      <w:r w:rsidR="00AB2111" w:rsidRPr="008D2A17">
        <w:rPr>
          <w:lang w:val="en-GB"/>
        </w:rPr>
        <w:t> MHz</w:t>
      </w:r>
      <w:r w:rsidRPr="008D2A17">
        <w:rPr>
          <w:lang w:val="en-GB"/>
        </w:rPr>
        <w:t xml:space="preserve"> range"</w:t>
      </w:r>
      <w:bookmarkEnd w:id="2116"/>
      <w:bookmarkEnd w:id="2117"/>
      <w:r w:rsidR="007B36E5">
        <w:rPr>
          <w:lang w:val="en-GB"/>
        </w:rPr>
        <w:t>, November 2016</w:t>
      </w:r>
    </w:p>
    <w:p w14:paraId="368A40DB" w14:textId="77777777" w:rsidR="009E58C5" w:rsidRPr="008D2A17" w:rsidRDefault="009E58C5" w:rsidP="0094535F">
      <w:pPr>
        <w:pStyle w:val="reference"/>
        <w:numPr>
          <w:ilvl w:val="0"/>
          <w:numId w:val="4"/>
        </w:numPr>
        <w:jc w:val="both"/>
        <w:rPr>
          <w:lang w:val="en-GB"/>
        </w:rPr>
      </w:pPr>
      <w:bookmarkStart w:id="2118" w:name="_Ref507751326"/>
      <w:r w:rsidRPr="008D2A17">
        <w:rPr>
          <w:lang w:val="en-GB"/>
        </w:rPr>
        <w:t>ITU Radio Regulations Edition of 2016</w:t>
      </w:r>
      <w:bookmarkEnd w:id="2118"/>
    </w:p>
    <w:p w14:paraId="70E6E4F3" w14:textId="1031A6BA" w:rsidR="009E58C5" w:rsidRPr="008D2A17" w:rsidRDefault="009E58C5" w:rsidP="0094535F">
      <w:pPr>
        <w:pStyle w:val="reference"/>
        <w:numPr>
          <w:ilvl w:val="0"/>
          <w:numId w:val="4"/>
        </w:numPr>
        <w:jc w:val="both"/>
        <w:rPr>
          <w:lang w:val="en-GB"/>
        </w:rPr>
      </w:pPr>
      <w:bookmarkStart w:id="2119" w:name="_Ref507751334"/>
      <w:r w:rsidRPr="008D2A17">
        <w:rPr>
          <w:lang w:val="en-GB"/>
        </w:rPr>
        <w:t>ERC Report 25</w:t>
      </w:r>
      <w:bookmarkEnd w:id="2119"/>
      <w:r w:rsidR="00CF1FDD">
        <w:rPr>
          <w:lang w:val="en-GB"/>
        </w:rPr>
        <w:t>:</w:t>
      </w:r>
      <w:r w:rsidR="0067417A" w:rsidRPr="008D2A17">
        <w:rPr>
          <w:lang w:val="en-GB"/>
        </w:rPr>
        <w:t xml:space="preserve"> “</w:t>
      </w:r>
      <w:r w:rsidR="0067417A" w:rsidRPr="00BE123F">
        <w:rPr>
          <w:lang w:val="en-GB"/>
        </w:rPr>
        <w:t>The European table of frequency allocations and applications in the frequency range 8.3 kHz to 3000 GHz</w:t>
      </w:r>
      <w:r w:rsidR="0067417A" w:rsidRPr="008D2A17">
        <w:rPr>
          <w:lang w:val="en-GB"/>
        </w:rPr>
        <w:t>”, updated October 2017</w:t>
      </w:r>
    </w:p>
    <w:p w14:paraId="64EA44D9" w14:textId="373F5466" w:rsidR="0094535F" w:rsidRPr="008D2A17" w:rsidRDefault="0094535F" w:rsidP="0094535F">
      <w:pPr>
        <w:pStyle w:val="ECCReference"/>
        <w:numPr>
          <w:ilvl w:val="0"/>
          <w:numId w:val="4"/>
        </w:numPr>
      </w:pPr>
      <w:bookmarkStart w:id="2120" w:name="_Ref505088940"/>
      <w:bookmarkStart w:id="2121" w:name="_Ref505353832"/>
      <w:r w:rsidRPr="008D2A17">
        <w:t>Resolution ITU-R 56</w:t>
      </w:r>
      <w:r w:rsidR="00CF1FDD">
        <w:t>:</w:t>
      </w:r>
      <w:r w:rsidRPr="008D2A17">
        <w:t xml:space="preserve"> “Naming for International Mobile Telecommunications</w:t>
      </w:r>
      <w:bookmarkEnd w:id="2120"/>
      <w:r w:rsidRPr="008D2A17">
        <w:t>”</w:t>
      </w:r>
      <w:bookmarkEnd w:id="2121"/>
    </w:p>
    <w:p w14:paraId="0A601B5E" w14:textId="36F0BD7D" w:rsidR="0094535F" w:rsidRPr="008D2A17" w:rsidRDefault="0094535F" w:rsidP="0094535F">
      <w:pPr>
        <w:pStyle w:val="ECCReference"/>
        <w:numPr>
          <w:ilvl w:val="0"/>
          <w:numId w:val="4"/>
        </w:numPr>
      </w:pPr>
      <w:bookmarkStart w:id="2122" w:name="_Ref505088979"/>
      <w:bookmarkStart w:id="2123" w:name="_Ref518566801"/>
      <w:r w:rsidRPr="008D2A17">
        <w:t>Recommendation ITU-R M.2083</w:t>
      </w:r>
      <w:bookmarkEnd w:id="2122"/>
      <w:r w:rsidR="005A166E" w:rsidRPr="008D2A17">
        <w:t>-0</w:t>
      </w:r>
      <w:r w:rsidR="00CF1FDD">
        <w:t>:</w:t>
      </w:r>
      <w:r w:rsidR="005A166E" w:rsidRPr="008D2A17">
        <w:t xml:space="preserve"> “IMT Vision - "Framework and overall objectives of the future development of IMT for 2020 and beyond"”</w:t>
      </w:r>
      <w:bookmarkEnd w:id="2123"/>
    </w:p>
    <w:p w14:paraId="24069328" w14:textId="4CA23F5F" w:rsidR="0094535F" w:rsidRPr="008D2A17" w:rsidRDefault="0094535F" w:rsidP="0094535F">
      <w:pPr>
        <w:pStyle w:val="ECCReference"/>
        <w:numPr>
          <w:ilvl w:val="0"/>
          <w:numId w:val="4"/>
        </w:numPr>
      </w:pPr>
      <w:bookmarkStart w:id="2124" w:name="_Ref505089191"/>
      <w:r w:rsidRPr="008D2A17">
        <w:t>Recommendation ITU-R M.1457</w:t>
      </w:r>
      <w:bookmarkEnd w:id="2124"/>
      <w:r w:rsidR="005A166E" w:rsidRPr="008D2A17">
        <w:t>-13</w:t>
      </w:r>
      <w:r w:rsidR="00CF1FDD">
        <w:t>:</w:t>
      </w:r>
      <w:r w:rsidR="005A166E" w:rsidRPr="008D2A17">
        <w:t xml:space="preserve"> “Detailed specifications of the terrestrial radio interfaces of International Mobile Telecommunications-2000 (IMT-2000)”</w:t>
      </w:r>
    </w:p>
    <w:p w14:paraId="2B482D3D" w14:textId="77777777" w:rsidR="0094535F" w:rsidRPr="008D2A17" w:rsidRDefault="0094535F" w:rsidP="0094535F">
      <w:pPr>
        <w:pStyle w:val="ECCReference"/>
        <w:numPr>
          <w:ilvl w:val="0"/>
          <w:numId w:val="4"/>
        </w:numPr>
      </w:pPr>
      <w:bookmarkStart w:id="2125" w:name="_Ref505089267"/>
      <w:bookmarkStart w:id="2126" w:name="_Ref505353853"/>
      <w:r w:rsidRPr="008D2A17">
        <w:t>Recommendation ITU-R M.2012-2: “Detailed specifications of the terrestrial radio interfaces of International Mobile Telecommunications Advanced (IMT-Advanced) ”</w:t>
      </w:r>
      <w:bookmarkEnd w:id="2125"/>
      <w:r w:rsidRPr="008D2A17">
        <w:t>’</w:t>
      </w:r>
      <w:bookmarkEnd w:id="2126"/>
    </w:p>
    <w:p w14:paraId="0AFC507C" w14:textId="07660CFC" w:rsidR="0094535F" w:rsidRPr="008D2A17" w:rsidRDefault="0094535F" w:rsidP="0094535F">
      <w:pPr>
        <w:pStyle w:val="ECCReference"/>
        <w:numPr>
          <w:ilvl w:val="0"/>
          <w:numId w:val="4"/>
        </w:numPr>
      </w:pPr>
      <w:bookmarkStart w:id="2127" w:name="_Ref505089362"/>
      <w:r w:rsidRPr="008D2A17">
        <w:t>Recommendation ITU-R M.1645</w:t>
      </w:r>
      <w:bookmarkEnd w:id="2127"/>
      <w:r w:rsidR="005A166E" w:rsidRPr="008D2A17">
        <w:t>-0</w:t>
      </w:r>
      <w:r w:rsidR="00CF1FDD">
        <w:t>:</w:t>
      </w:r>
      <w:r w:rsidR="005A166E" w:rsidRPr="008D2A17">
        <w:t xml:space="preserve"> “Framework and overall objectives of the future development of IMT-2000 and systems beyond IMT-2000”</w:t>
      </w:r>
    </w:p>
    <w:p w14:paraId="0CA857ED" w14:textId="13958FF8" w:rsidR="0062167A" w:rsidRPr="008D2A17" w:rsidRDefault="0062167A" w:rsidP="0062167A">
      <w:pPr>
        <w:pStyle w:val="reference"/>
        <w:numPr>
          <w:ilvl w:val="0"/>
          <w:numId w:val="4"/>
        </w:numPr>
        <w:jc w:val="both"/>
        <w:rPr>
          <w:lang w:val="en-GB"/>
        </w:rPr>
      </w:pPr>
      <w:bookmarkStart w:id="2128" w:name="_Ref499799267"/>
      <w:bookmarkStart w:id="2129" w:name="_Ref499913796"/>
      <w:r w:rsidRPr="008D2A17">
        <w:rPr>
          <w:lang w:val="en-GB"/>
        </w:rPr>
        <w:t>ECC Report 203: "Least Restrictive Technical Conditions suitable for Mobile/Fixed Communication Networks (MFCN), including IMT, in the frequency bands 3400-3600</w:t>
      </w:r>
      <w:r w:rsidR="00AB2111" w:rsidRPr="008D2A17">
        <w:rPr>
          <w:lang w:val="en-GB"/>
        </w:rPr>
        <w:t> MHz</w:t>
      </w:r>
      <w:r w:rsidRPr="008D2A17">
        <w:rPr>
          <w:lang w:val="en-GB"/>
        </w:rPr>
        <w:t xml:space="preserve"> and 3600-3800</w:t>
      </w:r>
      <w:r w:rsidR="00AB2111" w:rsidRPr="008D2A17">
        <w:rPr>
          <w:lang w:val="en-GB"/>
        </w:rPr>
        <w:t> MHz</w:t>
      </w:r>
      <w:bookmarkEnd w:id="2128"/>
      <w:r w:rsidRPr="008D2A17">
        <w:rPr>
          <w:lang w:val="en-GB"/>
        </w:rPr>
        <w:t>"</w:t>
      </w:r>
      <w:bookmarkEnd w:id="2129"/>
      <w:r w:rsidR="00CB2C51">
        <w:rPr>
          <w:lang w:val="en-GB"/>
        </w:rPr>
        <w:t xml:space="preserve">, </w:t>
      </w:r>
      <w:r w:rsidR="00CB2C51" w:rsidRPr="00CF0720">
        <w:t>Corrected March 2014</w:t>
      </w:r>
    </w:p>
    <w:p w14:paraId="3141DF63" w14:textId="603C1521" w:rsidR="009E58C5" w:rsidRPr="00CB2C51" w:rsidRDefault="00CB2C51" w:rsidP="00BE123F">
      <w:pPr>
        <w:pStyle w:val="reference"/>
        <w:rPr>
          <w:lang w:val="en-GB"/>
        </w:rPr>
      </w:pPr>
      <w:bookmarkStart w:id="2130" w:name="_Ref507751261"/>
      <w:r>
        <w:rPr>
          <w:lang w:val="en-GB"/>
        </w:rPr>
        <w:t>“</w:t>
      </w:r>
      <w:r w:rsidRPr="00CB2C51">
        <w:rPr>
          <w:lang w:val="en-GB"/>
        </w:rPr>
        <w:t>5G for Europe: An Action Plan</w:t>
      </w:r>
      <w:bookmarkEnd w:id="2130"/>
      <w:r>
        <w:rPr>
          <w:lang w:val="en-GB"/>
        </w:rPr>
        <w:t>”, European Commission, September 2016</w:t>
      </w:r>
    </w:p>
    <w:p w14:paraId="4723ACF6" w14:textId="77777777" w:rsidR="0062167A" w:rsidRPr="008D2A17" w:rsidRDefault="0062167A" w:rsidP="0062167A">
      <w:pPr>
        <w:pStyle w:val="reference"/>
        <w:numPr>
          <w:ilvl w:val="0"/>
          <w:numId w:val="4"/>
        </w:numPr>
        <w:jc w:val="both"/>
        <w:rPr>
          <w:lang w:val="en-GB"/>
        </w:rPr>
      </w:pPr>
      <w:bookmarkStart w:id="2131" w:name="_Ref500795122"/>
      <w:bookmarkEnd w:id="2114"/>
      <w:r w:rsidRPr="008D2A17">
        <w:rPr>
          <w:lang w:val="en-GB"/>
        </w:rPr>
        <w:t>Recommendation ITU-R M.2101-0 (02/2017): "Modelling and simulation of IMT networks and systems for use in sharing and compatibility studies"</w:t>
      </w:r>
      <w:bookmarkStart w:id="2132" w:name="_GoBack"/>
      <w:bookmarkEnd w:id="2131"/>
      <w:bookmarkEnd w:id="2132"/>
    </w:p>
    <w:p w14:paraId="3EAF2498" w14:textId="462521F1" w:rsidR="0094535F" w:rsidRPr="008D2A17" w:rsidRDefault="0094535F" w:rsidP="0094535F">
      <w:pPr>
        <w:pStyle w:val="reference"/>
        <w:rPr>
          <w:lang w:val="en-GB"/>
        </w:rPr>
      </w:pPr>
      <w:bookmarkStart w:id="2133" w:name="_Ref505354114"/>
      <w:r w:rsidRPr="008D2A17">
        <w:rPr>
          <w:lang w:val="en-GB"/>
        </w:rPr>
        <w:t xml:space="preserve">ECC Report </w:t>
      </w:r>
      <w:r w:rsidR="005278D6" w:rsidRPr="008D2A17">
        <w:rPr>
          <w:lang w:val="en-GB"/>
        </w:rPr>
        <w:t>281</w:t>
      </w:r>
      <w:r w:rsidRPr="008D2A17">
        <w:rPr>
          <w:lang w:val="en-GB"/>
        </w:rPr>
        <w:t xml:space="preserve">: </w:t>
      </w:r>
      <w:r w:rsidR="007B36E5">
        <w:rPr>
          <w:lang w:val="en-GB"/>
        </w:rPr>
        <w:t>“</w:t>
      </w:r>
      <w:r w:rsidRPr="008D2A17">
        <w:rPr>
          <w:lang w:val="en-GB"/>
        </w:rPr>
        <w:t>Analysis of the suitability of the regulatory technical conditions for 5G MFCN operation in the 3400-3800</w:t>
      </w:r>
      <w:r w:rsidR="00AB2111" w:rsidRPr="008D2A17">
        <w:rPr>
          <w:lang w:val="en-GB"/>
        </w:rPr>
        <w:t> MHz</w:t>
      </w:r>
      <w:r w:rsidRPr="008D2A17">
        <w:rPr>
          <w:lang w:val="en-GB"/>
        </w:rPr>
        <w:t xml:space="preserve"> band</w:t>
      </w:r>
      <w:r w:rsidR="007B36E5">
        <w:rPr>
          <w:lang w:val="en-GB"/>
        </w:rPr>
        <w:t>”</w:t>
      </w:r>
      <w:r w:rsidRPr="008D2A17">
        <w:rPr>
          <w:lang w:val="en-GB"/>
        </w:rPr>
        <w:t xml:space="preserve">, </w:t>
      </w:r>
      <w:r w:rsidR="007D1DBC">
        <w:rPr>
          <w:lang w:val="en-GB"/>
        </w:rPr>
        <w:t xml:space="preserve">6 </w:t>
      </w:r>
      <w:r w:rsidR="0001295D" w:rsidRPr="007D1DBC">
        <w:rPr>
          <w:lang w:val="en-GB"/>
        </w:rPr>
        <w:t>July</w:t>
      </w:r>
      <w:r w:rsidRPr="007D1DBC">
        <w:rPr>
          <w:lang w:val="en-GB"/>
        </w:rPr>
        <w:t xml:space="preserve"> 2018</w:t>
      </w:r>
      <w:bookmarkEnd w:id="2133"/>
    </w:p>
    <w:p w14:paraId="601BC325" w14:textId="48B39554" w:rsidR="0062167A" w:rsidRPr="008D2A17" w:rsidRDefault="0062167A" w:rsidP="0062167A">
      <w:pPr>
        <w:pStyle w:val="reference"/>
        <w:numPr>
          <w:ilvl w:val="0"/>
          <w:numId w:val="4"/>
        </w:numPr>
        <w:jc w:val="both"/>
        <w:rPr>
          <w:lang w:val="en-GB"/>
        </w:rPr>
      </w:pPr>
      <w:bookmarkStart w:id="2134" w:name="_Ref505354167"/>
      <w:bookmarkStart w:id="2135" w:name="_Ref500077670"/>
      <w:r w:rsidRPr="008D2A17">
        <w:rPr>
          <w:lang w:val="en-GB"/>
        </w:rPr>
        <w:t xml:space="preserve">3GPP TS 37.104: </w:t>
      </w:r>
      <w:r w:rsidR="00CB2C51" w:rsidRPr="008D2A17">
        <w:rPr>
          <w:lang w:val="en-GB"/>
        </w:rPr>
        <w:t xml:space="preserve">Technical Specification Group Radio Access Network </w:t>
      </w:r>
      <w:r w:rsidRPr="008D2A17">
        <w:rPr>
          <w:lang w:val="en-GB"/>
        </w:rPr>
        <w:t>"E-UTRA, UTRA and GSM/EDGE; Multi-Standard Radio (MSR) Base Station (BS) radio transmission and reception (Release 15)"</w:t>
      </w:r>
      <w:bookmarkEnd w:id="2134"/>
    </w:p>
    <w:p w14:paraId="241A39CF" w14:textId="2C7499AC" w:rsidR="0062167A" w:rsidRPr="008D2A17" w:rsidRDefault="0062167A" w:rsidP="0062167A">
      <w:pPr>
        <w:pStyle w:val="reference"/>
        <w:numPr>
          <w:ilvl w:val="0"/>
          <w:numId w:val="4"/>
        </w:numPr>
        <w:jc w:val="both"/>
        <w:rPr>
          <w:lang w:val="en-GB"/>
        </w:rPr>
      </w:pPr>
      <w:bookmarkStart w:id="2136" w:name="_Ref500085486"/>
      <w:bookmarkEnd w:id="2135"/>
      <w:r w:rsidRPr="008D2A17">
        <w:rPr>
          <w:lang w:val="en-GB"/>
        </w:rPr>
        <w:t xml:space="preserve">3GPP TS 37.105: </w:t>
      </w:r>
      <w:r w:rsidR="00CB2C51" w:rsidRPr="008D2A17">
        <w:rPr>
          <w:lang w:val="en-GB"/>
        </w:rPr>
        <w:t xml:space="preserve">Technical Specification Group Radio Access Network </w:t>
      </w:r>
      <w:r w:rsidRPr="008D2A17">
        <w:rPr>
          <w:lang w:val="en-GB"/>
        </w:rPr>
        <w:t>"Active Antenna System (AAS) Base Station (BS) transmission and reception (Release 14)"</w:t>
      </w:r>
      <w:bookmarkEnd w:id="2136"/>
    </w:p>
    <w:p w14:paraId="1D288C19" w14:textId="11B7656D" w:rsidR="0062167A" w:rsidRPr="008D2A17" w:rsidRDefault="002F0770" w:rsidP="0062167A">
      <w:pPr>
        <w:pStyle w:val="reference"/>
        <w:numPr>
          <w:ilvl w:val="0"/>
          <w:numId w:val="4"/>
        </w:numPr>
        <w:jc w:val="both"/>
        <w:rPr>
          <w:lang w:val="en-GB"/>
        </w:rPr>
      </w:pPr>
      <w:bookmarkStart w:id="2137" w:name="_Ref500086255"/>
      <w:r w:rsidRPr="008D2A17">
        <w:rPr>
          <w:lang w:val="en-GB"/>
        </w:rPr>
        <w:t xml:space="preserve">3GPP </w:t>
      </w:r>
      <w:r w:rsidR="0062167A" w:rsidRPr="008D2A17">
        <w:rPr>
          <w:lang w:val="en-GB"/>
        </w:rPr>
        <w:t>R4-168430</w:t>
      </w:r>
      <w:r w:rsidRPr="008D2A17">
        <w:rPr>
          <w:lang w:val="en-GB"/>
        </w:rPr>
        <w:t>,</w:t>
      </w:r>
      <w:r w:rsidR="0062167A" w:rsidRPr="008D2A17">
        <w:rPr>
          <w:lang w:val="en-GB"/>
        </w:rPr>
        <w:t xml:space="preserve"> </w:t>
      </w:r>
      <w:r w:rsidRPr="008D2A17">
        <w:rPr>
          <w:lang w:val="en-GB"/>
        </w:rPr>
        <w:t>“</w:t>
      </w:r>
      <w:r w:rsidR="0062167A" w:rsidRPr="008D2A17">
        <w:rPr>
          <w:lang w:val="en-GB"/>
        </w:rPr>
        <w:t xml:space="preserve">On </w:t>
      </w:r>
      <w:proofErr w:type="spellStart"/>
      <w:r w:rsidR="0062167A" w:rsidRPr="008D2A17">
        <w:rPr>
          <w:lang w:val="en-GB"/>
        </w:rPr>
        <w:t>NRb</w:t>
      </w:r>
      <w:proofErr w:type="spellEnd"/>
      <w:r w:rsidR="0062167A" w:rsidRPr="008D2A17">
        <w:rPr>
          <w:lang w:val="en-GB"/>
        </w:rPr>
        <w:t xml:space="preserve"> BS ACLR requirement,”</w:t>
      </w:r>
      <w:r w:rsidRPr="008D2A17">
        <w:rPr>
          <w:lang w:val="en-GB"/>
        </w:rPr>
        <w:t xml:space="preserve"> Huawei,</w:t>
      </w:r>
      <w:r w:rsidR="0062167A" w:rsidRPr="008D2A17">
        <w:rPr>
          <w:lang w:val="en-GB"/>
        </w:rPr>
        <w:t xml:space="preserve"> 3GPP </w:t>
      </w:r>
      <w:r w:rsidR="00CB2C51">
        <w:rPr>
          <w:lang w:val="en-GB"/>
        </w:rPr>
        <w:t>TSG-RAN WG4 Meeting #80bis, October</w:t>
      </w:r>
      <w:r w:rsidR="0062167A" w:rsidRPr="008D2A17">
        <w:rPr>
          <w:lang w:val="en-GB"/>
        </w:rPr>
        <w:t xml:space="preserve"> 2016.</w:t>
      </w:r>
      <w:bookmarkEnd w:id="2137"/>
    </w:p>
    <w:p w14:paraId="37936304" w14:textId="314BAE39" w:rsidR="0062167A" w:rsidRPr="008D2A17" w:rsidRDefault="002F0770" w:rsidP="0062167A">
      <w:pPr>
        <w:pStyle w:val="reference"/>
        <w:numPr>
          <w:ilvl w:val="0"/>
          <w:numId w:val="4"/>
        </w:numPr>
        <w:jc w:val="both"/>
        <w:rPr>
          <w:lang w:val="en-GB"/>
        </w:rPr>
      </w:pPr>
      <w:bookmarkStart w:id="2138" w:name="_Ref500087885"/>
      <w:r w:rsidRPr="008D2A17">
        <w:rPr>
          <w:lang w:val="en-GB"/>
        </w:rPr>
        <w:t xml:space="preserve">3GPP </w:t>
      </w:r>
      <w:r w:rsidR="0062167A" w:rsidRPr="008D2A17">
        <w:rPr>
          <w:lang w:val="en-GB"/>
        </w:rPr>
        <w:t>R4-165896</w:t>
      </w:r>
      <w:r w:rsidR="00CB2C51">
        <w:rPr>
          <w:lang w:val="en-GB"/>
        </w:rPr>
        <w:t>:</w:t>
      </w:r>
      <w:r w:rsidR="0062167A" w:rsidRPr="008D2A17">
        <w:rPr>
          <w:lang w:val="en-GB"/>
        </w:rPr>
        <w:t xml:space="preserve"> “Metric for unwanted emissions and ACLR”, Ericsson, 3GPP TSG-RAN WG4 #80</w:t>
      </w:r>
      <w:bookmarkEnd w:id="2138"/>
      <w:r w:rsidR="00CB2C51">
        <w:rPr>
          <w:lang w:val="en-GB"/>
        </w:rPr>
        <w:t xml:space="preserve">, </w:t>
      </w:r>
      <w:r w:rsidR="00CB2C51">
        <w:t>August 2016</w:t>
      </w:r>
    </w:p>
    <w:p w14:paraId="2C4A5251" w14:textId="07574417" w:rsidR="0062167A" w:rsidRPr="008D2A17" w:rsidRDefault="0062167A" w:rsidP="0062167A">
      <w:pPr>
        <w:pStyle w:val="reference"/>
        <w:numPr>
          <w:ilvl w:val="0"/>
          <w:numId w:val="4"/>
        </w:numPr>
        <w:jc w:val="both"/>
        <w:rPr>
          <w:lang w:val="en-GB"/>
        </w:rPr>
      </w:pPr>
      <w:bookmarkStart w:id="2139" w:name="_Ref500088244"/>
      <w:r w:rsidRPr="008D2A17">
        <w:rPr>
          <w:lang w:val="en-GB"/>
        </w:rPr>
        <w:t>3GPP TR 37.840</w:t>
      </w:r>
      <w:r w:rsidR="00CB2C51">
        <w:rPr>
          <w:lang w:val="en-GB"/>
        </w:rPr>
        <w:t>:</w:t>
      </w:r>
      <w:r w:rsidRPr="008D2A17">
        <w:rPr>
          <w:lang w:val="en-GB"/>
        </w:rPr>
        <w:t xml:space="preserve"> Technical Specification Group Radio Access Network "Study of Radio Frequency (RF) and Electromagnetic Compatibility (EMC) requirements for Active Antenna Array System (AAS) base station (Release 12)</w:t>
      </w:r>
      <w:bookmarkEnd w:id="2139"/>
    </w:p>
    <w:p w14:paraId="3A44BA4E" w14:textId="55B3923A" w:rsidR="0062167A" w:rsidRPr="008D2A17" w:rsidRDefault="0067417A" w:rsidP="0062167A">
      <w:pPr>
        <w:pStyle w:val="reference"/>
        <w:numPr>
          <w:ilvl w:val="0"/>
          <w:numId w:val="4"/>
        </w:numPr>
        <w:jc w:val="both"/>
        <w:rPr>
          <w:lang w:val="en-GB"/>
        </w:rPr>
      </w:pPr>
      <w:bookmarkStart w:id="2140" w:name="_Ref500088777"/>
      <w:r w:rsidRPr="008D2A17">
        <w:rPr>
          <w:lang w:val="en-GB"/>
        </w:rPr>
        <w:t xml:space="preserve">3GPP </w:t>
      </w:r>
      <w:r w:rsidR="0062167A" w:rsidRPr="008D2A17">
        <w:rPr>
          <w:lang w:val="en-GB"/>
        </w:rPr>
        <w:t>R4-165899, “On modelling the spatial shape of ACLR”, Ericsson, 3GPP TSG-RAN WG4 #80</w:t>
      </w:r>
      <w:bookmarkEnd w:id="2140"/>
      <w:r w:rsidR="00CB2C51">
        <w:rPr>
          <w:lang w:val="en-GB"/>
        </w:rPr>
        <w:t xml:space="preserve">, </w:t>
      </w:r>
      <w:r w:rsidR="00CB2C51">
        <w:t>August 2016</w:t>
      </w:r>
    </w:p>
    <w:p w14:paraId="79AC03BF" w14:textId="29E58567" w:rsidR="0094535F" w:rsidRPr="008D2A17" w:rsidRDefault="0094535F" w:rsidP="0062167A">
      <w:pPr>
        <w:pStyle w:val="reference"/>
        <w:numPr>
          <w:ilvl w:val="0"/>
          <w:numId w:val="4"/>
        </w:numPr>
        <w:jc w:val="both"/>
        <w:rPr>
          <w:lang w:val="en-GB"/>
        </w:rPr>
      </w:pPr>
      <w:bookmarkStart w:id="2141" w:name="_Ref505354266"/>
      <w:r w:rsidRPr="008D2A17">
        <w:rPr>
          <w:lang w:val="en-GB"/>
        </w:rPr>
        <w:t>ECC Report 216 "Practical guidance for TDD networks synchronisation"</w:t>
      </w:r>
      <w:bookmarkEnd w:id="2141"/>
      <w:r w:rsidR="007B36E5">
        <w:rPr>
          <w:lang w:val="en-GB"/>
        </w:rPr>
        <w:t>, August 2014</w:t>
      </w:r>
    </w:p>
    <w:p w14:paraId="1DAA5B9D" w14:textId="78742835" w:rsidR="00CB2C51" w:rsidRPr="00BF1CA6" w:rsidRDefault="00CB2C51" w:rsidP="00BE123F">
      <w:pPr>
        <w:pStyle w:val="ECCReference"/>
        <w:numPr>
          <w:ilvl w:val="0"/>
          <w:numId w:val="4"/>
        </w:numPr>
      </w:pPr>
      <w:bookmarkStart w:id="2142" w:name="_Ref500150261"/>
      <w:bookmarkStart w:id="2143" w:name="_Ref505248231"/>
      <w:r>
        <w:t xml:space="preserve">3GPP </w:t>
      </w:r>
      <w:r w:rsidRPr="00AD27FA">
        <w:t>R1-1611081</w:t>
      </w:r>
      <w:r>
        <w:t xml:space="preserve">: </w:t>
      </w:r>
      <w:r w:rsidRPr="00AD27FA">
        <w:t xml:space="preserve">Final Report of </w:t>
      </w:r>
      <w:r w:rsidRPr="00BF1CA6">
        <w:t xml:space="preserve">3GPP TSG RAN WG1 #86bis, </w:t>
      </w:r>
      <w:r>
        <w:t>November</w:t>
      </w:r>
      <w:r w:rsidRPr="00BF1CA6">
        <w:t xml:space="preserve"> 2016</w:t>
      </w:r>
      <w:bookmarkEnd w:id="2142"/>
    </w:p>
    <w:p w14:paraId="2CFA71A0" w14:textId="578CE885" w:rsidR="00EC394D" w:rsidRPr="00BF1CA6" w:rsidRDefault="00EC394D" w:rsidP="00BE123F">
      <w:pPr>
        <w:pStyle w:val="ECCReference"/>
        <w:numPr>
          <w:ilvl w:val="0"/>
          <w:numId w:val="4"/>
        </w:numPr>
      </w:pPr>
      <w:r>
        <w:t>ECC PT1(17)070</w:t>
      </w:r>
      <w:r w:rsidR="00CB2C51">
        <w:t>:</w:t>
      </w:r>
      <w:r w:rsidRPr="00BE123F">
        <w:rPr>
          <w:lang w:val="en-US"/>
        </w:rPr>
        <w:t xml:space="preserve"> “LS on Suitability of technical conditions of </w:t>
      </w:r>
      <w:r w:rsidRPr="00CF0720">
        <w:t>ECC/DEC/(11)06</w:t>
      </w:r>
      <w:r w:rsidRPr="00BE123F">
        <w:rPr>
          <w:lang w:val="en-US"/>
        </w:rPr>
        <w:t xml:space="preserve"> for 5G</w:t>
      </w:r>
      <w:r w:rsidRPr="00CF0720">
        <w:t>”</w:t>
      </w:r>
      <w:bookmarkEnd w:id="2143"/>
      <w:r>
        <w:t>,</w:t>
      </w:r>
      <w:r w:rsidRPr="00BF1CA6">
        <w:t xml:space="preserve"> 3GPP TSG-RAN WG4</w:t>
      </w:r>
      <w:r>
        <w:t>, April 2017</w:t>
      </w:r>
    </w:p>
    <w:p w14:paraId="47BFE32A" w14:textId="77777777" w:rsidR="002A503C" w:rsidRPr="008D2A17" w:rsidRDefault="002A503C" w:rsidP="00AB46DF">
      <w:pPr>
        <w:pStyle w:val="reference"/>
        <w:numPr>
          <w:ilvl w:val="0"/>
          <w:numId w:val="4"/>
        </w:numPr>
        <w:jc w:val="both"/>
        <w:rPr>
          <w:lang w:val="en-GB"/>
        </w:rPr>
      </w:pPr>
      <w:bookmarkStart w:id="2144" w:name="_Ref507493620"/>
      <w:r w:rsidRPr="008D2A17">
        <w:rPr>
          <w:lang w:val="en-GB"/>
        </w:rPr>
        <w:t>3GPP TS 38.104 V15.0.0 (2017-12)</w:t>
      </w:r>
      <w:r w:rsidR="002F0770" w:rsidRPr="008D2A17">
        <w:rPr>
          <w:lang w:val="en-GB"/>
        </w:rPr>
        <w:t>,</w:t>
      </w:r>
      <w:r w:rsidRPr="008D2A17">
        <w:rPr>
          <w:lang w:val="en-GB"/>
        </w:rPr>
        <w:t xml:space="preserve"> </w:t>
      </w:r>
      <w:r w:rsidR="002F0770" w:rsidRPr="008D2A17">
        <w:rPr>
          <w:lang w:val="en-GB"/>
        </w:rPr>
        <w:t>“</w:t>
      </w:r>
      <w:r w:rsidRPr="008D2A17">
        <w:rPr>
          <w:lang w:val="en-GB"/>
        </w:rPr>
        <w:t>NR; Base Station (BS) radio transmission and reception (Release 15)”</w:t>
      </w:r>
      <w:bookmarkEnd w:id="2144"/>
    </w:p>
    <w:sectPr w:rsidR="002A503C" w:rsidRPr="008D2A17" w:rsidSect="00AB46DF">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EA051" w14:textId="77777777" w:rsidR="00297F2E" w:rsidRDefault="00297F2E" w:rsidP="00AB46DF">
      <w:r>
        <w:separator/>
      </w:r>
    </w:p>
  </w:endnote>
  <w:endnote w:type="continuationSeparator" w:id="0">
    <w:p w14:paraId="4675CC80" w14:textId="77777777" w:rsidR="00297F2E" w:rsidRDefault="00297F2E" w:rsidP="00AB46DF">
      <w:r>
        <w:continuationSeparator/>
      </w:r>
    </w:p>
  </w:endnote>
  <w:endnote w:type="continuationNotice" w:id="1">
    <w:p w14:paraId="36871DF3" w14:textId="77777777" w:rsidR="00297F2E" w:rsidRDefault="00297F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97519" w14:textId="77777777" w:rsidR="00297F2E" w:rsidRDefault="00297F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21E12" w14:textId="77777777" w:rsidR="00297F2E" w:rsidRDefault="00297F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3111">
      <w:rPr>
        <w:rStyle w:val="PageNumber"/>
        <w:noProof/>
      </w:rPr>
      <w:t>43</w:t>
    </w:r>
    <w:r>
      <w:rPr>
        <w:rStyle w:val="PageNumber"/>
      </w:rPr>
      <w:fldChar w:fldCharType="end"/>
    </w:r>
  </w:p>
  <w:p w14:paraId="26E867D1" w14:textId="77777777" w:rsidR="00297F2E" w:rsidRDefault="00297F2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817EF" w14:textId="77777777" w:rsidR="00297F2E" w:rsidRDefault="00297F2E">
    <w:pPr>
      <w:pStyle w:val="Footer"/>
    </w:pPr>
  </w:p>
  <w:p w14:paraId="152B1ADF" w14:textId="76E1444B" w:rsidR="00297F2E" w:rsidRPr="00EA1D94" w:rsidRDefault="00297F2E">
    <w:pPr>
      <w:pStyle w:val="Footer"/>
      <w:ind w:left="284"/>
      <w:rPr>
        <w:lang w:val="fr-FR"/>
      </w:rPr>
    </w:pPr>
    <w:hyperlink r:id="rId1" w:history="1"/>
    <w:proofErr w:type="spellStart"/>
    <w:r w:rsidRPr="005C1C71">
      <w:rPr>
        <w:rFonts w:cs="Arial"/>
        <w:szCs w:val="16"/>
        <w:lang w:val="fr-FR"/>
      </w:rPr>
      <w:t>European</w:t>
    </w:r>
    <w:proofErr w:type="spellEnd"/>
    <w:r w:rsidRPr="005C1C71">
      <w:rPr>
        <w:rFonts w:cs="Arial"/>
        <w:szCs w:val="16"/>
        <w:lang w:val="fr-FR"/>
      </w:rPr>
      <w:t xml:space="preserve"> Commission, </w:t>
    </w:r>
    <w:r w:rsidRPr="005C1C71">
      <w:rPr>
        <w:lang w:val="fr-FR"/>
      </w:rPr>
      <w:t xml:space="preserve">DG Communications Networks Content &amp; </w:t>
    </w:r>
    <w:proofErr w:type="spellStart"/>
    <w:r w:rsidRPr="005C1C71">
      <w:rPr>
        <w:lang w:val="fr-FR"/>
      </w:rPr>
      <w:t>Technology</w:t>
    </w:r>
    <w:proofErr w:type="spellEnd"/>
    <w:r w:rsidRPr="005C1C71">
      <w:rPr>
        <w:rFonts w:cs="Arial"/>
        <w:szCs w:val="16"/>
        <w:lang w:val="fr-FR"/>
      </w:rPr>
      <w:t>, 200 Rue de la Loi, B-1049  Bruxelles</w:t>
    </w:r>
    <w:r w:rsidRPr="005C1C71">
      <w:rPr>
        <w:rFonts w:cs="Arial"/>
        <w:noProof/>
        <w:szCs w:val="16"/>
        <w:lang w:val="fr-FR"/>
      </w:rPr>
      <w:t xml:space="preserve">  </w:t>
    </w:r>
    <w:r w:rsidRPr="005C1C71">
      <w:rPr>
        <w:rFonts w:cs="Arial"/>
        <w:noProof/>
        <w:szCs w:val="16"/>
        <w:lang w:val="fr-FR"/>
      </w:rPr>
      <w:br/>
    </w:r>
    <w:r w:rsidRPr="005C1C71">
      <w:rPr>
        <w:rFonts w:cs="Arial"/>
        <w:szCs w:val="16"/>
        <w:lang w:val="fr-FR"/>
      </w:rPr>
      <w:t xml:space="preserve">RSC </w:t>
    </w:r>
    <w:proofErr w:type="spellStart"/>
    <w:r w:rsidRPr="005C1C71">
      <w:rPr>
        <w:rFonts w:cs="Arial"/>
        <w:szCs w:val="16"/>
        <w:lang w:val="fr-FR"/>
      </w:rPr>
      <w:t>Secretariat</w:t>
    </w:r>
    <w:proofErr w:type="spellEnd"/>
    <w:r w:rsidRPr="005C1C71">
      <w:rPr>
        <w:rFonts w:cs="Arial"/>
        <w:szCs w:val="16"/>
        <w:lang w:val="fr-FR"/>
      </w:rPr>
      <w:t xml:space="preserve">, Avenue de Beaulieu 33, B-1160  Brussels - </w:t>
    </w:r>
    <w:proofErr w:type="spellStart"/>
    <w:r w:rsidRPr="005C1C71">
      <w:rPr>
        <w:rFonts w:cs="Arial"/>
        <w:szCs w:val="16"/>
        <w:lang w:val="fr-FR"/>
      </w:rPr>
      <w:t>Belgium</w:t>
    </w:r>
    <w:proofErr w:type="spellEnd"/>
    <w:r w:rsidRPr="005C1C71">
      <w:rPr>
        <w:rFonts w:cs="Arial"/>
        <w:szCs w:val="16"/>
        <w:lang w:val="fr-FR"/>
      </w:rPr>
      <w:t xml:space="preserve"> - Office BU33 7/09</w:t>
    </w:r>
    <w:r w:rsidRPr="005C1C71">
      <w:rPr>
        <w:rFonts w:cs="Arial"/>
        <w:szCs w:val="16"/>
        <w:lang w:val="fr-FR"/>
      </w:rPr>
      <w:br/>
    </w:r>
    <w:r w:rsidRPr="005C1C71">
      <w:rPr>
        <w:rFonts w:cs="Arial"/>
        <w:noProof/>
        <w:szCs w:val="16"/>
        <w:lang w:val="fr-FR"/>
      </w:rPr>
      <w:t>Telephone:</w:t>
    </w:r>
    <w:r w:rsidRPr="005C1C71">
      <w:rPr>
        <w:rFonts w:cs="Arial"/>
        <w:szCs w:val="16"/>
        <w:lang w:val="fr-FR"/>
      </w:rPr>
      <w:t xml:space="preserve"> </w:t>
    </w:r>
    <w:r w:rsidRPr="005C1C71">
      <w:rPr>
        <w:rFonts w:cs="Arial"/>
        <w:noProof/>
        <w:szCs w:val="16"/>
        <w:lang w:val="fr-FR"/>
      </w:rPr>
      <w:t>direct line (+32-2)295.6512, switchboard (+32-2)299.11.11.</w:t>
    </w:r>
    <w:r w:rsidRPr="005C1C71">
      <w:rPr>
        <w:rFonts w:cs="Arial"/>
        <w:szCs w:val="16"/>
        <w:lang w:val="fr-FR"/>
      </w:rPr>
      <w:t xml:space="preserve"> </w:t>
    </w:r>
    <w:r w:rsidRPr="00EA1D94">
      <w:rPr>
        <w:lang w:val="fr-FR"/>
      </w:rPr>
      <w:t>Fax: (+32-2) 296.38.95</w:t>
    </w:r>
    <w:r w:rsidRPr="00EA1D94">
      <w:rPr>
        <w:lang w:val="fr-FR"/>
      </w:rPr>
      <w:br/>
      <w:t xml:space="preserve">E-mail : </w:t>
    </w:r>
    <w:hyperlink r:id="rId2" w:history="1">
      <w:r w:rsidRPr="00EA1D94">
        <w:rPr>
          <w:rStyle w:val="Hyperlink"/>
          <w:lang w:val="fr-FR"/>
        </w:rPr>
        <w:t>cnect-rsc@ec.europa.eu</w:t>
      </w:r>
    </w:hyperlink>
  </w:p>
  <w:p w14:paraId="31B297D5" w14:textId="77777777" w:rsidR="00297F2E" w:rsidRPr="00EA1D94" w:rsidRDefault="00297F2E">
    <w:pPr>
      <w:pStyle w:val="Footer"/>
      <w:rPr>
        <w:sz w:val="12"/>
        <w:lang w:val="fr-FR"/>
      </w:rPr>
    </w:pPr>
  </w:p>
  <w:p w14:paraId="2B779069" w14:textId="77777777" w:rsidR="00297F2E" w:rsidRPr="00EA1D94" w:rsidRDefault="00297F2E">
    <w:pPr>
      <w:pStyle w:val="Footer"/>
      <w:rPr>
        <w:sz w:val="12"/>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1B7CC" w14:textId="77777777" w:rsidR="00297F2E" w:rsidRDefault="00297F2E" w:rsidP="00AB46DF">
      <w:r>
        <w:separator/>
      </w:r>
    </w:p>
  </w:footnote>
  <w:footnote w:type="continuationSeparator" w:id="0">
    <w:p w14:paraId="6A47F27C" w14:textId="77777777" w:rsidR="00297F2E" w:rsidRDefault="00297F2E" w:rsidP="00AB46DF">
      <w:r>
        <w:continuationSeparator/>
      </w:r>
    </w:p>
  </w:footnote>
  <w:footnote w:type="continuationNotice" w:id="1">
    <w:p w14:paraId="41A40524" w14:textId="77777777" w:rsidR="00297F2E" w:rsidRDefault="00297F2E"/>
  </w:footnote>
  <w:footnote w:id="2">
    <w:p w14:paraId="22B53F9B" w14:textId="77777777" w:rsidR="00297F2E" w:rsidRDefault="00297F2E" w:rsidP="00B4183D">
      <w:pPr>
        <w:pStyle w:val="ECCFootnote"/>
      </w:pPr>
      <w:r>
        <w:rPr>
          <w:rStyle w:val="FootnoteReference"/>
        </w:rPr>
        <w:footnoteRef/>
      </w:r>
      <w:r>
        <w:t xml:space="preserve"> National regulators typically specify maximum in-block EIRPs “per equipment/sector”, focusing on the total EIRP, and its potential to cause harmful interference.</w:t>
      </w:r>
    </w:p>
  </w:footnote>
  <w:footnote w:id="3">
    <w:p w14:paraId="1E55EF82" w14:textId="77777777" w:rsidR="00297F2E" w:rsidRDefault="00297F2E" w:rsidP="00B4183D">
      <w:pPr>
        <w:pStyle w:val="ECCFootnote"/>
      </w:pPr>
      <w:r>
        <w:rPr>
          <w:rStyle w:val="FootnoteReference"/>
        </w:rPr>
        <w:footnoteRef/>
      </w:r>
      <w:r>
        <w:t xml:space="preserve"> A nominal antenna gain is assumed in deriving out-of-block EIRP limits from the 3GPP spectrum emission masks (transmit powers).</w:t>
      </w:r>
    </w:p>
  </w:footnote>
  <w:footnote w:id="4">
    <w:p w14:paraId="61D20BAB" w14:textId="4BDE4AD9" w:rsidR="00297F2E" w:rsidRPr="00CB1FCB" w:rsidRDefault="00297F2E" w:rsidP="00B4183D">
      <w:pPr>
        <w:pStyle w:val="ECCFootnote"/>
      </w:pPr>
      <w:r>
        <w:rPr>
          <w:rStyle w:val="FootnoteReference"/>
        </w:rPr>
        <w:footnoteRef/>
      </w:r>
      <w:r>
        <w:t xml:space="preserve"> </w:t>
      </w:r>
      <w:r w:rsidRPr="001855D5">
        <w:t xml:space="preserve">See ECC </w:t>
      </w:r>
      <w:r>
        <w:t>R</w:t>
      </w:r>
      <w:r w:rsidRPr="001855D5">
        <w:t>eport 281</w:t>
      </w:r>
      <w:r>
        <w:t xml:space="preserve"> </w:t>
      </w:r>
      <w:r>
        <w:fldChar w:fldCharType="begin"/>
      </w:r>
      <w:r>
        <w:instrText xml:space="preserve"> REF _Ref505354114 \r \h </w:instrText>
      </w:r>
      <w:r>
        <w:fldChar w:fldCharType="separate"/>
      </w:r>
      <w:r>
        <w:t>[14]</w:t>
      </w:r>
      <w:r>
        <w:fldChar w:fldCharType="end"/>
      </w:r>
    </w:p>
  </w:footnote>
  <w:footnote w:id="5">
    <w:p w14:paraId="521676DD" w14:textId="6FCD9CCD" w:rsidR="00297F2E" w:rsidRPr="00BD5666" w:rsidRDefault="00297F2E" w:rsidP="00B4183D">
      <w:pPr>
        <w:pStyle w:val="ECCFootnote"/>
        <w:rPr>
          <w:rStyle w:val="ECCHLorange"/>
        </w:rPr>
      </w:pPr>
      <w:r w:rsidRPr="00EA1D94">
        <w:rPr>
          <w:rStyle w:val="ECCHLorange"/>
          <w:shd w:val="clear" w:color="auto" w:fill="auto"/>
          <w:vertAlign w:val="superscript"/>
        </w:rPr>
        <w:footnoteRef/>
      </w:r>
      <w:r w:rsidRPr="00EA1D94">
        <w:rPr>
          <w:rStyle w:val="ECCHLorange"/>
          <w:shd w:val="clear" w:color="auto" w:fill="auto"/>
          <w:vertAlign w:val="superscript"/>
        </w:rPr>
        <w:t xml:space="preserve"> </w:t>
      </w:r>
      <w:r w:rsidRPr="00110F55">
        <w:t>In</w:t>
      </w:r>
      <w:r>
        <w:t xml:space="preserve"> </w:t>
      </w:r>
      <w:r w:rsidRPr="00EA3EA0">
        <w:t>a</w:t>
      </w:r>
      <w:r>
        <w:t xml:space="preserve"> </w:t>
      </w:r>
      <w:r w:rsidRPr="00EA3EA0">
        <w:t>multi-sector</w:t>
      </w:r>
      <w:r>
        <w:t xml:space="preserve"> </w:t>
      </w:r>
      <w:r w:rsidRPr="00EA3EA0">
        <w:t>base</w:t>
      </w:r>
      <w:r>
        <w:t xml:space="preserve"> </w:t>
      </w:r>
      <w:r w:rsidRPr="00EA3EA0">
        <w:t>station,</w:t>
      </w:r>
      <w:r>
        <w:t xml:space="preserve"> </w:t>
      </w:r>
      <w:r w:rsidRPr="00EA3EA0">
        <w:t>the</w:t>
      </w:r>
      <w:r>
        <w:t xml:space="preserve"> </w:t>
      </w:r>
      <w:r w:rsidRPr="00EA3EA0">
        <w:t>radiated</w:t>
      </w:r>
      <w:r>
        <w:t xml:space="preserve"> </w:t>
      </w:r>
      <w:r w:rsidRPr="00EA3EA0">
        <w:t>power</w:t>
      </w:r>
      <w:r>
        <w:t xml:space="preserve"> </w:t>
      </w:r>
      <w:r w:rsidRPr="00EA3EA0">
        <w:t>limit</w:t>
      </w:r>
      <w:r>
        <w:t xml:space="preserve"> applies </w:t>
      </w:r>
      <w:r w:rsidRPr="00EA3EA0">
        <w:t>to</w:t>
      </w:r>
      <w:r>
        <w:t xml:space="preserve"> </w:t>
      </w:r>
      <w:r w:rsidRPr="00EA3EA0">
        <w:t>each</w:t>
      </w:r>
      <w:r>
        <w:t xml:space="preserve"> </w:t>
      </w:r>
      <w:r w:rsidRPr="00EA3EA0">
        <w:t>one</w:t>
      </w:r>
      <w:r>
        <w:t xml:space="preserve"> </w:t>
      </w:r>
      <w:r w:rsidRPr="00EA3EA0">
        <w:t>of</w:t>
      </w:r>
      <w:r>
        <w:t xml:space="preserve"> </w:t>
      </w:r>
      <w:r w:rsidRPr="00EA3EA0">
        <w:t>the</w:t>
      </w:r>
      <w:r>
        <w:t xml:space="preserve"> </w:t>
      </w:r>
      <w:r w:rsidRPr="00EA3EA0">
        <w:t>individual</w:t>
      </w:r>
      <w:r>
        <w:t xml:space="preserve"> </w:t>
      </w:r>
      <w:r w:rsidRPr="00EA3EA0">
        <w:t>sectors.</w:t>
      </w:r>
    </w:p>
  </w:footnote>
  <w:footnote w:id="6">
    <w:p w14:paraId="26D4A33A" w14:textId="3BC6D503" w:rsidR="00297F2E" w:rsidRPr="00576B95" w:rsidRDefault="00297F2E" w:rsidP="00B4183D">
      <w:pPr>
        <w:pStyle w:val="ECCFootnote"/>
      </w:pPr>
      <w:r>
        <w:rPr>
          <w:rStyle w:val="FootnoteReference"/>
        </w:rPr>
        <w:footnoteRef/>
      </w:r>
      <w:r>
        <w:t xml:space="preserve"> </w:t>
      </w:r>
      <w:r w:rsidRPr="00433B9C">
        <w:t xml:space="preserve">The detailed specifications of IMT radio interfaces are described in Recommendation ITU-R M.1457 </w:t>
      </w:r>
      <w:r w:rsidRPr="00433B9C">
        <w:fldChar w:fldCharType="begin"/>
      </w:r>
      <w:r w:rsidRPr="00433B9C">
        <w:instrText xml:space="preserve"> REF _Ref505089191 \r \h </w:instrText>
      </w:r>
      <w:r>
        <w:instrText xml:space="preserve"> \* MERGEFORMAT </w:instrText>
      </w:r>
      <w:r w:rsidRPr="00433B9C">
        <w:fldChar w:fldCharType="separate"/>
      </w:r>
      <w:r>
        <w:t>[8]</w:t>
      </w:r>
      <w:r w:rsidRPr="00433B9C">
        <w:fldChar w:fldCharType="end"/>
      </w:r>
      <w:r w:rsidRPr="00433B9C">
        <w:t xml:space="preserve"> for IMT-2000 and Recommendation ITU-R M. 2012 </w:t>
      </w:r>
      <w:r w:rsidRPr="00433B9C">
        <w:fldChar w:fldCharType="begin"/>
      </w:r>
      <w:r w:rsidRPr="00433B9C">
        <w:instrText xml:space="preserve"> REF _Ref505353853 \r \h </w:instrText>
      </w:r>
      <w:r>
        <w:instrText xml:space="preserve"> \* MERGEFORMAT </w:instrText>
      </w:r>
      <w:r w:rsidRPr="00433B9C">
        <w:fldChar w:fldCharType="separate"/>
      </w:r>
      <w:r>
        <w:t>[9]</w:t>
      </w:r>
      <w:r w:rsidRPr="00433B9C">
        <w:fldChar w:fldCharType="end"/>
      </w:r>
      <w:r w:rsidRPr="00433B9C">
        <w:t xml:space="preserve"> for IMT-Advanced. Recommendation ITU-R M.2083-0 </w:t>
      </w:r>
      <w:r>
        <w:fldChar w:fldCharType="begin"/>
      </w:r>
      <w:r>
        <w:instrText xml:space="preserve"> REF _Ref518566801 \r \h </w:instrText>
      </w:r>
      <w:r>
        <w:fldChar w:fldCharType="separate"/>
      </w:r>
      <w:r>
        <w:t>[7]</w:t>
      </w:r>
      <w:r>
        <w:fldChar w:fldCharType="end"/>
      </w:r>
      <w:r>
        <w:t xml:space="preserve"> </w:t>
      </w:r>
      <w:r w:rsidRPr="00433B9C">
        <w:t xml:space="preserve">now defines the framework and overall objectives of the future development of IMT for 2020 and beyond. IMT-2020 systems, system components, and related aspects that support the provision of far more enhanced capabilities than those described in Recommendation ITU-R M.1645 </w:t>
      </w:r>
      <w:r w:rsidRPr="00433B9C">
        <w:fldChar w:fldCharType="begin"/>
      </w:r>
      <w:r w:rsidRPr="00433B9C">
        <w:instrText xml:space="preserve"> REF _Ref505089362 \r \h </w:instrText>
      </w:r>
      <w:r>
        <w:instrText xml:space="preserve"> \* MERGEFORMAT </w:instrText>
      </w:r>
      <w:r w:rsidRPr="00433B9C">
        <w:fldChar w:fldCharType="separate"/>
      </w:r>
      <w:r>
        <w:t>[10]</w:t>
      </w:r>
      <w:r w:rsidRPr="00433B9C">
        <w:fldChar w:fldCharType="end"/>
      </w:r>
      <w:r w:rsidRPr="00433B9C">
        <w:t>.</w:t>
      </w:r>
    </w:p>
  </w:footnote>
  <w:footnote w:id="7">
    <w:p w14:paraId="5D8702BA" w14:textId="736E1C97" w:rsidR="00297F2E" w:rsidRPr="0088718E" w:rsidRDefault="00297F2E">
      <w:pPr>
        <w:pStyle w:val="FootnoteText"/>
      </w:pPr>
      <w:r>
        <w:rPr>
          <w:rStyle w:val="FootnoteReference"/>
        </w:rPr>
        <w:footnoteRef/>
      </w:r>
      <w:r>
        <w:t xml:space="preserve"> </w:t>
      </w:r>
      <w:r w:rsidRPr="0046436A">
        <w:t xml:space="preserve">5G NR </w:t>
      </w:r>
      <w:proofErr w:type="spellStart"/>
      <w:r>
        <w:t>Standardisation</w:t>
      </w:r>
      <w:proofErr w:type="spellEnd"/>
      <w:r>
        <w:t xml:space="preserve"> channel bandwidth </w:t>
      </w:r>
      <w:r w:rsidRPr="0046436A">
        <w:t>in the 3400-3800 MHz range: 10, 15, 20, 40, 50, 60, 80, 100 MHz</w:t>
      </w:r>
      <w:r>
        <w:t xml:space="preserve"> (source 3GPP).</w:t>
      </w:r>
    </w:p>
  </w:footnote>
  <w:footnote w:id="8">
    <w:p w14:paraId="1F807B34" w14:textId="76833F8E" w:rsidR="00297F2E" w:rsidRDefault="00297F2E" w:rsidP="00E3495E">
      <w:pPr>
        <w:pStyle w:val="ECCFootnote"/>
        <w:tabs>
          <w:tab w:val="left" w:pos="1985"/>
        </w:tabs>
      </w:pPr>
      <w:r>
        <w:rPr>
          <w:rStyle w:val="FootnoteReference"/>
        </w:rPr>
        <w:footnoteRef/>
      </w:r>
      <w:r>
        <w:t xml:space="preserve"> National regulators typically specify maximum in-block EIRPs per BS cell/sector, focusing on the total EIRP, and </w:t>
      </w:r>
      <w:proofErr w:type="gramStart"/>
      <w:r>
        <w:t>its</w:t>
      </w:r>
      <w:proofErr w:type="gramEnd"/>
      <w:r>
        <w:t xml:space="preserve"> potential to cause harmful interference.</w:t>
      </w:r>
    </w:p>
  </w:footnote>
  <w:footnote w:id="9">
    <w:p w14:paraId="1F03475E" w14:textId="77777777" w:rsidR="00297F2E" w:rsidRDefault="00297F2E" w:rsidP="00B4183D">
      <w:pPr>
        <w:pStyle w:val="ECCFootnote"/>
      </w:pPr>
      <w:r>
        <w:rPr>
          <w:rStyle w:val="FootnoteReference"/>
        </w:rPr>
        <w:footnoteRef/>
      </w:r>
      <w:r>
        <w:t xml:space="preserve"> A nominal antenna gain is assumed in deriving out-of-block EIRP limits from the 3GPP spectrum emission masks (transmit powers).</w:t>
      </w:r>
    </w:p>
  </w:footnote>
  <w:footnote w:id="10">
    <w:p w14:paraId="319944CC" w14:textId="7184FC36" w:rsidR="00297F2E" w:rsidRPr="00AE5542" w:rsidRDefault="00297F2E" w:rsidP="00B4183D">
      <w:pPr>
        <w:pStyle w:val="ECCFootnote"/>
      </w:pPr>
    </w:p>
  </w:footnote>
  <w:footnote w:id="11">
    <w:p w14:paraId="45F7052D" w14:textId="5C5EE851" w:rsidR="00297F2E" w:rsidRPr="00923C6D" w:rsidRDefault="00297F2E" w:rsidP="0008102F">
      <w:pPr>
        <w:pStyle w:val="ECCFootnote"/>
      </w:pPr>
      <w:r>
        <w:rPr>
          <w:rStyle w:val="FootnoteReference"/>
        </w:rPr>
        <w:footnoteRef/>
      </w:r>
      <w:r>
        <w:t xml:space="preserve"> </w:t>
      </w:r>
      <w:r w:rsidRPr="00923C6D">
        <w:t>In</w:t>
      </w:r>
      <w:r>
        <w:t xml:space="preserve"> </w:t>
      </w:r>
      <w:r w:rsidRPr="00923C6D">
        <w:t>a</w:t>
      </w:r>
      <w:r>
        <w:t xml:space="preserve"> </w:t>
      </w:r>
      <w:r w:rsidRPr="00923C6D">
        <w:t>multi-sector</w:t>
      </w:r>
      <w:r>
        <w:t xml:space="preserve"> </w:t>
      </w:r>
      <w:r w:rsidRPr="00923C6D">
        <w:t>base</w:t>
      </w:r>
      <w:r>
        <w:t xml:space="preserve"> </w:t>
      </w:r>
      <w:r w:rsidRPr="00923C6D">
        <w:t>station,</w:t>
      </w:r>
      <w:r>
        <w:t xml:space="preserve"> </w:t>
      </w:r>
      <w:r w:rsidRPr="00923C6D">
        <w:t>the</w:t>
      </w:r>
      <w:r>
        <w:t xml:space="preserve"> </w:t>
      </w:r>
      <w:r w:rsidRPr="00923C6D">
        <w:t>radiated</w:t>
      </w:r>
      <w:r>
        <w:t xml:space="preserve"> </w:t>
      </w:r>
      <w:r w:rsidRPr="00923C6D">
        <w:t>power</w:t>
      </w:r>
      <w:r>
        <w:t xml:space="preserve"> </w:t>
      </w:r>
      <w:r w:rsidRPr="00923C6D">
        <w:t>limit</w:t>
      </w:r>
      <w:r>
        <w:t xml:space="preserve"> applies </w:t>
      </w:r>
      <w:r w:rsidRPr="00923C6D">
        <w:t>to</w:t>
      </w:r>
      <w:r>
        <w:t xml:space="preserve"> </w:t>
      </w:r>
      <w:r w:rsidRPr="00923C6D">
        <w:t>each</w:t>
      </w:r>
      <w:r>
        <w:t xml:space="preserve"> </w:t>
      </w:r>
      <w:r w:rsidRPr="00923C6D">
        <w:t>one</w:t>
      </w:r>
      <w:r>
        <w:t xml:space="preserve"> </w:t>
      </w:r>
      <w:r w:rsidRPr="00923C6D">
        <w:t>of</w:t>
      </w:r>
      <w:r>
        <w:t xml:space="preserve"> </w:t>
      </w:r>
      <w:r w:rsidRPr="00923C6D">
        <w:t>the</w:t>
      </w:r>
      <w:r>
        <w:t xml:space="preserve"> </w:t>
      </w:r>
      <w:r w:rsidRPr="00923C6D">
        <w:t>individual</w:t>
      </w:r>
      <w:r>
        <w:t xml:space="preserve"> </w:t>
      </w:r>
      <w:r w:rsidRPr="00923C6D">
        <w:t>sectors.</w:t>
      </w:r>
    </w:p>
  </w:footnote>
  <w:footnote w:id="12">
    <w:p w14:paraId="3F1EAD90" w14:textId="77777777" w:rsidR="00297F2E" w:rsidRPr="00E0563C" w:rsidRDefault="00297F2E" w:rsidP="00C653AD">
      <w:pPr>
        <w:pStyle w:val="FootnoteText"/>
        <w:spacing w:after="120"/>
        <w:ind w:left="240" w:hanging="240"/>
        <w:rPr>
          <w:rFonts w:ascii="Times New Roman" w:hAnsi="Times New Roman"/>
        </w:rPr>
      </w:pPr>
      <w:r>
        <w:rPr>
          <w:rStyle w:val="FootnoteReference"/>
        </w:rPr>
        <w:footnoteRef/>
      </w:r>
      <w:r>
        <w:t xml:space="preserve"> </w:t>
      </w:r>
      <w:r>
        <w:tab/>
      </w:r>
      <w:proofErr w:type="gramStart"/>
      <w:r w:rsidRPr="00E0563C">
        <w:rPr>
          <w:rFonts w:ascii="Times New Roman" w:hAnsi="Times New Roman"/>
        </w:rPr>
        <w:t>For example, Korea, Japan or the USA.</w:t>
      </w:r>
      <w:proofErr w:type="gramEnd"/>
      <w:r w:rsidRPr="00E0563C">
        <w:rPr>
          <w:rFonts w:ascii="Times New Roman" w:hAnsi="Times New Roman"/>
        </w:rPr>
        <w:t xml:space="preserve"> In this regard, the US regulator (FCC) adopted on 14 July 2016 a Report and Order on 5G spectrum above 24 GHz ("Spectrum Frontiers")</w:t>
      </w:r>
    </w:p>
  </w:footnote>
  <w:footnote w:id="13">
    <w:p w14:paraId="16F54C06" w14:textId="77777777" w:rsidR="00297F2E" w:rsidRPr="00E0563C" w:rsidRDefault="00297F2E" w:rsidP="00C653AD">
      <w:pPr>
        <w:pStyle w:val="FootnoteText"/>
        <w:spacing w:after="120"/>
        <w:ind w:left="240" w:hanging="240"/>
        <w:rPr>
          <w:rFonts w:ascii="Times New Roman" w:hAnsi="Times New Roman"/>
        </w:rPr>
      </w:pPr>
      <w:r w:rsidRPr="00E0563C">
        <w:rPr>
          <w:rStyle w:val="FootnoteReference"/>
          <w:rFonts w:ascii="Times New Roman" w:hAnsi="Times New Roman"/>
        </w:rPr>
        <w:footnoteRef/>
      </w:r>
      <w:r w:rsidRPr="00E0563C">
        <w:rPr>
          <w:rFonts w:ascii="Times New Roman" w:hAnsi="Times New Roman"/>
        </w:rPr>
        <w:t xml:space="preserve"> </w:t>
      </w:r>
      <w:r w:rsidRPr="00E0563C">
        <w:rPr>
          <w:rFonts w:ascii="Times New Roman" w:hAnsi="Times New Roman"/>
        </w:rPr>
        <w:tab/>
        <w:t>In the ITU context of "International Mobile Telecommunications for 2020 (</w:t>
      </w:r>
      <w:r>
        <w:rPr>
          <w:rFonts w:ascii="Times New Roman" w:hAnsi="Times New Roman"/>
        </w:rPr>
        <w:t>IMT-2020</w:t>
      </w:r>
      <w:r w:rsidRPr="00E0563C">
        <w:rPr>
          <w:rFonts w:ascii="Times New Roman" w:hAnsi="Times New Roman"/>
        </w:rPr>
        <w:t xml:space="preserve">)", s. ITU Recommendation: </w:t>
      </w:r>
      <w:hyperlink r:id="rId1" w:history="1">
        <w:r w:rsidRPr="00E0563C">
          <w:rPr>
            <w:rStyle w:val="Hyperlink"/>
            <w:rFonts w:ascii="Times New Roman" w:hAnsi="Times New Roman"/>
          </w:rPr>
          <w:t>https://www.itu.int/dms_pubrec/itu-r/rec/m/R-REC-M.2083-0-201509-I!!PDF-E.pdf</w:t>
        </w:r>
      </w:hyperlink>
      <w:r w:rsidRPr="00E0563C">
        <w:rPr>
          <w:rFonts w:ascii="Times New Roman" w:hAnsi="Times New Roman"/>
        </w:rPr>
        <w:t xml:space="preserve"> </w:t>
      </w:r>
    </w:p>
  </w:footnote>
  <w:footnote w:id="14">
    <w:p w14:paraId="5B724C6F" w14:textId="77777777" w:rsidR="00297F2E" w:rsidRPr="00E0563C" w:rsidRDefault="00297F2E" w:rsidP="00C653AD">
      <w:pPr>
        <w:pStyle w:val="FootnoteText"/>
        <w:spacing w:after="120"/>
        <w:ind w:left="240" w:hanging="240"/>
        <w:rPr>
          <w:rFonts w:ascii="Times New Roman" w:hAnsi="Times New Roman"/>
        </w:rPr>
      </w:pPr>
      <w:r w:rsidRPr="00E0563C">
        <w:rPr>
          <w:rStyle w:val="FootnoteReference"/>
          <w:rFonts w:ascii="Times New Roman" w:hAnsi="Times New Roman"/>
        </w:rPr>
        <w:footnoteRef/>
      </w:r>
      <w:r w:rsidRPr="00E0563C">
        <w:rPr>
          <w:rFonts w:ascii="Times New Roman" w:hAnsi="Times New Roman"/>
        </w:rPr>
        <w:t xml:space="preserve"> </w:t>
      </w:r>
      <w:r w:rsidRPr="00E0563C">
        <w:rPr>
          <w:rFonts w:ascii="Times New Roman" w:hAnsi="Times New Roman"/>
        </w:rPr>
        <w:tab/>
        <w:t>ITU-R Resolution 238 (WRC-15)</w:t>
      </w:r>
    </w:p>
  </w:footnote>
  <w:footnote w:id="15">
    <w:p w14:paraId="4AEB1863" w14:textId="77777777" w:rsidR="00297F2E" w:rsidRPr="00E0563C" w:rsidRDefault="00297F2E" w:rsidP="00C653AD">
      <w:pPr>
        <w:pStyle w:val="FootnoteText"/>
        <w:spacing w:after="120"/>
        <w:ind w:left="240" w:hanging="240"/>
        <w:rPr>
          <w:rFonts w:ascii="Times New Roman" w:hAnsi="Times New Roman"/>
        </w:rPr>
      </w:pPr>
      <w:r w:rsidRPr="00E0563C">
        <w:rPr>
          <w:rStyle w:val="FootnoteReference"/>
          <w:rFonts w:ascii="Times New Roman" w:hAnsi="Times New Roman"/>
        </w:rPr>
        <w:footnoteRef/>
      </w:r>
      <w:r w:rsidRPr="00E0563C">
        <w:rPr>
          <w:rFonts w:ascii="Times New Roman" w:hAnsi="Times New Roman"/>
        </w:rPr>
        <w:t xml:space="preserve">   </w:t>
      </w:r>
      <w:r w:rsidRPr="00E0563C">
        <w:rPr>
          <w:rFonts w:ascii="Times New Roman" w:hAnsi="Times New Roman"/>
        </w:rPr>
        <w:tab/>
        <w:t xml:space="preserve">See </w:t>
      </w:r>
      <w:hyperlink r:id="rId2" w:history="1">
        <w:r w:rsidRPr="00E0563C">
          <w:rPr>
            <w:rStyle w:val="Hyperlink"/>
            <w:rFonts w:ascii="Times New Roman" w:hAnsi="Times New Roman"/>
          </w:rPr>
          <w:t>https://5g-ppp.eu/</w:t>
        </w:r>
      </w:hyperlink>
      <w:r w:rsidRPr="00E0563C">
        <w:rPr>
          <w:rFonts w:ascii="Times New Roman" w:hAnsi="Times New Roman"/>
        </w:rPr>
        <w:t xml:space="preserve"> </w:t>
      </w:r>
    </w:p>
  </w:footnote>
  <w:footnote w:id="16">
    <w:p w14:paraId="3813748B" w14:textId="77777777" w:rsidR="00297F2E" w:rsidRPr="0071407E" w:rsidRDefault="00297F2E" w:rsidP="00C653AD">
      <w:pPr>
        <w:pStyle w:val="FootnoteText"/>
        <w:spacing w:after="120"/>
        <w:ind w:left="240" w:hanging="240"/>
      </w:pPr>
      <w:r w:rsidRPr="00E0563C">
        <w:rPr>
          <w:rStyle w:val="FootnoteReference"/>
          <w:rFonts w:ascii="Times New Roman" w:hAnsi="Times New Roman"/>
        </w:rPr>
        <w:footnoteRef/>
      </w:r>
      <w:r w:rsidRPr="00E0563C">
        <w:rPr>
          <w:rFonts w:ascii="Times New Roman" w:hAnsi="Times New Roman"/>
        </w:rPr>
        <w:t xml:space="preserve"> </w:t>
      </w:r>
      <w:r w:rsidRPr="00E0563C">
        <w:rPr>
          <w:rFonts w:ascii="Times New Roman" w:hAnsi="Times New Roman"/>
        </w:rPr>
        <w:tab/>
        <w:t xml:space="preserve">See the 5G-PPP brochures: "5G vision" at </w:t>
      </w:r>
      <w:hyperlink r:id="rId3" w:history="1">
        <w:r w:rsidRPr="00E0563C">
          <w:rPr>
            <w:rStyle w:val="Hyperlink"/>
            <w:rFonts w:ascii="Times New Roman" w:hAnsi="Times New Roman"/>
          </w:rPr>
          <w:t>https://5g-ppp.eu/wp-content/uploads/2015/02/5G-Vision-Brochure-v1.pdf</w:t>
        </w:r>
      </w:hyperlink>
      <w:r w:rsidRPr="00E0563C">
        <w:rPr>
          <w:rFonts w:ascii="Times New Roman" w:hAnsi="Times New Roman"/>
        </w:rPr>
        <w:t xml:space="preserve">, and "5G empowering vertical industries" at: </w:t>
      </w:r>
      <w:hyperlink r:id="rId4" w:history="1">
        <w:r w:rsidRPr="00E0563C">
          <w:rPr>
            <w:rStyle w:val="Hyperlink"/>
            <w:rFonts w:ascii="Times New Roman" w:hAnsi="Times New Roman"/>
          </w:rPr>
          <w:t>https://5g-ppp.eu/wp-content/uploads/2016/02/BROCHURE_5PPP_BAT2_PL.pdf</w:t>
        </w:r>
      </w:hyperlink>
      <w:r>
        <w:t xml:space="preserve"> </w:t>
      </w:r>
    </w:p>
  </w:footnote>
  <w:footnote w:id="17">
    <w:p w14:paraId="5D6AC585" w14:textId="77777777" w:rsidR="00297F2E" w:rsidRPr="00E0563C" w:rsidRDefault="00297F2E" w:rsidP="00C653AD">
      <w:pPr>
        <w:pStyle w:val="FootnoteText"/>
        <w:spacing w:after="120"/>
        <w:rPr>
          <w:rFonts w:ascii="Times New Roman" w:hAnsi="Times New Roman"/>
        </w:rPr>
      </w:pPr>
      <w:r>
        <w:rPr>
          <w:rStyle w:val="FootnoteReference"/>
        </w:rPr>
        <w:footnoteRef/>
      </w:r>
      <w:r>
        <w:t xml:space="preserve"> </w:t>
      </w:r>
      <w:r w:rsidRPr="00E0563C">
        <w:rPr>
          <w:rFonts w:ascii="Times New Roman" w:hAnsi="Times New Roman"/>
        </w:rPr>
        <w:t>Document "Initiative on pioneer 5G bands" (8 July 2016) from the 5G-PPP to the RSPG public consultation on the Draft  RSPG Opinion on spectrum related aspects for next-generation wireless systems (5G)</w:t>
      </w:r>
    </w:p>
  </w:footnote>
  <w:footnote w:id="18">
    <w:p w14:paraId="64287507" w14:textId="77777777" w:rsidR="00297F2E" w:rsidRPr="00E0563C" w:rsidRDefault="00297F2E" w:rsidP="00C653AD">
      <w:pPr>
        <w:pStyle w:val="FootnoteText"/>
        <w:spacing w:after="120"/>
        <w:rPr>
          <w:rFonts w:ascii="Times New Roman" w:hAnsi="Times New Roman"/>
        </w:rPr>
      </w:pPr>
      <w:r w:rsidRPr="00E0563C">
        <w:rPr>
          <w:rStyle w:val="FootnoteReference"/>
          <w:rFonts w:ascii="Times New Roman" w:hAnsi="Times New Roman"/>
        </w:rPr>
        <w:footnoteRef/>
      </w:r>
      <w:r w:rsidRPr="00E0563C">
        <w:rPr>
          <w:rFonts w:ascii="Times New Roman" w:hAnsi="Times New Roman"/>
        </w:rPr>
        <w:t xml:space="preserve"> See </w:t>
      </w:r>
      <w:hyperlink r:id="rId5" w:history="1">
        <w:r w:rsidRPr="00E0563C">
          <w:rPr>
            <w:rStyle w:val="Hyperlink"/>
            <w:rFonts w:ascii="Times New Roman" w:hAnsi="Times New Roman"/>
          </w:rPr>
          <w:t>https://ec.europa.eu/digital-single-market/en/digitising-european-industry</w:t>
        </w:r>
      </w:hyperlink>
      <w:r w:rsidRPr="00E0563C">
        <w:rPr>
          <w:rFonts w:ascii="Times New Roman" w:hAnsi="Times New Roman"/>
        </w:rPr>
        <w:t xml:space="preserve"> </w:t>
      </w:r>
    </w:p>
  </w:footnote>
  <w:footnote w:id="19">
    <w:p w14:paraId="7F1E7517" w14:textId="77777777" w:rsidR="00297F2E" w:rsidRPr="00E0563C" w:rsidRDefault="00297F2E" w:rsidP="00C653AD">
      <w:pPr>
        <w:pStyle w:val="FootnoteText"/>
        <w:spacing w:after="120"/>
        <w:rPr>
          <w:rFonts w:ascii="Times New Roman" w:hAnsi="Times New Roman"/>
        </w:rPr>
      </w:pPr>
      <w:r w:rsidRPr="00E0563C">
        <w:rPr>
          <w:rStyle w:val="FootnoteReference"/>
          <w:rFonts w:ascii="Times New Roman" w:hAnsi="Times New Roman"/>
        </w:rPr>
        <w:footnoteRef/>
      </w:r>
      <w:r w:rsidRPr="00E0563C">
        <w:rPr>
          <w:rFonts w:ascii="Times New Roman" w:hAnsi="Times New Roman"/>
        </w:rPr>
        <w:t xml:space="preserve"> See: </w:t>
      </w:r>
      <w:hyperlink r:id="rId6" w:history="1">
        <w:r w:rsidRPr="00E0563C">
          <w:rPr>
            <w:rStyle w:val="Hyperlink"/>
            <w:rFonts w:ascii="Times New Roman" w:hAnsi="Times New Roman"/>
          </w:rPr>
          <w:t>https://ec.europa.eu/digital-single-market/en/5g-europe-action-plan</w:t>
        </w:r>
      </w:hyperlink>
      <w:r w:rsidRPr="00E0563C">
        <w:rPr>
          <w:rFonts w:ascii="Times New Roman" w:hAnsi="Times New Roman"/>
        </w:rPr>
        <w:t xml:space="preserve"> </w:t>
      </w:r>
    </w:p>
  </w:footnote>
  <w:footnote w:id="20">
    <w:p w14:paraId="4E7EF49B" w14:textId="77777777" w:rsidR="00297F2E" w:rsidRPr="00E0563C" w:rsidRDefault="00297F2E" w:rsidP="00C653AD">
      <w:pPr>
        <w:pStyle w:val="FootnoteText"/>
        <w:spacing w:after="120"/>
        <w:rPr>
          <w:rFonts w:ascii="Times New Roman" w:hAnsi="Times New Roman"/>
        </w:rPr>
      </w:pPr>
      <w:r w:rsidRPr="00E0563C">
        <w:rPr>
          <w:rStyle w:val="FootnoteReference"/>
          <w:rFonts w:ascii="Times New Roman" w:hAnsi="Times New Roman"/>
        </w:rPr>
        <w:footnoteRef/>
      </w:r>
      <w:r w:rsidRPr="00E0563C">
        <w:rPr>
          <w:rFonts w:ascii="Times New Roman" w:hAnsi="Times New Roman"/>
        </w:rPr>
        <w:t xml:space="preserve"> Link: </w:t>
      </w:r>
      <w:hyperlink r:id="rId7" w:history="1">
        <w:r w:rsidRPr="00E0563C">
          <w:rPr>
            <w:rStyle w:val="Hyperlink"/>
            <w:rFonts w:ascii="Times New Roman" w:hAnsi="Times New Roman"/>
          </w:rPr>
          <w:t>http://ec.europa.eu/newsroom/dae/document.cfm?action=dis</w:t>
        </w:r>
        <w:bookmarkStart w:id="2091" w:name="_Hlt456699236"/>
        <w:bookmarkStart w:id="2092" w:name="_Hlt456699237"/>
        <w:r w:rsidRPr="00E0563C">
          <w:rPr>
            <w:rStyle w:val="Hyperlink"/>
            <w:rFonts w:ascii="Times New Roman" w:hAnsi="Times New Roman"/>
          </w:rPr>
          <w:t>p</w:t>
        </w:r>
        <w:bookmarkEnd w:id="2091"/>
        <w:bookmarkEnd w:id="2092"/>
        <w:r w:rsidRPr="00E0563C">
          <w:rPr>
            <w:rStyle w:val="Hyperlink"/>
            <w:rFonts w:ascii="Times New Roman" w:hAnsi="Times New Roman"/>
          </w:rPr>
          <w:t>lay&amp;doc_id=16579</w:t>
        </w:r>
      </w:hyperlink>
      <w:r w:rsidRPr="00E0563C">
        <w:rPr>
          <w:rStyle w:val="Hyperlink"/>
          <w:rFonts w:ascii="Times New Roman" w:hAnsi="Times New Roman"/>
        </w:rPr>
        <w:t xml:space="preserve"> </w:t>
      </w:r>
    </w:p>
  </w:footnote>
  <w:footnote w:id="21">
    <w:p w14:paraId="777AC4E2" w14:textId="77777777" w:rsidR="00297F2E" w:rsidRPr="00E0563C" w:rsidRDefault="00297F2E" w:rsidP="00C653AD">
      <w:pPr>
        <w:pStyle w:val="FootnoteText"/>
        <w:spacing w:after="120"/>
        <w:rPr>
          <w:rFonts w:ascii="Times New Roman" w:hAnsi="Times New Roman"/>
        </w:rPr>
      </w:pPr>
      <w:r w:rsidRPr="00E0563C">
        <w:rPr>
          <w:rStyle w:val="FootnoteReference"/>
          <w:rFonts w:ascii="Times New Roman" w:hAnsi="Times New Roman"/>
        </w:rPr>
        <w:footnoteRef/>
      </w:r>
      <w:r w:rsidRPr="00E0563C">
        <w:rPr>
          <w:rFonts w:ascii="Times New Roman" w:hAnsi="Times New Roman"/>
        </w:rPr>
        <w:t xml:space="preserve"> Subject to Commission Decisions (EU)2016/687 (700 MHz band), 2010/267/EU (800 MHz band),  2009/766/EC amended by 2011/251/EC (900 MHz band), 2014/641/EU (PMSE in the 800 MHz band)</w:t>
      </w:r>
    </w:p>
  </w:footnote>
  <w:footnote w:id="22">
    <w:p w14:paraId="3BE0057E" w14:textId="77777777" w:rsidR="00297F2E" w:rsidRDefault="00297F2E" w:rsidP="00C653AD">
      <w:pPr>
        <w:pStyle w:val="FootnoteText"/>
        <w:spacing w:after="120"/>
      </w:pPr>
      <w:r w:rsidRPr="00E0563C">
        <w:rPr>
          <w:rStyle w:val="FootnoteReference"/>
          <w:rFonts w:ascii="Times New Roman" w:hAnsi="Times New Roman"/>
        </w:rPr>
        <w:footnoteRef/>
      </w:r>
      <w:r w:rsidRPr="00E0563C">
        <w:rPr>
          <w:rFonts w:ascii="Times New Roman" w:hAnsi="Times New Roman"/>
        </w:rPr>
        <w:t xml:space="preserve">  Subject to Commission Decisions (EU)2015/750 (1.5 GHz band), 2009/766/EC amended by 2011/251/EC (1800 MHz band), 2012/688/EU (paired terrestrial 2 GHz band), 2008/477/EC (2.6 GHz band), 2008/411/EC amended by 2014/276/EU (3.6 GHz band)</w:t>
      </w:r>
    </w:p>
  </w:footnote>
  <w:footnote w:id="23">
    <w:p w14:paraId="1C3F8220" w14:textId="77777777" w:rsidR="00297F2E" w:rsidRPr="00E0563C" w:rsidRDefault="00297F2E" w:rsidP="00C653AD">
      <w:pPr>
        <w:pStyle w:val="FootnoteText"/>
        <w:rPr>
          <w:rFonts w:ascii="Times New Roman" w:hAnsi="Times New Roman"/>
        </w:rPr>
      </w:pPr>
      <w:r>
        <w:rPr>
          <w:rStyle w:val="FootnoteReference"/>
        </w:rPr>
        <w:footnoteRef/>
      </w:r>
      <w:r w:rsidRPr="00E0563C">
        <w:rPr>
          <w:rFonts w:ascii="Times New Roman" w:hAnsi="Times New Roman"/>
        </w:rPr>
        <w:t xml:space="preserve"> Commission Communication on European Strategy on Cooperative Intelligent Transport Systems (C-ITS)</w:t>
      </w:r>
      <w:r w:rsidRPr="00E0563C" w:rsidDel="00853F71">
        <w:rPr>
          <w:rFonts w:ascii="Times New Roman" w:hAnsi="Times New Roman"/>
        </w:rPr>
        <w:t xml:space="preserve"> </w:t>
      </w:r>
      <w:r w:rsidRPr="00E0563C">
        <w:rPr>
          <w:rFonts w:ascii="Times New Roman" w:hAnsi="Times New Roman"/>
        </w:rPr>
        <w:t xml:space="preserve">at: </w:t>
      </w:r>
      <w:hyperlink r:id="rId8" w:history="1">
        <w:r w:rsidRPr="00E0563C">
          <w:rPr>
            <w:rStyle w:val="Hyperlink"/>
            <w:rFonts w:ascii="Times New Roman" w:hAnsi="Times New Roman"/>
          </w:rPr>
          <w:t>http://ec.europa.eu/transport/sites/transport/files/com20160766_en.pdf</w:t>
        </w:r>
      </w:hyperlink>
      <w:r w:rsidRPr="00E0563C">
        <w:rPr>
          <w:rFonts w:ascii="Times New Roman" w:hAnsi="Times New Roman"/>
        </w:rPr>
        <w:t xml:space="preserve"> </w:t>
      </w:r>
    </w:p>
  </w:footnote>
  <w:footnote w:id="24">
    <w:p w14:paraId="4B6FC6D0" w14:textId="77777777" w:rsidR="00297F2E" w:rsidRPr="00E0563C" w:rsidRDefault="00297F2E" w:rsidP="00C653AD">
      <w:pPr>
        <w:pStyle w:val="FootnoteText"/>
        <w:spacing w:after="120"/>
        <w:rPr>
          <w:rFonts w:ascii="Times New Roman" w:hAnsi="Times New Roman"/>
        </w:rPr>
      </w:pPr>
      <w:r w:rsidRPr="00E0563C">
        <w:rPr>
          <w:rStyle w:val="FootnoteReference"/>
          <w:rFonts w:ascii="Times New Roman" w:hAnsi="Times New Roman"/>
        </w:rPr>
        <w:footnoteRef/>
      </w:r>
      <w:r w:rsidRPr="00E0563C">
        <w:rPr>
          <w:rFonts w:ascii="Times New Roman" w:hAnsi="Times New Roman"/>
        </w:rPr>
        <w:t xml:space="preserve">  Document RSPG16-032 FINAL of 9 November 2016</w:t>
      </w:r>
    </w:p>
  </w:footnote>
  <w:footnote w:id="25">
    <w:p w14:paraId="1A2AF474" w14:textId="77777777" w:rsidR="00297F2E" w:rsidRPr="00E0563C" w:rsidRDefault="00297F2E" w:rsidP="00C653AD">
      <w:pPr>
        <w:pStyle w:val="FootnoteText"/>
        <w:rPr>
          <w:rFonts w:ascii="Times New Roman" w:hAnsi="Times New Roman"/>
        </w:rPr>
      </w:pPr>
      <w:r w:rsidRPr="00E0563C">
        <w:rPr>
          <w:rStyle w:val="FootnoteReference"/>
          <w:rFonts w:ascii="Times New Roman" w:hAnsi="Times New Roman"/>
        </w:rPr>
        <w:footnoteRef/>
      </w:r>
      <w:r w:rsidRPr="00E0563C">
        <w:rPr>
          <w:rFonts w:ascii="Times New Roman" w:hAnsi="Times New Roman"/>
        </w:rPr>
        <w:t xml:space="preserve"> Ensuring regulatory predictability is important for this band taking into account the ongoing  implementation of Decision 2014/276/EU across the Union</w:t>
      </w:r>
    </w:p>
  </w:footnote>
  <w:footnote w:id="26">
    <w:p w14:paraId="7CF0C647" w14:textId="77777777" w:rsidR="00297F2E" w:rsidRDefault="00297F2E" w:rsidP="00C653AD">
      <w:pPr>
        <w:pStyle w:val="FootnoteText"/>
      </w:pPr>
      <w:r w:rsidRPr="00E0563C">
        <w:rPr>
          <w:rStyle w:val="FootnoteReference"/>
          <w:rFonts w:ascii="Times New Roman" w:hAnsi="Times New Roman"/>
        </w:rPr>
        <w:footnoteRef/>
      </w:r>
      <w:r w:rsidRPr="00E0563C">
        <w:rPr>
          <w:rFonts w:ascii="Times New Roman" w:hAnsi="Times New Roman"/>
        </w:rPr>
        <w:t xml:space="preserve"> It should be noted that the 700 MHz band has been recently harmonised (Commission Decision 2016/687/EU of April 2016) and should remain stable in light of ongoing national award procedures between now and 2020. </w:t>
      </w:r>
    </w:p>
  </w:footnote>
  <w:footnote w:id="27">
    <w:p w14:paraId="3BF37E37" w14:textId="77777777" w:rsidR="00297F2E" w:rsidRPr="00E0563C" w:rsidRDefault="00297F2E" w:rsidP="00C653AD">
      <w:pPr>
        <w:pStyle w:val="FootnoteText"/>
        <w:spacing w:after="120"/>
        <w:rPr>
          <w:rFonts w:ascii="Times New Roman" w:hAnsi="Times New Roman"/>
        </w:rPr>
      </w:pPr>
      <w:r w:rsidRPr="00E0563C">
        <w:rPr>
          <w:rStyle w:val="FootnoteReference"/>
          <w:rFonts w:ascii="Times New Roman" w:hAnsi="Times New Roman"/>
        </w:rPr>
        <w:footnoteRef/>
      </w:r>
      <w:r w:rsidRPr="00E0563C">
        <w:rPr>
          <w:rFonts w:ascii="Times New Roman" w:hAnsi="Times New Roman"/>
        </w:rPr>
        <w:t xml:space="preserve"> A regulatory decision in the USA, according to the FCC's Spectrum Frontier Report and Order and Further Notice of Proposed Rulemaking of 14 July 2016 available at:  </w:t>
      </w:r>
      <w:hyperlink r:id="rId9" w:history="1">
        <w:r w:rsidRPr="00E0563C">
          <w:rPr>
            <w:rStyle w:val="Hyperlink"/>
            <w:rFonts w:ascii="Times New Roman" w:hAnsi="Times New Roman"/>
          </w:rPr>
          <w:t>https://www.fcc.gov/document/spectrum-frontiers-ro-and-fnprm</w:t>
        </w:r>
      </w:hyperlink>
      <w:r w:rsidRPr="00E0563C">
        <w:rPr>
          <w:rStyle w:val="Hyperlink"/>
          <w:rFonts w:ascii="Times New Roman" w:hAnsi="Times New Roman"/>
        </w:rPr>
        <w:t>; Korea plans to use the 26.5-29.5 GHz band for early 5G trials in 2018</w:t>
      </w:r>
    </w:p>
  </w:footnote>
  <w:footnote w:id="28">
    <w:p w14:paraId="073DD788" w14:textId="77777777" w:rsidR="00297F2E" w:rsidRPr="00E0563C" w:rsidRDefault="00297F2E" w:rsidP="00C653AD">
      <w:pPr>
        <w:pStyle w:val="FootnoteText"/>
        <w:rPr>
          <w:rFonts w:ascii="Times New Roman" w:hAnsi="Times New Roman"/>
        </w:rPr>
      </w:pPr>
      <w:r w:rsidRPr="00E0563C">
        <w:rPr>
          <w:rStyle w:val="FootnoteReference"/>
          <w:rFonts w:ascii="Times New Roman" w:hAnsi="Times New Roman"/>
        </w:rPr>
        <w:footnoteRef/>
      </w:r>
      <w:r w:rsidRPr="00E0563C">
        <w:rPr>
          <w:rFonts w:ascii="Times New Roman" w:hAnsi="Times New Roman"/>
        </w:rPr>
        <w:t xml:space="preserve"> A regulatory decision in the USA, according to the FCC's Spectrum Frontier Report and Order and Further Notice of Proposed Rulemaking of 14 July 2016; this band is also for study towards WRC-19</w:t>
      </w:r>
    </w:p>
  </w:footnote>
  <w:footnote w:id="29">
    <w:p w14:paraId="6A821DD2" w14:textId="77777777" w:rsidR="00297F2E" w:rsidRPr="00E0563C" w:rsidRDefault="00297F2E" w:rsidP="00C653AD">
      <w:pPr>
        <w:pStyle w:val="FootnoteText"/>
        <w:rPr>
          <w:rFonts w:ascii="Times New Roman" w:hAnsi="Times New Roman"/>
        </w:rPr>
      </w:pPr>
      <w:r w:rsidRPr="00E0563C">
        <w:rPr>
          <w:rStyle w:val="FootnoteReference"/>
          <w:rFonts w:ascii="Times New Roman" w:hAnsi="Times New Roman"/>
        </w:rPr>
        <w:footnoteRef/>
      </w:r>
      <w:r w:rsidRPr="00E0563C">
        <w:rPr>
          <w:rFonts w:ascii="Times New Roman" w:hAnsi="Times New Roman"/>
        </w:rPr>
        <w:t xml:space="preserve"> Ensuring regulatory predictability is important for the bands within the scope of the tasks of this mandate taking into account ongoing national award procedures until 2020</w:t>
      </w:r>
    </w:p>
  </w:footnote>
  <w:footnote w:id="30">
    <w:p w14:paraId="1CBF01F2" w14:textId="77777777" w:rsidR="00297F2E" w:rsidRPr="00E0563C" w:rsidRDefault="00297F2E" w:rsidP="00C653AD">
      <w:pPr>
        <w:pStyle w:val="FootnoteText"/>
        <w:rPr>
          <w:rFonts w:ascii="Times New Roman" w:hAnsi="Times New Roman"/>
        </w:rPr>
      </w:pPr>
      <w:r w:rsidRPr="00E0563C">
        <w:rPr>
          <w:rStyle w:val="FootnoteReference"/>
          <w:rFonts w:ascii="Times New Roman" w:hAnsi="Times New Roman"/>
        </w:rPr>
        <w:footnoteRef/>
      </w:r>
      <w:r w:rsidRPr="00E0563C">
        <w:rPr>
          <w:rFonts w:ascii="Times New Roman" w:hAnsi="Times New Roman"/>
        </w:rPr>
        <w:t xml:space="preserve"> Linked to Article 1.3 of the Radio Spectrum Decision</w:t>
      </w:r>
    </w:p>
  </w:footnote>
  <w:footnote w:id="31">
    <w:p w14:paraId="66BA4FAB" w14:textId="77777777" w:rsidR="00297F2E" w:rsidRPr="003F5DCF" w:rsidRDefault="00297F2E" w:rsidP="00C653AD">
      <w:pPr>
        <w:pStyle w:val="FootnoteText"/>
        <w:spacing w:after="120"/>
        <w:ind w:left="240" w:hanging="240"/>
      </w:pPr>
      <w:r w:rsidRPr="00E0563C">
        <w:rPr>
          <w:rStyle w:val="FootnoteReference"/>
          <w:rFonts w:ascii="Times New Roman" w:hAnsi="Times New Roman"/>
        </w:rPr>
        <w:footnoteRef/>
      </w:r>
      <w:r w:rsidRPr="00E0563C">
        <w:rPr>
          <w:rFonts w:ascii="Times New Roman" w:hAnsi="Times New Roman"/>
        </w:rPr>
        <w:t xml:space="preserve"> Decision 676/2002/EC of the European Parliament and of the Council of 7 March 2002 on a regulatory framework for radio spectrum policy in the European Community, OJ L 108 of 24.4.2002</w:t>
      </w:r>
    </w:p>
  </w:footnote>
  <w:footnote w:id="32">
    <w:p w14:paraId="148F3A27" w14:textId="77777777" w:rsidR="00297F2E" w:rsidRPr="00E0563C" w:rsidRDefault="00297F2E" w:rsidP="00C653AD">
      <w:pPr>
        <w:pStyle w:val="FootnoteText"/>
        <w:spacing w:after="120"/>
        <w:rPr>
          <w:rFonts w:ascii="Times New Roman" w:hAnsi="Times New Roman"/>
        </w:rPr>
      </w:pPr>
      <w:r w:rsidRPr="00E0563C">
        <w:rPr>
          <w:rStyle w:val="FootnoteReference"/>
          <w:rFonts w:ascii="Times New Roman" w:hAnsi="Times New Roman"/>
        </w:rPr>
        <w:footnoteRef/>
      </w:r>
      <w:r w:rsidRPr="00E0563C">
        <w:rPr>
          <w:rFonts w:ascii="Times New Roman" w:hAnsi="Times New Roman"/>
        </w:rPr>
        <w:t xml:space="preserve"> Article of Decision 676/2002/EC (Radio Spectrum Decision)</w:t>
      </w:r>
    </w:p>
  </w:footnote>
  <w:footnote w:id="33">
    <w:p w14:paraId="55B69447" w14:textId="77777777" w:rsidR="00297F2E" w:rsidRPr="00E0563C" w:rsidRDefault="00297F2E" w:rsidP="00C653AD">
      <w:pPr>
        <w:pStyle w:val="FootnoteText"/>
        <w:spacing w:after="120"/>
        <w:rPr>
          <w:rFonts w:ascii="Times New Roman" w:hAnsi="Times New Roman"/>
        </w:rPr>
      </w:pPr>
      <w:r w:rsidRPr="00E0563C">
        <w:rPr>
          <w:rStyle w:val="FootnoteReference"/>
          <w:rFonts w:ascii="Times New Roman" w:hAnsi="Times New Roman"/>
        </w:rPr>
        <w:footnoteRef/>
      </w:r>
      <w:r w:rsidRPr="00E0563C">
        <w:rPr>
          <w:rFonts w:ascii="Times New Roman" w:hAnsi="Times New Roman"/>
        </w:rPr>
        <w:t xml:space="preserve"> See Articles 6(1), 4(1) and 8(6) of the RSPP </w:t>
      </w:r>
    </w:p>
  </w:footnote>
  <w:footnote w:id="34">
    <w:p w14:paraId="586344C7" w14:textId="77777777" w:rsidR="00297F2E" w:rsidRDefault="00297F2E" w:rsidP="00C653AD">
      <w:pPr>
        <w:pStyle w:val="FootnoteText"/>
      </w:pPr>
      <w:r w:rsidRPr="00E0563C">
        <w:rPr>
          <w:rStyle w:val="FootnoteReference"/>
          <w:rFonts w:ascii="Times New Roman" w:hAnsi="Times New Roman"/>
        </w:rPr>
        <w:footnoteRef/>
      </w:r>
      <w:r w:rsidRPr="00E0563C">
        <w:rPr>
          <w:rFonts w:ascii="Times New Roman" w:hAnsi="Times New Roman"/>
        </w:rPr>
        <w:t xml:space="preserve"> Enshrined in the RSPP and the Radio Spectrum Decision</w:t>
      </w:r>
    </w:p>
  </w:footnote>
  <w:footnote w:id="35">
    <w:p w14:paraId="73527017" w14:textId="77777777" w:rsidR="00297F2E" w:rsidRPr="00E0563C" w:rsidRDefault="00297F2E" w:rsidP="00C653AD">
      <w:pPr>
        <w:pStyle w:val="FootnoteText"/>
        <w:spacing w:after="120"/>
        <w:rPr>
          <w:rFonts w:ascii="Times New Roman" w:hAnsi="Times New Roman"/>
        </w:rPr>
      </w:pPr>
      <w:r w:rsidRPr="00E0563C">
        <w:rPr>
          <w:rStyle w:val="FootnoteReference"/>
          <w:rFonts w:ascii="Times New Roman" w:hAnsi="Times New Roman"/>
        </w:rPr>
        <w:footnoteRef/>
      </w:r>
      <w:r w:rsidRPr="00E0563C">
        <w:rPr>
          <w:rFonts w:ascii="Times New Roman" w:hAnsi="Times New Roman"/>
        </w:rPr>
        <w:t xml:space="preserve"> Such as the definition of appropriate Block Edge Masks (BEMs)</w:t>
      </w:r>
    </w:p>
  </w:footnote>
  <w:footnote w:id="36">
    <w:p w14:paraId="3CA30E7A" w14:textId="77777777" w:rsidR="00297F2E" w:rsidRDefault="00297F2E" w:rsidP="00C653AD">
      <w:pPr>
        <w:pStyle w:val="FootnoteText"/>
        <w:spacing w:after="120"/>
      </w:pPr>
      <w:r w:rsidRPr="00E0563C">
        <w:rPr>
          <w:rStyle w:val="FootnoteReference"/>
          <w:rFonts w:ascii="Times New Roman" w:hAnsi="Times New Roman"/>
        </w:rPr>
        <w:footnoteRef/>
      </w:r>
      <w:r w:rsidRPr="00E0563C">
        <w:rPr>
          <w:rFonts w:ascii="Times New Roman" w:hAnsi="Times New Roman"/>
        </w:rPr>
        <w:t xml:space="preserve"> Subject to subsequent public consultation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7F3FB" w14:textId="12906703" w:rsidR="00297F2E" w:rsidRPr="00E6164B" w:rsidRDefault="00297F2E" w:rsidP="00E6164B">
    <w:pPr>
      <w:pStyle w:val="Header"/>
      <w:jc w:val="right"/>
      <w:rPr>
        <w:sz w:val="24"/>
      </w:rPr>
    </w:pPr>
    <w:r w:rsidRPr="00E6164B">
      <w:rPr>
        <w:noProof/>
        <w:sz w:val="24"/>
        <w:lang w:val="da-DK" w:eastAsia="da-DK"/>
      </w:rPr>
      <w:drawing>
        <wp:anchor distT="0" distB="0" distL="114300" distR="114300" simplePos="0" relativeHeight="251657728" behindDoc="0" locked="0" layoutInCell="1" allowOverlap="1" wp14:anchorId="447B6872" wp14:editId="447B6873">
          <wp:simplePos x="0" y="0"/>
          <wp:positionH relativeFrom="page">
            <wp:posOffset>5717540</wp:posOffset>
          </wp:positionH>
          <wp:positionV relativeFrom="page">
            <wp:posOffset>648335</wp:posOffset>
          </wp:positionV>
          <wp:extent cx="1461770" cy="546100"/>
          <wp:effectExtent l="25400" t="0" r="11430" b="0"/>
          <wp:wrapNone/>
          <wp:docPr id="17" name="Picture 17"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E6164B">
      <w:rPr>
        <w:noProof/>
        <w:sz w:val="24"/>
        <w:lang w:val="da-DK" w:eastAsia="da-DK"/>
      </w:rPr>
      <w:drawing>
        <wp:anchor distT="0" distB="0" distL="114300" distR="114300" simplePos="0" relativeHeight="251656704" behindDoc="0" locked="0" layoutInCell="1" allowOverlap="1" wp14:anchorId="447B6874" wp14:editId="447B6875">
          <wp:simplePos x="0" y="0"/>
          <wp:positionH relativeFrom="page">
            <wp:posOffset>572770</wp:posOffset>
          </wp:positionH>
          <wp:positionV relativeFrom="page">
            <wp:posOffset>457200</wp:posOffset>
          </wp:positionV>
          <wp:extent cx="889000" cy="889000"/>
          <wp:effectExtent l="25400" t="0" r="0" b="0"/>
          <wp:wrapNone/>
          <wp:docPr id="19" name="Picture 19"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D5A97" w14:textId="2A310760" w:rsidR="00297F2E" w:rsidRPr="007C5F95" w:rsidRDefault="00297F2E">
    <w:pPr>
      <w:pStyle w:val="Header"/>
      <w:rPr>
        <w:szCs w:val="16"/>
        <w:lang w:val="da-DK"/>
      </w:rPr>
    </w:pPr>
    <w:r>
      <w:rPr>
        <w:lang w:val="da-DK"/>
      </w:rPr>
      <w:t>CEPT REPORT 67 -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EF3111" w:rsidRPr="00EF3111">
      <w:rPr>
        <w:noProof/>
        <w:szCs w:val="16"/>
        <w:lang w:val="da-DK"/>
      </w:rPr>
      <w:t>44</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134CC" w14:textId="14CDE3A6" w:rsidR="00297F2E" w:rsidRPr="007C5F95" w:rsidRDefault="00297F2E" w:rsidP="00AB46DF">
    <w:pPr>
      <w:pStyle w:val="Header"/>
      <w:jc w:val="right"/>
      <w:rPr>
        <w:szCs w:val="16"/>
        <w:lang w:val="da-DK"/>
      </w:rPr>
    </w:pPr>
    <w:r>
      <w:rPr>
        <w:lang w:val="da-DK"/>
      </w:rPr>
      <w:t>CEPT REPORT 67 -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EF3111" w:rsidRPr="00EF3111">
      <w:rPr>
        <w:noProof/>
        <w:szCs w:val="16"/>
        <w:lang w:val="da-DK"/>
      </w:rPr>
      <w:t>25</w:t>
    </w:r>
    <w:r>
      <w:rPr>
        <w:noProof/>
        <w:szCs w:val="16"/>
        <w:lang w:val="da-DK"/>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E8F6D" w14:textId="365F8549" w:rsidR="00297F2E" w:rsidRPr="001223D0" w:rsidRDefault="00297F2E" w:rsidP="00BD033A">
    <w:pPr>
      <w:pStyle w:val="Header"/>
      <w:jc w:val="right"/>
      <w:rPr>
        <w:szCs w:val="16"/>
      </w:rPr>
    </w:pPr>
    <w:r w:rsidRPr="00BD033A">
      <w:rPr>
        <w:szCs w:val="16"/>
      </w:rPr>
      <w:t xml:space="preserve">CEPT 67 and </w:t>
    </w:r>
    <w:proofErr w:type="gramStart"/>
    <w:r w:rsidRPr="00BD033A">
      <w:rPr>
        <w:szCs w:val="16"/>
      </w:rPr>
      <w:t>DEC(</w:t>
    </w:r>
    <w:proofErr w:type="gramEnd"/>
    <w:r w:rsidRPr="00BD033A">
      <w:rPr>
        <w:szCs w:val="16"/>
      </w:rPr>
      <w:t>11)06 ready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2B84B" w14:textId="68157154" w:rsidR="00297F2E" w:rsidRDefault="00297F2E" w:rsidP="00BD033A">
    <w:pPr>
      <w:pStyle w:val="Header"/>
      <w:jc w:val="right"/>
    </w:pPr>
    <w:r w:rsidRPr="00BD033A">
      <w:t xml:space="preserve">CEPT 67 and </w:t>
    </w:r>
    <w:proofErr w:type="gramStart"/>
    <w:r w:rsidRPr="00BD033A">
      <w:t>DEC(</w:t>
    </w:r>
    <w:proofErr w:type="gramEnd"/>
    <w:r w:rsidRPr="00BD033A">
      <w:t>11)06 ready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2824"/>
    <w:multiLevelType w:val="hybridMultilevel"/>
    <w:tmpl w:val="401CEC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EB4A7C"/>
    <w:multiLevelType w:val="hybridMultilevel"/>
    <w:tmpl w:val="B96CE56A"/>
    <w:lvl w:ilvl="0" w:tplc="91C4760E">
      <w:start w:val="1"/>
      <w:numFmt w:val="bullet"/>
      <w:pStyle w:val="ECCBulletsLv1"/>
      <w:lvlText w:val=""/>
      <w:lvlJc w:val="left"/>
      <w:pPr>
        <w:ind w:left="700" w:hanging="360"/>
      </w:pPr>
      <w:rPr>
        <w:rFonts w:ascii="Wingdings" w:hAnsi="Wingdings" w:hint="default"/>
        <w:color w:val="D2232A"/>
      </w:rPr>
    </w:lvl>
    <w:lvl w:ilvl="1" w:tplc="04070003">
      <w:start w:val="1"/>
      <w:numFmt w:val="bullet"/>
      <w:lvlText w:val="o"/>
      <w:lvlJc w:val="left"/>
      <w:pPr>
        <w:ind w:left="1780" w:hanging="360"/>
      </w:pPr>
      <w:rPr>
        <w:rFonts w:ascii="Courier New" w:hAnsi="Courier New" w:cs="Courier New" w:hint="default"/>
      </w:rPr>
    </w:lvl>
    <w:lvl w:ilvl="2" w:tplc="04070005">
      <w:start w:val="1"/>
      <w:numFmt w:val="bullet"/>
      <w:lvlText w:val=""/>
      <w:lvlJc w:val="left"/>
      <w:pPr>
        <w:ind w:left="2500" w:hanging="360"/>
      </w:pPr>
      <w:rPr>
        <w:rFonts w:ascii="Wingdings" w:hAnsi="Wingdings" w:hint="default"/>
      </w:rPr>
    </w:lvl>
    <w:lvl w:ilvl="3" w:tplc="0407000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2">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3">
    <w:nsid w:val="1A402F85"/>
    <w:multiLevelType w:val="hybridMultilevel"/>
    <w:tmpl w:val="D11C94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F9D7EA3"/>
    <w:multiLevelType w:val="hybridMultilevel"/>
    <w:tmpl w:val="F79A6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2F4188"/>
    <w:multiLevelType w:val="multilevel"/>
    <w:tmpl w:val="685C078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1997"/>
        </w:tabs>
        <w:ind w:left="1997"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21BA01E6"/>
    <w:multiLevelType w:val="hybridMultilevel"/>
    <w:tmpl w:val="FF701F5E"/>
    <w:lvl w:ilvl="0" w:tplc="F92A460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8">
    <w:nsid w:val="2A0A7C33"/>
    <w:multiLevelType w:val="hybridMultilevel"/>
    <w:tmpl w:val="81E804EC"/>
    <w:lvl w:ilvl="0" w:tplc="2718434E">
      <w:start w:val="1"/>
      <w:numFmt w:val="decimal"/>
      <w:pStyle w:val="ECCEditorsNote"/>
      <w:lvlText w:val="Editor's Note %1:"/>
      <w:lvlJc w:val="left"/>
      <w:pPr>
        <w:tabs>
          <w:tab w:val="num" w:pos="2836"/>
        </w:tabs>
        <w:ind w:left="2836" w:hanging="1559"/>
      </w:pPr>
      <w:rPr>
        <w:rFonts w:hint="default"/>
        <w:caps w:val="0"/>
        <w:strike w:val="0"/>
        <w:dstrike w:val="0"/>
        <w:vanish w:val="0"/>
        <w:color w:val="auto"/>
        <w:u w:color="FFFF00"/>
        <w:vertAlign w:val="baseline"/>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3D163F7A"/>
    <w:multiLevelType w:val="multilevel"/>
    <w:tmpl w:val="BECC20DA"/>
    <w:lvl w:ilvl="0">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1">
    <w:nsid w:val="421C67D7"/>
    <w:multiLevelType w:val="hybridMultilevel"/>
    <w:tmpl w:val="7A22DE72"/>
    <w:lvl w:ilvl="0" w:tplc="0809000F">
      <w:start w:val="1"/>
      <w:numFmt w:val="decimal"/>
      <w:lvlText w:val="%1."/>
      <w:lvlJc w:val="left"/>
      <w:pPr>
        <w:ind w:left="779" w:hanging="360"/>
      </w:pPr>
    </w:lvl>
    <w:lvl w:ilvl="1" w:tplc="08090019" w:tentative="1">
      <w:start w:val="1"/>
      <w:numFmt w:val="lowerLetter"/>
      <w:lvlText w:val="%2."/>
      <w:lvlJc w:val="left"/>
      <w:pPr>
        <w:ind w:left="1499" w:hanging="360"/>
      </w:pPr>
    </w:lvl>
    <w:lvl w:ilvl="2" w:tplc="0809001B" w:tentative="1">
      <w:start w:val="1"/>
      <w:numFmt w:val="lowerRoman"/>
      <w:lvlText w:val="%3."/>
      <w:lvlJc w:val="right"/>
      <w:pPr>
        <w:ind w:left="2219" w:hanging="180"/>
      </w:pPr>
    </w:lvl>
    <w:lvl w:ilvl="3" w:tplc="0809000F" w:tentative="1">
      <w:start w:val="1"/>
      <w:numFmt w:val="decimal"/>
      <w:lvlText w:val="%4."/>
      <w:lvlJc w:val="left"/>
      <w:pPr>
        <w:ind w:left="2939" w:hanging="360"/>
      </w:pPr>
    </w:lvl>
    <w:lvl w:ilvl="4" w:tplc="08090019" w:tentative="1">
      <w:start w:val="1"/>
      <w:numFmt w:val="lowerLetter"/>
      <w:lvlText w:val="%5."/>
      <w:lvlJc w:val="left"/>
      <w:pPr>
        <w:ind w:left="3659" w:hanging="360"/>
      </w:pPr>
    </w:lvl>
    <w:lvl w:ilvl="5" w:tplc="0809001B" w:tentative="1">
      <w:start w:val="1"/>
      <w:numFmt w:val="lowerRoman"/>
      <w:lvlText w:val="%6."/>
      <w:lvlJc w:val="right"/>
      <w:pPr>
        <w:ind w:left="4379" w:hanging="180"/>
      </w:pPr>
    </w:lvl>
    <w:lvl w:ilvl="6" w:tplc="0809000F" w:tentative="1">
      <w:start w:val="1"/>
      <w:numFmt w:val="decimal"/>
      <w:lvlText w:val="%7."/>
      <w:lvlJc w:val="left"/>
      <w:pPr>
        <w:ind w:left="5099" w:hanging="360"/>
      </w:pPr>
    </w:lvl>
    <w:lvl w:ilvl="7" w:tplc="08090019" w:tentative="1">
      <w:start w:val="1"/>
      <w:numFmt w:val="lowerLetter"/>
      <w:lvlText w:val="%8."/>
      <w:lvlJc w:val="left"/>
      <w:pPr>
        <w:ind w:left="5819" w:hanging="360"/>
      </w:pPr>
    </w:lvl>
    <w:lvl w:ilvl="8" w:tplc="0809001B" w:tentative="1">
      <w:start w:val="1"/>
      <w:numFmt w:val="lowerRoman"/>
      <w:lvlText w:val="%9."/>
      <w:lvlJc w:val="right"/>
      <w:pPr>
        <w:ind w:left="6539" w:hanging="180"/>
      </w:pPr>
    </w:lvl>
  </w:abstractNum>
  <w:abstractNum w:abstractNumId="12">
    <w:nsid w:val="46E6242A"/>
    <w:multiLevelType w:val="hybridMultilevel"/>
    <w:tmpl w:val="85E63E8E"/>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5">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6FD57DD9"/>
    <w:multiLevelType w:val="hybridMultilevel"/>
    <w:tmpl w:val="5E42A4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17"/>
  </w:num>
  <w:num w:numId="3">
    <w:abstractNumId w:val="13"/>
  </w:num>
  <w:num w:numId="4">
    <w:abstractNumId w:val="12"/>
  </w:num>
  <w:num w:numId="5">
    <w:abstractNumId w:val="5"/>
  </w:num>
  <w:num w:numId="6">
    <w:abstractNumId w:val="12"/>
  </w:num>
  <w:num w:numId="7">
    <w:abstractNumId w:val="2"/>
  </w:num>
  <w:num w:numId="8">
    <w:abstractNumId w:val="10"/>
  </w:num>
  <w:num w:numId="9">
    <w:abstractNumId w:val="7"/>
  </w:num>
  <w:num w:numId="10">
    <w:abstractNumId w:val="10"/>
    <w:lvlOverride w:ilvl="0">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Override>
    <w:lvlOverride w:ilvl="1">
      <w:lvl w:ilvl="1">
        <w:start w:val="1"/>
        <w:numFmt w:val="bullet"/>
        <w:lvlText w:val=""/>
        <w:lvlJc w:val="left"/>
        <w:pPr>
          <w:tabs>
            <w:tab w:val="num" w:pos="680"/>
          </w:tabs>
          <w:ind w:left="680" w:hanging="340"/>
        </w:pPr>
        <w:rPr>
          <w:rFonts w:ascii="Wingdings" w:hAnsi="Wingdings" w:hint="default"/>
          <w:color w:val="D2232A"/>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11">
    <w:abstractNumId w:val="1"/>
  </w:num>
  <w:num w:numId="12">
    <w:abstractNumId w:val="8"/>
  </w:num>
  <w:num w:numId="13">
    <w:abstractNumId w:val="14"/>
  </w:num>
  <w:num w:numId="14">
    <w:abstractNumId w:val="10"/>
    <w:lvlOverride w:ilvl="0">
      <w:startOverride w:val="1"/>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Override>
    <w:lvlOverride w:ilvl="1">
      <w:startOverride w:val="1"/>
      <w:lvl w:ilvl="1">
        <w:start w:val="1"/>
        <w:numFmt w:val="bullet"/>
        <w:lvlText w:val=""/>
        <w:lvlJc w:val="left"/>
        <w:pPr>
          <w:tabs>
            <w:tab w:val="num" w:pos="680"/>
          </w:tabs>
          <w:ind w:left="680" w:hanging="340"/>
        </w:pPr>
        <w:rPr>
          <w:rFonts w:ascii="Wingdings" w:hAnsi="Wingdings" w:hint="default"/>
          <w:color w:val="D2232A"/>
        </w:rPr>
      </w:lvl>
    </w:lvlOverride>
    <w:lvlOverride w:ilvl="2">
      <w:startOverride w:val="1"/>
      <w:lvl w:ilvl="2">
        <w:start w:val="1"/>
        <w:numFmt w:val="bullet"/>
        <w:lvlText w:val=""/>
        <w:lvlJc w:val="left"/>
        <w:pPr>
          <w:tabs>
            <w:tab w:val="num" w:pos="1021"/>
          </w:tabs>
          <w:ind w:left="1021" w:hanging="341"/>
        </w:pPr>
        <w:rPr>
          <w:rFonts w:ascii="Wingdings" w:hAnsi="Wingdings" w:hint="default"/>
          <w:color w:val="D2232A"/>
        </w:rPr>
      </w:lvl>
    </w:lvlOverride>
    <w:lvlOverride w:ilvl="3">
      <w:startOverride w:val="1"/>
      <w:lvl w:ilvl="3">
        <w:start w:val="1"/>
        <w:numFmt w:val="decimal"/>
        <w:lvlText w:val="(%4)"/>
        <w:lvlJc w:val="left"/>
        <w:pPr>
          <w:ind w:left="1043" w:hanging="360"/>
        </w:pPr>
        <w:rPr>
          <w:rFonts w:hint="default"/>
        </w:rPr>
      </w:lvl>
    </w:lvlOverride>
    <w:lvlOverride w:ilvl="4">
      <w:startOverride w:val="1"/>
      <w:lvl w:ilvl="4">
        <w:start w:val="1"/>
        <w:numFmt w:val="lowerLetter"/>
        <w:lvlText w:val="(%5)"/>
        <w:lvlJc w:val="left"/>
        <w:pPr>
          <w:ind w:left="1403" w:hanging="360"/>
        </w:pPr>
        <w:rPr>
          <w:rFonts w:hint="default"/>
        </w:rPr>
      </w:lvl>
    </w:lvlOverride>
    <w:lvlOverride w:ilvl="5">
      <w:startOverride w:val="1"/>
      <w:lvl w:ilvl="5">
        <w:start w:val="1"/>
        <w:numFmt w:val="lowerRoman"/>
        <w:lvlText w:val="(%6)"/>
        <w:lvlJc w:val="left"/>
        <w:pPr>
          <w:ind w:left="1763" w:hanging="360"/>
        </w:pPr>
        <w:rPr>
          <w:rFonts w:hint="default"/>
        </w:rPr>
      </w:lvl>
    </w:lvlOverride>
    <w:lvlOverride w:ilvl="6">
      <w:startOverride w:val="1"/>
      <w:lvl w:ilvl="6">
        <w:start w:val="1"/>
        <w:numFmt w:val="decimal"/>
        <w:lvlText w:val="%7."/>
        <w:lvlJc w:val="left"/>
        <w:pPr>
          <w:ind w:left="2123" w:hanging="360"/>
        </w:pPr>
        <w:rPr>
          <w:rFonts w:hint="default"/>
        </w:rPr>
      </w:lvl>
    </w:lvlOverride>
    <w:lvlOverride w:ilvl="7">
      <w:startOverride w:val="1"/>
      <w:lvl w:ilvl="7">
        <w:start w:val="1"/>
        <w:numFmt w:val="lowerLetter"/>
        <w:lvlText w:val="%8."/>
        <w:lvlJc w:val="left"/>
        <w:pPr>
          <w:ind w:left="2483" w:hanging="360"/>
        </w:pPr>
        <w:rPr>
          <w:rFonts w:hint="default"/>
        </w:rPr>
      </w:lvl>
    </w:lvlOverride>
    <w:lvlOverride w:ilvl="8">
      <w:startOverride w:val="1"/>
      <w:lvl w:ilvl="8">
        <w:start w:val="1"/>
        <w:numFmt w:val="lowerRoman"/>
        <w:lvlText w:val="%9."/>
        <w:lvlJc w:val="left"/>
        <w:pPr>
          <w:ind w:left="2843" w:hanging="360"/>
        </w:pPr>
        <w:rPr>
          <w:rFonts w:hint="default"/>
        </w:rPr>
      </w:lvl>
    </w:lvlOverride>
  </w:num>
  <w:num w:numId="15">
    <w:abstractNumId w:val="0"/>
  </w:num>
  <w:num w:numId="16">
    <w:abstractNumId w:val="11"/>
  </w:num>
  <w:num w:numId="17">
    <w:abstractNumId w:val="4"/>
  </w:num>
  <w:num w:numId="18">
    <w:abstractNumId w:val="3"/>
  </w:num>
  <w:num w:numId="19">
    <w:abstractNumId w:val="12"/>
    <w:lvlOverride w:ilvl="0">
      <w:startOverride w:val="1"/>
    </w:lvlOverride>
  </w:num>
  <w:num w:numId="20">
    <w:abstractNumId w:val="15"/>
  </w:num>
  <w:num w:numId="21">
    <w:abstractNumId w:val="5"/>
  </w:num>
  <w:num w:numId="22">
    <w:abstractNumId w:val="1"/>
  </w:num>
  <w:num w:numId="23">
    <w:abstractNumId w:val="16"/>
  </w:num>
  <w:num w:numId="24">
    <w:abstractNumId w:val="10"/>
    <w:lvlOverride w:ilvl="0">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Override>
    <w:lvlOverride w:ilvl="1">
      <w:lvl w:ilvl="1">
        <w:start w:val="1"/>
        <w:numFmt w:val="bullet"/>
        <w:lvlText w:val=""/>
        <w:lvlJc w:val="left"/>
        <w:pPr>
          <w:tabs>
            <w:tab w:val="num" w:pos="680"/>
          </w:tabs>
          <w:ind w:left="680" w:hanging="340"/>
        </w:pPr>
        <w:rPr>
          <w:rFonts w:ascii="Wingdings" w:hAnsi="Wingdings" w:hint="default"/>
          <w:color w:val="D2232A"/>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25">
    <w:abstractNumId w:val="10"/>
    <w:lvlOverride w:ilvl="0">
      <w:startOverride w:val="1"/>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Override>
    <w:lvlOverride w:ilvl="1">
      <w:startOverride w:val="1"/>
      <w:lvl w:ilvl="1">
        <w:start w:val="1"/>
        <w:numFmt w:val="bullet"/>
        <w:lvlText w:val=""/>
        <w:lvlJc w:val="left"/>
        <w:pPr>
          <w:tabs>
            <w:tab w:val="num" w:pos="680"/>
          </w:tabs>
          <w:ind w:left="680" w:hanging="340"/>
        </w:pPr>
        <w:rPr>
          <w:rFonts w:ascii="Wingdings" w:hAnsi="Wingdings" w:hint="default"/>
          <w:color w:val="D2232A"/>
        </w:rPr>
      </w:lvl>
    </w:lvlOverride>
    <w:lvlOverride w:ilvl="2">
      <w:startOverride w:val="1"/>
      <w:lvl w:ilvl="2">
        <w:start w:val="1"/>
        <w:numFmt w:val="bullet"/>
        <w:lvlText w:val=""/>
        <w:lvlJc w:val="left"/>
        <w:pPr>
          <w:tabs>
            <w:tab w:val="num" w:pos="1021"/>
          </w:tabs>
          <w:ind w:left="1021" w:hanging="341"/>
        </w:pPr>
        <w:rPr>
          <w:rFonts w:ascii="Wingdings" w:hAnsi="Wingdings" w:hint="default"/>
          <w:color w:val="D2232A"/>
        </w:rPr>
      </w:lvl>
    </w:lvlOverride>
    <w:lvlOverride w:ilvl="3">
      <w:startOverride w:val="1"/>
      <w:lvl w:ilvl="3">
        <w:start w:val="1"/>
        <w:numFmt w:val="decimal"/>
        <w:lvlText w:val="(%4)"/>
        <w:lvlJc w:val="left"/>
        <w:pPr>
          <w:ind w:left="1043" w:hanging="360"/>
        </w:pPr>
        <w:rPr>
          <w:rFonts w:hint="default"/>
        </w:rPr>
      </w:lvl>
    </w:lvlOverride>
    <w:lvlOverride w:ilvl="4">
      <w:startOverride w:val="1"/>
      <w:lvl w:ilvl="4">
        <w:start w:val="1"/>
        <w:numFmt w:val="lowerLetter"/>
        <w:lvlText w:val="(%5)"/>
        <w:lvlJc w:val="left"/>
        <w:pPr>
          <w:ind w:left="1403" w:hanging="360"/>
        </w:pPr>
        <w:rPr>
          <w:rFonts w:hint="default"/>
        </w:rPr>
      </w:lvl>
    </w:lvlOverride>
    <w:lvlOverride w:ilvl="5">
      <w:startOverride w:val="1"/>
      <w:lvl w:ilvl="5">
        <w:start w:val="1"/>
        <w:numFmt w:val="lowerRoman"/>
        <w:lvlText w:val="(%6)"/>
        <w:lvlJc w:val="left"/>
        <w:pPr>
          <w:ind w:left="1763" w:hanging="360"/>
        </w:pPr>
        <w:rPr>
          <w:rFonts w:hint="default"/>
        </w:rPr>
      </w:lvl>
    </w:lvlOverride>
    <w:lvlOverride w:ilvl="6">
      <w:startOverride w:val="1"/>
      <w:lvl w:ilvl="6">
        <w:start w:val="1"/>
        <w:numFmt w:val="decimal"/>
        <w:lvlText w:val="%7."/>
        <w:lvlJc w:val="left"/>
        <w:pPr>
          <w:ind w:left="2123" w:hanging="360"/>
        </w:pPr>
        <w:rPr>
          <w:rFonts w:hint="default"/>
        </w:rPr>
      </w:lvl>
    </w:lvlOverride>
    <w:lvlOverride w:ilvl="7">
      <w:startOverride w:val="1"/>
      <w:lvl w:ilvl="7">
        <w:start w:val="1"/>
        <w:numFmt w:val="lowerLetter"/>
        <w:lvlText w:val="%8."/>
        <w:lvlJc w:val="left"/>
        <w:pPr>
          <w:ind w:left="2483" w:hanging="360"/>
        </w:pPr>
        <w:rPr>
          <w:rFonts w:hint="default"/>
        </w:rPr>
      </w:lvl>
    </w:lvlOverride>
    <w:lvlOverride w:ilvl="8">
      <w:startOverride w:val="1"/>
      <w:lvl w:ilvl="8">
        <w:start w:val="1"/>
        <w:numFmt w:val="lowerRoman"/>
        <w:lvlText w:val="%9."/>
        <w:lvlJc w:val="left"/>
        <w:pPr>
          <w:ind w:left="2843" w:hanging="360"/>
        </w:pPr>
        <w:rPr>
          <w:rFonts w:hint="default"/>
        </w:rPr>
      </w:lvl>
    </w:lvlOverride>
  </w:num>
  <w:num w:numId="26">
    <w:abstractNumId w:val="10"/>
    <w:lvlOverride w:ilvl="0">
      <w:startOverride w:val="1"/>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Override>
    <w:lvlOverride w:ilvl="1">
      <w:startOverride w:val="1"/>
      <w:lvl w:ilvl="1">
        <w:start w:val="1"/>
        <w:numFmt w:val="bullet"/>
        <w:lvlText w:val=""/>
        <w:lvlJc w:val="left"/>
        <w:pPr>
          <w:tabs>
            <w:tab w:val="num" w:pos="680"/>
          </w:tabs>
          <w:ind w:left="680" w:hanging="340"/>
        </w:pPr>
        <w:rPr>
          <w:rFonts w:ascii="Wingdings" w:hAnsi="Wingdings" w:hint="default"/>
          <w:color w:val="D2232A"/>
        </w:rPr>
      </w:lvl>
    </w:lvlOverride>
    <w:lvlOverride w:ilvl="2">
      <w:startOverride w:val="1"/>
      <w:lvl w:ilvl="2">
        <w:start w:val="1"/>
        <w:numFmt w:val="bullet"/>
        <w:lvlText w:val=""/>
        <w:lvlJc w:val="left"/>
        <w:pPr>
          <w:tabs>
            <w:tab w:val="num" w:pos="1021"/>
          </w:tabs>
          <w:ind w:left="1021" w:hanging="341"/>
        </w:pPr>
        <w:rPr>
          <w:rFonts w:ascii="Wingdings" w:hAnsi="Wingdings" w:hint="default"/>
          <w:color w:val="D2232A"/>
        </w:rPr>
      </w:lvl>
    </w:lvlOverride>
    <w:lvlOverride w:ilvl="3">
      <w:startOverride w:val="1"/>
      <w:lvl w:ilvl="3">
        <w:start w:val="1"/>
        <w:numFmt w:val="decimal"/>
        <w:lvlText w:val="(%4)"/>
        <w:lvlJc w:val="left"/>
        <w:pPr>
          <w:ind w:left="1043" w:hanging="360"/>
        </w:pPr>
        <w:rPr>
          <w:rFonts w:hint="default"/>
        </w:rPr>
      </w:lvl>
    </w:lvlOverride>
    <w:lvlOverride w:ilvl="4">
      <w:startOverride w:val="1"/>
      <w:lvl w:ilvl="4">
        <w:start w:val="1"/>
        <w:numFmt w:val="lowerLetter"/>
        <w:lvlText w:val="(%5)"/>
        <w:lvlJc w:val="left"/>
        <w:pPr>
          <w:ind w:left="1403" w:hanging="360"/>
        </w:pPr>
        <w:rPr>
          <w:rFonts w:hint="default"/>
        </w:rPr>
      </w:lvl>
    </w:lvlOverride>
    <w:lvlOverride w:ilvl="5">
      <w:startOverride w:val="1"/>
      <w:lvl w:ilvl="5">
        <w:start w:val="1"/>
        <w:numFmt w:val="lowerRoman"/>
        <w:lvlText w:val="(%6)"/>
        <w:lvlJc w:val="left"/>
        <w:pPr>
          <w:ind w:left="1763" w:hanging="360"/>
        </w:pPr>
        <w:rPr>
          <w:rFonts w:hint="default"/>
        </w:rPr>
      </w:lvl>
    </w:lvlOverride>
    <w:lvlOverride w:ilvl="6">
      <w:startOverride w:val="1"/>
      <w:lvl w:ilvl="6">
        <w:start w:val="1"/>
        <w:numFmt w:val="decimal"/>
        <w:lvlText w:val="%7."/>
        <w:lvlJc w:val="left"/>
        <w:pPr>
          <w:ind w:left="2123" w:hanging="360"/>
        </w:pPr>
        <w:rPr>
          <w:rFonts w:hint="default"/>
        </w:rPr>
      </w:lvl>
    </w:lvlOverride>
    <w:lvlOverride w:ilvl="7">
      <w:startOverride w:val="1"/>
      <w:lvl w:ilvl="7">
        <w:start w:val="1"/>
        <w:numFmt w:val="lowerLetter"/>
        <w:lvlText w:val="%8."/>
        <w:lvlJc w:val="left"/>
        <w:pPr>
          <w:ind w:left="2483" w:hanging="360"/>
        </w:pPr>
        <w:rPr>
          <w:rFonts w:hint="default"/>
        </w:rPr>
      </w:lvl>
    </w:lvlOverride>
    <w:lvlOverride w:ilvl="8">
      <w:startOverride w:val="1"/>
      <w:lvl w:ilvl="8">
        <w:start w:val="1"/>
        <w:numFmt w:val="lowerRoman"/>
        <w:lvlText w:val="%9."/>
        <w:lvlJc w:val="left"/>
        <w:pPr>
          <w:ind w:left="2843" w:hanging="360"/>
        </w:pPr>
        <w:rPr>
          <w:rFonts w:hint="default"/>
        </w:rPr>
      </w:lvl>
    </w:lvlOverride>
  </w:num>
  <w:num w:numId="27">
    <w:abstractNumId w:val="10"/>
    <w:lvlOverride w:ilvl="0">
      <w:startOverride w:val="1"/>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Override>
    <w:lvlOverride w:ilvl="1">
      <w:startOverride w:val="1"/>
      <w:lvl w:ilvl="1">
        <w:start w:val="1"/>
        <w:numFmt w:val="bullet"/>
        <w:lvlText w:val=""/>
        <w:lvlJc w:val="left"/>
        <w:pPr>
          <w:tabs>
            <w:tab w:val="num" w:pos="680"/>
          </w:tabs>
          <w:ind w:left="680" w:hanging="340"/>
        </w:pPr>
        <w:rPr>
          <w:rFonts w:ascii="Wingdings" w:hAnsi="Wingdings" w:hint="default"/>
          <w:color w:val="D2232A"/>
        </w:rPr>
      </w:lvl>
    </w:lvlOverride>
    <w:lvlOverride w:ilvl="2">
      <w:startOverride w:val="1"/>
      <w:lvl w:ilvl="2">
        <w:start w:val="1"/>
        <w:numFmt w:val="bullet"/>
        <w:lvlText w:val=""/>
        <w:lvlJc w:val="left"/>
        <w:pPr>
          <w:tabs>
            <w:tab w:val="num" w:pos="1021"/>
          </w:tabs>
          <w:ind w:left="1021" w:hanging="341"/>
        </w:pPr>
        <w:rPr>
          <w:rFonts w:ascii="Wingdings" w:hAnsi="Wingdings" w:hint="default"/>
          <w:color w:val="D2232A"/>
        </w:rPr>
      </w:lvl>
    </w:lvlOverride>
    <w:lvlOverride w:ilvl="3">
      <w:startOverride w:val="1"/>
      <w:lvl w:ilvl="3">
        <w:start w:val="1"/>
        <w:numFmt w:val="decimal"/>
        <w:lvlText w:val="(%4)"/>
        <w:lvlJc w:val="left"/>
        <w:pPr>
          <w:ind w:left="1043" w:hanging="360"/>
        </w:pPr>
        <w:rPr>
          <w:rFonts w:hint="default"/>
        </w:rPr>
      </w:lvl>
    </w:lvlOverride>
    <w:lvlOverride w:ilvl="4">
      <w:startOverride w:val="1"/>
      <w:lvl w:ilvl="4">
        <w:start w:val="1"/>
        <w:numFmt w:val="lowerLetter"/>
        <w:lvlText w:val="(%5)"/>
        <w:lvlJc w:val="left"/>
        <w:pPr>
          <w:ind w:left="1403" w:hanging="360"/>
        </w:pPr>
        <w:rPr>
          <w:rFonts w:hint="default"/>
        </w:rPr>
      </w:lvl>
    </w:lvlOverride>
    <w:lvlOverride w:ilvl="5">
      <w:startOverride w:val="1"/>
      <w:lvl w:ilvl="5">
        <w:start w:val="1"/>
        <w:numFmt w:val="lowerRoman"/>
        <w:lvlText w:val="(%6)"/>
        <w:lvlJc w:val="left"/>
        <w:pPr>
          <w:ind w:left="1763" w:hanging="360"/>
        </w:pPr>
        <w:rPr>
          <w:rFonts w:hint="default"/>
        </w:rPr>
      </w:lvl>
    </w:lvlOverride>
    <w:lvlOverride w:ilvl="6">
      <w:startOverride w:val="1"/>
      <w:lvl w:ilvl="6">
        <w:start w:val="1"/>
        <w:numFmt w:val="decimal"/>
        <w:lvlText w:val="%7."/>
        <w:lvlJc w:val="left"/>
        <w:pPr>
          <w:ind w:left="2123" w:hanging="360"/>
        </w:pPr>
        <w:rPr>
          <w:rFonts w:hint="default"/>
        </w:rPr>
      </w:lvl>
    </w:lvlOverride>
    <w:lvlOverride w:ilvl="7">
      <w:startOverride w:val="1"/>
      <w:lvl w:ilvl="7">
        <w:start w:val="1"/>
        <w:numFmt w:val="lowerLetter"/>
        <w:lvlText w:val="%8."/>
        <w:lvlJc w:val="left"/>
        <w:pPr>
          <w:ind w:left="2483" w:hanging="360"/>
        </w:pPr>
        <w:rPr>
          <w:rFonts w:hint="default"/>
        </w:rPr>
      </w:lvl>
    </w:lvlOverride>
    <w:lvlOverride w:ilvl="8">
      <w:startOverride w:val="1"/>
      <w:lvl w:ilvl="8">
        <w:start w:val="1"/>
        <w:numFmt w:val="lowerRoman"/>
        <w:lvlText w:val="%9."/>
        <w:lvlJc w:val="left"/>
        <w:pPr>
          <w:ind w:left="2843" w:hanging="360"/>
        </w:pPr>
        <w:rPr>
          <w:rFonts w:hint="default"/>
        </w:rPr>
      </w:lvl>
    </w:lvlOverride>
  </w:num>
  <w:num w:numId="2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3"/>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ocumentProtection w:formatting="1" w:enforcement="1" w:cryptProviderType="rsaFull" w:cryptAlgorithmClass="hash" w:cryptAlgorithmType="typeAny" w:cryptAlgorithmSid="4" w:cryptSpinCount="100000" w:hash="7lrOpJv4z8LibIqppkctjP/sUnY=" w:salt="RvQj2QbeIzH3x8dhSmWJ9A=="/>
  <w:defaultTabStop w:val="720"/>
  <w:hyphenationZone w:val="425"/>
  <w:evenAndOddHeaders/>
  <w:characterSpacingControl w:val="doNotCompress"/>
  <w:hdrShapeDefaults>
    <o:shapedefaults v:ext="edit" spidmax="12289">
      <o:colormru v:ext="edit" colors="#7b6c58,#887e6e,#b0a696,#828282"/>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BF8"/>
    <w:rsid w:val="00000B88"/>
    <w:rsid w:val="00001C6F"/>
    <w:rsid w:val="00002326"/>
    <w:rsid w:val="00002FF0"/>
    <w:rsid w:val="00005F4D"/>
    <w:rsid w:val="000071F8"/>
    <w:rsid w:val="00010C3C"/>
    <w:rsid w:val="0001295D"/>
    <w:rsid w:val="00021214"/>
    <w:rsid w:val="00025D81"/>
    <w:rsid w:val="00026B09"/>
    <w:rsid w:val="00026E94"/>
    <w:rsid w:val="00030945"/>
    <w:rsid w:val="000332F9"/>
    <w:rsid w:val="00036F0C"/>
    <w:rsid w:val="00040BCB"/>
    <w:rsid w:val="00041489"/>
    <w:rsid w:val="00045AAF"/>
    <w:rsid w:val="00052C30"/>
    <w:rsid w:val="000557CF"/>
    <w:rsid w:val="00055E52"/>
    <w:rsid w:val="000560CB"/>
    <w:rsid w:val="00056647"/>
    <w:rsid w:val="00057605"/>
    <w:rsid w:val="0006121B"/>
    <w:rsid w:val="0006305C"/>
    <w:rsid w:val="00063364"/>
    <w:rsid w:val="000714BA"/>
    <w:rsid w:val="00075402"/>
    <w:rsid w:val="000766E8"/>
    <w:rsid w:val="00080AF2"/>
    <w:rsid w:val="0008102F"/>
    <w:rsid w:val="000814C4"/>
    <w:rsid w:val="00084BB7"/>
    <w:rsid w:val="00091F6D"/>
    <w:rsid w:val="000929DC"/>
    <w:rsid w:val="00092DF9"/>
    <w:rsid w:val="0009449B"/>
    <w:rsid w:val="00094911"/>
    <w:rsid w:val="00095ACC"/>
    <w:rsid w:val="00097B89"/>
    <w:rsid w:val="000A0C85"/>
    <w:rsid w:val="000A1313"/>
    <w:rsid w:val="000B0247"/>
    <w:rsid w:val="000B1F51"/>
    <w:rsid w:val="000B3780"/>
    <w:rsid w:val="000C1DA8"/>
    <w:rsid w:val="000C231F"/>
    <w:rsid w:val="000C30BC"/>
    <w:rsid w:val="000D7349"/>
    <w:rsid w:val="000D7E83"/>
    <w:rsid w:val="000E54B8"/>
    <w:rsid w:val="000F0200"/>
    <w:rsid w:val="000F0A2D"/>
    <w:rsid w:val="000F1606"/>
    <w:rsid w:val="000F270E"/>
    <w:rsid w:val="000F3CB7"/>
    <w:rsid w:val="000F4BB3"/>
    <w:rsid w:val="000F6D23"/>
    <w:rsid w:val="0010176F"/>
    <w:rsid w:val="001053BD"/>
    <w:rsid w:val="00106AD7"/>
    <w:rsid w:val="0010790F"/>
    <w:rsid w:val="0010793F"/>
    <w:rsid w:val="00110F55"/>
    <w:rsid w:val="00113D8E"/>
    <w:rsid w:val="001143B6"/>
    <w:rsid w:val="001164C8"/>
    <w:rsid w:val="00120D37"/>
    <w:rsid w:val="00122E8E"/>
    <w:rsid w:val="00123181"/>
    <w:rsid w:val="00124AD9"/>
    <w:rsid w:val="00125A49"/>
    <w:rsid w:val="00126D3F"/>
    <w:rsid w:val="00131BFD"/>
    <w:rsid w:val="00137E88"/>
    <w:rsid w:val="00143321"/>
    <w:rsid w:val="00145589"/>
    <w:rsid w:val="00147E05"/>
    <w:rsid w:val="001517E3"/>
    <w:rsid w:val="0015521A"/>
    <w:rsid w:val="001555BB"/>
    <w:rsid w:val="001608DD"/>
    <w:rsid w:val="00163994"/>
    <w:rsid w:val="001677A1"/>
    <w:rsid w:val="00170126"/>
    <w:rsid w:val="0017183D"/>
    <w:rsid w:val="00171D97"/>
    <w:rsid w:val="00173188"/>
    <w:rsid w:val="001743BA"/>
    <w:rsid w:val="00181103"/>
    <w:rsid w:val="001855D5"/>
    <w:rsid w:val="00186360"/>
    <w:rsid w:val="001868E0"/>
    <w:rsid w:val="001877B1"/>
    <w:rsid w:val="00187B24"/>
    <w:rsid w:val="00193139"/>
    <w:rsid w:val="00193CAB"/>
    <w:rsid w:val="001957D5"/>
    <w:rsid w:val="0019703A"/>
    <w:rsid w:val="0019748D"/>
    <w:rsid w:val="001A21F9"/>
    <w:rsid w:val="001A271C"/>
    <w:rsid w:val="001A5E27"/>
    <w:rsid w:val="001A642B"/>
    <w:rsid w:val="001A75A8"/>
    <w:rsid w:val="001B056C"/>
    <w:rsid w:val="001B082D"/>
    <w:rsid w:val="001B1462"/>
    <w:rsid w:val="001B3125"/>
    <w:rsid w:val="001B6367"/>
    <w:rsid w:val="001C1238"/>
    <w:rsid w:val="001C421F"/>
    <w:rsid w:val="001C45AE"/>
    <w:rsid w:val="001D1025"/>
    <w:rsid w:val="001D6584"/>
    <w:rsid w:val="001D671F"/>
    <w:rsid w:val="001E008B"/>
    <w:rsid w:val="001E0621"/>
    <w:rsid w:val="001E0CA6"/>
    <w:rsid w:val="001E406F"/>
    <w:rsid w:val="001E7C4A"/>
    <w:rsid w:val="001F202A"/>
    <w:rsid w:val="0020517F"/>
    <w:rsid w:val="00205579"/>
    <w:rsid w:val="002069B8"/>
    <w:rsid w:val="0021174E"/>
    <w:rsid w:val="002125B1"/>
    <w:rsid w:val="002128A3"/>
    <w:rsid w:val="00212A0C"/>
    <w:rsid w:val="00212BDC"/>
    <w:rsid w:val="002136A3"/>
    <w:rsid w:val="00216BE1"/>
    <w:rsid w:val="00220021"/>
    <w:rsid w:val="002204B4"/>
    <w:rsid w:val="002209A7"/>
    <w:rsid w:val="00221A75"/>
    <w:rsid w:val="00223541"/>
    <w:rsid w:val="00223B12"/>
    <w:rsid w:val="00225572"/>
    <w:rsid w:val="0023081E"/>
    <w:rsid w:val="00231CDE"/>
    <w:rsid w:val="00233185"/>
    <w:rsid w:val="00234900"/>
    <w:rsid w:val="0023792E"/>
    <w:rsid w:val="002401C5"/>
    <w:rsid w:val="00240556"/>
    <w:rsid w:val="00245AE6"/>
    <w:rsid w:val="00250318"/>
    <w:rsid w:val="00252694"/>
    <w:rsid w:val="00254266"/>
    <w:rsid w:val="002562BD"/>
    <w:rsid w:val="0025701C"/>
    <w:rsid w:val="002650B5"/>
    <w:rsid w:val="0026545E"/>
    <w:rsid w:val="00265C5F"/>
    <w:rsid w:val="00270924"/>
    <w:rsid w:val="002742A1"/>
    <w:rsid w:val="00282942"/>
    <w:rsid w:val="00284551"/>
    <w:rsid w:val="00286283"/>
    <w:rsid w:val="00286FCC"/>
    <w:rsid w:val="00292A8F"/>
    <w:rsid w:val="00293A15"/>
    <w:rsid w:val="002963E3"/>
    <w:rsid w:val="002974C8"/>
    <w:rsid w:val="002976C3"/>
    <w:rsid w:val="002978F5"/>
    <w:rsid w:val="00297D7C"/>
    <w:rsid w:val="00297F2E"/>
    <w:rsid w:val="002A01D0"/>
    <w:rsid w:val="002A1448"/>
    <w:rsid w:val="002A1F01"/>
    <w:rsid w:val="002A1F9C"/>
    <w:rsid w:val="002A21F7"/>
    <w:rsid w:val="002A2AD2"/>
    <w:rsid w:val="002A49BA"/>
    <w:rsid w:val="002A503C"/>
    <w:rsid w:val="002A5436"/>
    <w:rsid w:val="002A73A9"/>
    <w:rsid w:val="002B1725"/>
    <w:rsid w:val="002B1D18"/>
    <w:rsid w:val="002B7D67"/>
    <w:rsid w:val="002C038E"/>
    <w:rsid w:val="002C5AB9"/>
    <w:rsid w:val="002D0781"/>
    <w:rsid w:val="002D34D4"/>
    <w:rsid w:val="002D7CB1"/>
    <w:rsid w:val="002E3A6C"/>
    <w:rsid w:val="002E7D71"/>
    <w:rsid w:val="002F0770"/>
    <w:rsid w:val="002F6BD2"/>
    <w:rsid w:val="003010BC"/>
    <w:rsid w:val="00304FE5"/>
    <w:rsid w:val="003051C7"/>
    <w:rsid w:val="0030531E"/>
    <w:rsid w:val="0030637E"/>
    <w:rsid w:val="00310998"/>
    <w:rsid w:val="003136AF"/>
    <w:rsid w:val="00314072"/>
    <w:rsid w:val="00314896"/>
    <w:rsid w:val="00317337"/>
    <w:rsid w:val="00320F2F"/>
    <w:rsid w:val="00324ABD"/>
    <w:rsid w:val="00326526"/>
    <w:rsid w:val="00330532"/>
    <w:rsid w:val="00331A6F"/>
    <w:rsid w:val="003325B5"/>
    <w:rsid w:val="00340381"/>
    <w:rsid w:val="00341096"/>
    <w:rsid w:val="00345CAE"/>
    <w:rsid w:val="00351960"/>
    <w:rsid w:val="00353A95"/>
    <w:rsid w:val="00364421"/>
    <w:rsid w:val="00364813"/>
    <w:rsid w:val="0036528B"/>
    <w:rsid w:val="003712E1"/>
    <w:rsid w:val="003812E3"/>
    <w:rsid w:val="00381B49"/>
    <w:rsid w:val="00381B4F"/>
    <w:rsid w:val="00384B83"/>
    <w:rsid w:val="00392670"/>
    <w:rsid w:val="00394D74"/>
    <w:rsid w:val="003960C0"/>
    <w:rsid w:val="0039703A"/>
    <w:rsid w:val="003A1A40"/>
    <w:rsid w:val="003A2C09"/>
    <w:rsid w:val="003A74D4"/>
    <w:rsid w:val="003B1EDE"/>
    <w:rsid w:val="003B4BC6"/>
    <w:rsid w:val="003B4C0F"/>
    <w:rsid w:val="003C008C"/>
    <w:rsid w:val="003C0984"/>
    <w:rsid w:val="003C0EAC"/>
    <w:rsid w:val="003C2B5B"/>
    <w:rsid w:val="003C3EE4"/>
    <w:rsid w:val="003C435A"/>
    <w:rsid w:val="003C51D0"/>
    <w:rsid w:val="003C7D58"/>
    <w:rsid w:val="003D2769"/>
    <w:rsid w:val="003D2966"/>
    <w:rsid w:val="003D7BE4"/>
    <w:rsid w:val="003E19DF"/>
    <w:rsid w:val="003E39D9"/>
    <w:rsid w:val="003E506A"/>
    <w:rsid w:val="003F1BDE"/>
    <w:rsid w:val="003F6103"/>
    <w:rsid w:val="003F68D4"/>
    <w:rsid w:val="00401246"/>
    <w:rsid w:val="0040197F"/>
    <w:rsid w:val="00403727"/>
    <w:rsid w:val="004038BA"/>
    <w:rsid w:val="00405D91"/>
    <w:rsid w:val="00410F04"/>
    <w:rsid w:val="00412C49"/>
    <w:rsid w:val="00416328"/>
    <w:rsid w:val="00416BB6"/>
    <w:rsid w:val="00422093"/>
    <w:rsid w:val="0042217E"/>
    <w:rsid w:val="00424B26"/>
    <w:rsid w:val="00425692"/>
    <w:rsid w:val="0043320D"/>
    <w:rsid w:val="00433B9C"/>
    <w:rsid w:val="0043664F"/>
    <w:rsid w:val="004445C3"/>
    <w:rsid w:val="00444A5C"/>
    <w:rsid w:val="004459D1"/>
    <w:rsid w:val="00447C85"/>
    <w:rsid w:val="00454115"/>
    <w:rsid w:val="0045602F"/>
    <w:rsid w:val="00462179"/>
    <w:rsid w:val="004632AE"/>
    <w:rsid w:val="0046436A"/>
    <w:rsid w:val="0046658E"/>
    <w:rsid w:val="00480C95"/>
    <w:rsid w:val="004816DF"/>
    <w:rsid w:val="0048463C"/>
    <w:rsid w:val="0048472C"/>
    <w:rsid w:val="00485813"/>
    <w:rsid w:val="0048722F"/>
    <w:rsid w:val="004905FC"/>
    <w:rsid w:val="00490F84"/>
    <w:rsid w:val="00492E41"/>
    <w:rsid w:val="00493D5E"/>
    <w:rsid w:val="004958D5"/>
    <w:rsid w:val="00495D82"/>
    <w:rsid w:val="004A0B5D"/>
    <w:rsid w:val="004B02C6"/>
    <w:rsid w:val="004B4806"/>
    <w:rsid w:val="004B4935"/>
    <w:rsid w:val="004C0FB9"/>
    <w:rsid w:val="004C1A93"/>
    <w:rsid w:val="004C2E04"/>
    <w:rsid w:val="004C3B5A"/>
    <w:rsid w:val="004C665E"/>
    <w:rsid w:val="004D2941"/>
    <w:rsid w:val="004D2FFC"/>
    <w:rsid w:val="004D3CCE"/>
    <w:rsid w:val="004D43DD"/>
    <w:rsid w:val="004D56D7"/>
    <w:rsid w:val="004D58C3"/>
    <w:rsid w:val="004E0ED8"/>
    <w:rsid w:val="004F1837"/>
    <w:rsid w:val="004F4178"/>
    <w:rsid w:val="004F4AA0"/>
    <w:rsid w:val="004F5EC3"/>
    <w:rsid w:val="004F6427"/>
    <w:rsid w:val="004F72A2"/>
    <w:rsid w:val="004F72E6"/>
    <w:rsid w:val="004F7D84"/>
    <w:rsid w:val="00500CFC"/>
    <w:rsid w:val="005027C2"/>
    <w:rsid w:val="005029E1"/>
    <w:rsid w:val="005048CC"/>
    <w:rsid w:val="00506E68"/>
    <w:rsid w:val="005116A5"/>
    <w:rsid w:val="00512677"/>
    <w:rsid w:val="00517DEE"/>
    <w:rsid w:val="00517FF3"/>
    <w:rsid w:val="00522184"/>
    <w:rsid w:val="00522B43"/>
    <w:rsid w:val="005233D6"/>
    <w:rsid w:val="00523599"/>
    <w:rsid w:val="00524103"/>
    <w:rsid w:val="005260E0"/>
    <w:rsid w:val="005278D6"/>
    <w:rsid w:val="005316A0"/>
    <w:rsid w:val="00531C6F"/>
    <w:rsid w:val="00531CF0"/>
    <w:rsid w:val="0053507C"/>
    <w:rsid w:val="00537941"/>
    <w:rsid w:val="00545F29"/>
    <w:rsid w:val="00547886"/>
    <w:rsid w:val="0055497A"/>
    <w:rsid w:val="00554C57"/>
    <w:rsid w:val="00561FFB"/>
    <w:rsid w:val="00566311"/>
    <w:rsid w:val="00571863"/>
    <w:rsid w:val="005723E3"/>
    <w:rsid w:val="00576231"/>
    <w:rsid w:val="00576400"/>
    <w:rsid w:val="00576B95"/>
    <w:rsid w:val="00584E39"/>
    <w:rsid w:val="0058562E"/>
    <w:rsid w:val="00585A8E"/>
    <w:rsid w:val="0059060C"/>
    <w:rsid w:val="0059140D"/>
    <w:rsid w:val="005916F6"/>
    <w:rsid w:val="005924D8"/>
    <w:rsid w:val="00592F6A"/>
    <w:rsid w:val="00596903"/>
    <w:rsid w:val="00596B69"/>
    <w:rsid w:val="005A166E"/>
    <w:rsid w:val="005A1FC7"/>
    <w:rsid w:val="005A20B9"/>
    <w:rsid w:val="005A4985"/>
    <w:rsid w:val="005A559B"/>
    <w:rsid w:val="005B1F22"/>
    <w:rsid w:val="005B2F4B"/>
    <w:rsid w:val="005B451A"/>
    <w:rsid w:val="005B7FCC"/>
    <w:rsid w:val="005C1C71"/>
    <w:rsid w:val="005C3607"/>
    <w:rsid w:val="005C453F"/>
    <w:rsid w:val="005C779C"/>
    <w:rsid w:val="005C7A49"/>
    <w:rsid w:val="005D2FEF"/>
    <w:rsid w:val="005D6C32"/>
    <w:rsid w:val="005D79AC"/>
    <w:rsid w:val="005F0233"/>
    <w:rsid w:val="005F203A"/>
    <w:rsid w:val="005F64AC"/>
    <w:rsid w:val="0060381C"/>
    <w:rsid w:val="006057EC"/>
    <w:rsid w:val="00606A77"/>
    <w:rsid w:val="006079CA"/>
    <w:rsid w:val="00610220"/>
    <w:rsid w:val="0061125C"/>
    <w:rsid w:val="006114A6"/>
    <w:rsid w:val="006134FF"/>
    <w:rsid w:val="00615555"/>
    <w:rsid w:val="0062038D"/>
    <w:rsid w:val="0062167A"/>
    <w:rsid w:val="00621F51"/>
    <w:rsid w:val="006228AB"/>
    <w:rsid w:val="0062539D"/>
    <w:rsid w:val="0062696E"/>
    <w:rsid w:val="0063179A"/>
    <w:rsid w:val="00636CBB"/>
    <w:rsid w:val="00640554"/>
    <w:rsid w:val="006406B8"/>
    <w:rsid w:val="0064196E"/>
    <w:rsid w:val="0064253D"/>
    <w:rsid w:val="006433EE"/>
    <w:rsid w:val="006454F8"/>
    <w:rsid w:val="00651A76"/>
    <w:rsid w:val="00652D1F"/>
    <w:rsid w:val="00661C15"/>
    <w:rsid w:val="00662AE0"/>
    <w:rsid w:val="00663459"/>
    <w:rsid w:val="00666741"/>
    <w:rsid w:val="00670EDE"/>
    <w:rsid w:val="0067278B"/>
    <w:rsid w:val="0067417A"/>
    <w:rsid w:val="00681CDE"/>
    <w:rsid w:val="006847BB"/>
    <w:rsid w:val="00690E15"/>
    <w:rsid w:val="00691787"/>
    <w:rsid w:val="00693F30"/>
    <w:rsid w:val="00694641"/>
    <w:rsid w:val="00694DBD"/>
    <w:rsid w:val="0069581D"/>
    <w:rsid w:val="006978BC"/>
    <w:rsid w:val="006A363E"/>
    <w:rsid w:val="006A6856"/>
    <w:rsid w:val="006A68E9"/>
    <w:rsid w:val="006B7A5E"/>
    <w:rsid w:val="006C05BB"/>
    <w:rsid w:val="006C0C98"/>
    <w:rsid w:val="006C1607"/>
    <w:rsid w:val="006C4407"/>
    <w:rsid w:val="006C5C2A"/>
    <w:rsid w:val="006C74DE"/>
    <w:rsid w:val="006D0E07"/>
    <w:rsid w:val="006D35CF"/>
    <w:rsid w:val="006D7070"/>
    <w:rsid w:val="006D7A50"/>
    <w:rsid w:val="006E01D6"/>
    <w:rsid w:val="006E035C"/>
    <w:rsid w:val="006E16E9"/>
    <w:rsid w:val="006E2E7B"/>
    <w:rsid w:val="006F0D0E"/>
    <w:rsid w:val="006F1EC6"/>
    <w:rsid w:val="006F3465"/>
    <w:rsid w:val="006F5883"/>
    <w:rsid w:val="00700656"/>
    <w:rsid w:val="007171DB"/>
    <w:rsid w:val="0072456D"/>
    <w:rsid w:val="00724A19"/>
    <w:rsid w:val="0072619A"/>
    <w:rsid w:val="0073020F"/>
    <w:rsid w:val="007312BA"/>
    <w:rsid w:val="00732A91"/>
    <w:rsid w:val="00733465"/>
    <w:rsid w:val="00737E79"/>
    <w:rsid w:val="00740659"/>
    <w:rsid w:val="00742779"/>
    <w:rsid w:val="00742FCD"/>
    <w:rsid w:val="00743F7C"/>
    <w:rsid w:val="007447D2"/>
    <w:rsid w:val="00745CA7"/>
    <w:rsid w:val="007525F4"/>
    <w:rsid w:val="007541F3"/>
    <w:rsid w:val="00754AAE"/>
    <w:rsid w:val="0075525E"/>
    <w:rsid w:val="00756B8F"/>
    <w:rsid w:val="00760F50"/>
    <w:rsid w:val="00761B79"/>
    <w:rsid w:val="00763E1C"/>
    <w:rsid w:val="007711B6"/>
    <w:rsid w:val="0077273B"/>
    <w:rsid w:val="00774627"/>
    <w:rsid w:val="00777395"/>
    <w:rsid w:val="00777EE6"/>
    <w:rsid w:val="00782265"/>
    <w:rsid w:val="007853B3"/>
    <w:rsid w:val="007861C9"/>
    <w:rsid w:val="00787D1D"/>
    <w:rsid w:val="007900D5"/>
    <w:rsid w:val="00791223"/>
    <w:rsid w:val="007A008E"/>
    <w:rsid w:val="007A2D4E"/>
    <w:rsid w:val="007A5294"/>
    <w:rsid w:val="007A579B"/>
    <w:rsid w:val="007A591F"/>
    <w:rsid w:val="007A5FCF"/>
    <w:rsid w:val="007A67AE"/>
    <w:rsid w:val="007A79CF"/>
    <w:rsid w:val="007B084F"/>
    <w:rsid w:val="007B1EC6"/>
    <w:rsid w:val="007B36E5"/>
    <w:rsid w:val="007B4D5B"/>
    <w:rsid w:val="007C0883"/>
    <w:rsid w:val="007C11CF"/>
    <w:rsid w:val="007C3ABA"/>
    <w:rsid w:val="007C69B9"/>
    <w:rsid w:val="007C7DE7"/>
    <w:rsid w:val="007D190C"/>
    <w:rsid w:val="007D1DBC"/>
    <w:rsid w:val="007D243D"/>
    <w:rsid w:val="007D3072"/>
    <w:rsid w:val="007D313B"/>
    <w:rsid w:val="007D34A1"/>
    <w:rsid w:val="007D385A"/>
    <w:rsid w:val="007D4962"/>
    <w:rsid w:val="007D5EEF"/>
    <w:rsid w:val="007D61DA"/>
    <w:rsid w:val="007E17B1"/>
    <w:rsid w:val="007E2358"/>
    <w:rsid w:val="007E37FA"/>
    <w:rsid w:val="007E5CB8"/>
    <w:rsid w:val="007E6038"/>
    <w:rsid w:val="007E79D5"/>
    <w:rsid w:val="007F1AB6"/>
    <w:rsid w:val="007F2D30"/>
    <w:rsid w:val="00806ED7"/>
    <w:rsid w:val="00807149"/>
    <w:rsid w:val="00810A00"/>
    <w:rsid w:val="00812B60"/>
    <w:rsid w:val="00813E41"/>
    <w:rsid w:val="00817DD8"/>
    <w:rsid w:val="00820F2C"/>
    <w:rsid w:val="00822317"/>
    <w:rsid w:val="00824FF0"/>
    <w:rsid w:val="00825DA2"/>
    <w:rsid w:val="00825DB1"/>
    <w:rsid w:val="0083042D"/>
    <w:rsid w:val="0083161A"/>
    <w:rsid w:val="00833C48"/>
    <w:rsid w:val="00834DFD"/>
    <w:rsid w:val="00836E0B"/>
    <w:rsid w:val="00836EC8"/>
    <w:rsid w:val="00840831"/>
    <w:rsid w:val="00846252"/>
    <w:rsid w:val="0085100C"/>
    <w:rsid w:val="00854576"/>
    <w:rsid w:val="00854F23"/>
    <w:rsid w:val="00856A76"/>
    <w:rsid w:val="00860A3A"/>
    <w:rsid w:val="0086189B"/>
    <w:rsid w:val="00864F8F"/>
    <w:rsid w:val="008657CB"/>
    <w:rsid w:val="00867694"/>
    <w:rsid w:val="00870B6E"/>
    <w:rsid w:val="00872503"/>
    <w:rsid w:val="00875CFA"/>
    <w:rsid w:val="008773DE"/>
    <w:rsid w:val="008809C3"/>
    <w:rsid w:val="0088330B"/>
    <w:rsid w:val="0088679E"/>
    <w:rsid w:val="0088718E"/>
    <w:rsid w:val="00891FD1"/>
    <w:rsid w:val="0089204B"/>
    <w:rsid w:val="00894031"/>
    <w:rsid w:val="008942AF"/>
    <w:rsid w:val="00895455"/>
    <w:rsid w:val="00896112"/>
    <w:rsid w:val="00896BD7"/>
    <w:rsid w:val="008978B9"/>
    <w:rsid w:val="008A050E"/>
    <w:rsid w:val="008A1679"/>
    <w:rsid w:val="008A328C"/>
    <w:rsid w:val="008A5EAD"/>
    <w:rsid w:val="008B47A8"/>
    <w:rsid w:val="008B6AA6"/>
    <w:rsid w:val="008B7DA5"/>
    <w:rsid w:val="008C2208"/>
    <w:rsid w:val="008C2488"/>
    <w:rsid w:val="008C3042"/>
    <w:rsid w:val="008C560A"/>
    <w:rsid w:val="008C7450"/>
    <w:rsid w:val="008D2A17"/>
    <w:rsid w:val="008D31DE"/>
    <w:rsid w:val="008D577E"/>
    <w:rsid w:val="008E0687"/>
    <w:rsid w:val="008E1218"/>
    <w:rsid w:val="008E1953"/>
    <w:rsid w:val="008E37D0"/>
    <w:rsid w:val="008E3B98"/>
    <w:rsid w:val="008E40BE"/>
    <w:rsid w:val="008E4F6A"/>
    <w:rsid w:val="008E4FD6"/>
    <w:rsid w:val="008F5A9C"/>
    <w:rsid w:val="00900D73"/>
    <w:rsid w:val="009045FD"/>
    <w:rsid w:val="00914DA7"/>
    <w:rsid w:val="00916085"/>
    <w:rsid w:val="0091651E"/>
    <w:rsid w:val="00916660"/>
    <w:rsid w:val="009170E7"/>
    <w:rsid w:val="00917DEB"/>
    <w:rsid w:val="00922D28"/>
    <w:rsid w:val="00923C6D"/>
    <w:rsid w:val="009247FD"/>
    <w:rsid w:val="00930566"/>
    <w:rsid w:val="00932010"/>
    <w:rsid w:val="009329DB"/>
    <w:rsid w:val="00932BFA"/>
    <w:rsid w:val="009338C7"/>
    <w:rsid w:val="0094535F"/>
    <w:rsid w:val="009475CE"/>
    <w:rsid w:val="0095102C"/>
    <w:rsid w:val="00952BF2"/>
    <w:rsid w:val="009546F9"/>
    <w:rsid w:val="00954B58"/>
    <w:rsid w:val="0095581A"/>
    <w:rsid w:val="00955FD6"/>
    <w:rsid w:val="00956CAF"/>
    <w:rsid w:val="00956FF2"/>
    <w:rsid w:val="00960D28"/>
    <w:rsid w:val="00960FB5"/>
    <w:rsid w:val="009656B2"/>
    <w:rsid w:val="009715B3"/>
    <w:rsid w:val="00973F5B"/>
    <w:rsid w:val="009770D2"/>
    <w:rsid w:val="00980F54"/>
    <w:rsid w:val="00983976"/>
    <w:rsid w:val="00983DD7"/>
    <w:rsid w:val="00984F43"/>
    <w:rsid w:val="009941B8"/>
    <w:rsid w:val="00995831"/>
    <w:rsid w:val="00997322"/>
    <w:rsid w:val="009A12CC"/>
    <w:rsid w:val="009A53CF"/>
    <w:rsid w:val="009B0494"/>
    <w:rsid w:val="009B0B87"/>
    <w:rsid w:val="009B1900"/>
    <w:rsid w:val="009B5C3D"/>
    <w:rsid w:val="009C1059"/>
    <w:rsid w:val="009C1811"/>
    <w:rsid w:val="009C1886"/>
    <w:rsid w:val="009C1A27"/>
    <w:rsid w:val="009C1E51"/>
    <w:rsid w:val="009C35D7"/>
    <w:rsid w:val="009C4A41"/>
    <w:rsid w:val="009D07CD"/>
    <w:rsid w:val="009D49AB"/>
    <w:rsid w:val="009D79C4"/>
    <w:rsid w:val="009E0A6F"/>
    <w:rsid w:val="009E16DB"/>
    <w:rsid w:val="009E35E5"/>
    <w:rsid w:val="009E58C5"/>
    <w:rsid w:val="009E7CFE"/>
    <w:rsid w:val="009F1435"/>
    <w:rsid w:val="009F5645"/>
    <w:rsid w:val="009F61E9"/>
    <w:rsid w:val="009F6F16"/>
    <w:rsid w:val="009F709E"/>
    <w:rsid w:val="00A019F8"/>
    <w:rsid w:val="00A02452"/>
    <w:rsid w:val="00A0709F"/>
    <w:rsid w:val="00A1059F"/>
    <w:rsid w:val="00A10AE0"/>
    <w:rsid w:val="00A11336"/>
    <w:rsid w:val="00A14A29"/>
    <w:rsid w:val="00A14FFA"/>
    <w:rsid w:val="00A20043"/>
    <w:rsid w:val="00A242AC"/>
    <w:rsid w:val="00A246C6"/>
    <w:rsid w:val="00A24F9A"/>
    <w:rsid w:val="00A2524B"/>
    <w:rsid w:val="00A25B4A"/>
    <w:rsid w:val="00A27581"/>
    <w:rsid w:val="00A3083F"/>
    <w:rsid w:val="00A31850"/>
    <w:rsid w:val="00A3505C"/>
    <w:rsid w:val="00A3754D"/>
    <w:rsid w:val="00A42AF6"/>
    <w:rsid w:val="00A43201"/>
    <w:rsid w:val="00A47409"/>
    <w:rsid w:val="00A51AA7"/>
    <w:rsid w:val="00A52733"/>
    <w:rsid w:val="00A528EA"/>
    <w:rsid w:val="00A55602"/>
    <w:rsid w:val="00A56805"/>
    <w:rsid w:val="00A61D0D"/>
    <w:rsid w:val="00A62B40"/>
    <w:rsid w:val="00A62E1D"/>
    <w:rsid w:val="00A62F82"/>
    <w:rsid w:val="00A63236"/>
    <w:rsid w:val="00A66221"/>
    <w:rsid w:val="00A664BF"/>
    <w:rsid w:val="00A67026"/>
    <w:rsid w:val="00A702DA"/>
    <w:rsid w:val="00A721F6"/>
    <w:rsid w:val="00A74997"/>
    <w:rsid w:val="00A82C8B"/>
    <w:rsid w:val="00A84287"/>
    <w:rsid w:val="00A84AF8"/>
    <w:rsid w:val="00A91DA5"/>
    <w:rsid w:val="00A92C46"/>
    <w:rsid w:val="00A95AA4"/>
    <w:rsid w:val="00A97F40"/>
    <w:rsid w:val="00AA481D"/>
    <w:rsid w:val="00AA5080"/>
    <w:rsid w:val="00AB0991"/>
    <w:rsid w:val="00AB2111"/>
    <w:rsid w:val="00AB2D15"/>
    <w:rsid w:val="00AB36DE"/>
    <w:rsid w:val="00AB3F3B"/>
    <w:rsid w:val="00AB46DF"/>
    <w:rsid w:val="00AC0B45"/>
    <w:rsid w:val="00AC400F"/>
    <w:rsid w:val="00AD35F6"/>
    <w:rsid w:val="00AD37CB"/>
    <w:rsid w:val="00AD3A5E"/>
    <w:rsid w:val="00AD3D7C"/>
    <w:rsid w:val="00AD5B9E"/>
    <w:rsid w:val="00AD651A"/>
    <w:rsid w:val="00AD7F41"/>
    <w:rsid w:val="00AE78D1"/>
    <w:rsid w:val="00AF1C53"/>
    <w:rsid w:val="00AF26EE"/>
    <w:rsid w:val="00AF2DD8"/>
    <w:rsid w:val="00AF3025"/>
    <w:rsid w:val="00AF5026"/>
    <w:rsid w:val="00AF5E3B"/>
    <w:rsid w:val="00AF6EED"/>
    <w:rsid w:val="00B0046A"/>
    <w:rsid w:val="00B019E0"/>
    <w:rsid w:val="00B026D2"/>
    <w:rsid w:val="00B04C6D"/>
    <w:rsid w:val="00B0501E"/>
    <w:rsid w:val="00B116DE"/>
    <w:rsid w:val="00B151D4"/>
    <w:rsid w:val="00B1738F"/>
    <w:rsid w:val="00B22FB7"/>
    <w:rsid w:val="00B23DB5"/>
    <w:rsid w:val="00B30C2A"/>
    <w:rsid w:val="00B33692"/>
    <w:rsid w:val="00B35A92"/>
    <w:rsid w:val="00B3605B"/>
    <w:rsid w:val="00B36C81"/>
    <w:rsid w:val="00B4009D"/>
    <w:rsid w:val="00B4183D"/>
    <w:rsid w:val="00B41B9B"/>
    <w:rsid w:val="00B46BF8"/>
    <w:rsid w:val="00B47640"/>
    <w:rsid w:val="00B55560"/>
    <w:rsid w:val="00B56D06"/>
    <w:rsid w:val="00B6261F"/>
    <w:rsid w:val="00B6341F"/>
    <w:rsid w:val="00B634C0"/>
    <w:rsid w:val="00B6378D"/>
    <w:rsid w:val="00B63B2F"/>
    <w:rsid w:val="00B63ECC"/>
    <w:rsid w:val="00B64C20"/>
    <w:rsid w:val="00B67D3D"/>
    <w:rsid w:val="00B725B6"/>
    <w:rsid w:val="00B72C69"/>
    <w:rsid w:val="00B742E0"/>
    <w:rsid w:val="00B80D64"/>
    <w:rsid w:val="00B843CD"/>
    <w:rsid w:val="00B84AA9"/>
    <w:rsid w:val="00B854C1"/>
    <w:rsid w:val="00B859E5"/>
    <w:rsid w:val="00B86338"/>
    <w:rsid w:val="00B87126"/>
    <w:rsid w:val="00B913AB"/>
    <w:rsid w:val="00B91494"/>
    <w:rsid w:val="00B94191"/>
    <w:rsid w:val="00B9596C"/>
    <w:rsid w:val="00B96B3B"/>
    <w:rsid w:val="00B96E08"/>
    <w:rsid w:val="00BA38E5"/>
    <w:rsid w:val="00BA3CFB"/>
    <w:rsid w:val="00BA67D8"/>
    <w:rsid w:val="00BA7345"/>
    <w:rsid w:val="00BA78F0"/>
    <w:rsid w:val="00BB13ED"/>
    <w:rsid w:val="00BB382E"/>
    <w:rsid w:val="00BB61CE"/>
    <w:rsid w:val="00BB73C3"/>
    <w:rsid w:val="00BB7F33"/>
    <w:rsid w:val="00BC0608"/>
    <w:rsid w:val="00BC3CEE"/>
    <w:rsid w:val="00BD033A"/>
    <w:rsid w:val="00BD22B3"/>
    <w:rsid w:val="00BD3665"/>
    <w:rsid w:val="00BD5666"/>
    <w:rsid w:val="00BD709D"/>
    <w:rsid w:val="00BD7742"/>
    <w:rsid w:val="00BE123F"/>
    <w:rsid w:val="00BE40A4"/>
    <w:rsid w:val="00BE4923"/>
    <w:rsid w:val="00BE75CF"/>
    <w:rsid w:val="00BF11D6"/>
    <w:rsid w:val="00BF1CA6"/>
    <w:rsid w:val="00BF49E1"/>
    <w:rsid w:val="00BF79C8"/>
    <w:rsid w:val="00BF7B90"/>
    <w:rsid w:val="00C00359"/>
    <w:rsid w:val="00C0114D"/>
    <w:rsid w:val="00C018E4"/>
    <w:rsid w:val="00C01BDE"/>
    <w:rsid w:val="00C0211E"/>
    <w:rsid w:val="00C03D56"/>
    <w:rsid w:val="00C04614"/>
    <w:rsid w:val="00C05540"/>
    <w:rsid w:val="00C07566"/>
    <w:rsid w:val="00C079CF"/>
    <w:rsid w:val="00C10EEF"/>
    <w:rsid w:val="00C140F5"/>
    <w:rsid w:val="00C249E0"/>
    <w:rsid w:val="00C25CCF"/>
    <w:rsid w:val="00C2718C"/>
    <w:rsid w:val="00C30C28"/>
    <w:rsid w:val="00C31FF4"/>
    <w:rsid w:val="00C36BA9"/>
    <w:rsid w:val="00C37CD3"/>
    <w:rsid w:val="00C43D6F"/>
    <w:rsid w:val="00C44FDE"/>
    <w:rsid w:val="00C462CC"/>
    <w:rsid w:val="00C4758E"/>
    <w:rsid w:val="00C51182"/>
    <w:rsid w:val="00C52266"/>
    <w:rsid w:val="00C53C62"/>
    <w:rsid w:val="00C56A99"/>
    <w:rsid w:val="00C64777"/>
    <w:rsid w:val="00C64960"/>
    <w:rsid w:val="00C653AD"/>
    <w:rsid w:val="00C74566"/>
    <w:rsid w:val="00C760D9"/>
    <w:rsid w:val="00C776CB"/>
    <w:rsid w:val="00C805EB"/>
    <w:rsid w:val="00C80CF9"/>
    <w:rsid w:val="00C81165"/>
    <w:rsid w:val="00C81566"/>
    <w:rsid w:val="00C83EEC"/>
    <w:rsid w:val="00C85B3D"/>
    <w:rsid w:val="00C90611"/>
    <w:rsid w:val="00C90B5F"/>
    <w:rsid w:val="00C91BFF"/>
    <w:rsid w:val="00C935F2"/>
    <w:rsid w:val="00C9438D"/>
    <w:rsid w:val="00C96C66"/>
    <w:rsid w:val="00C97849"/>
    <w:rsid w:val="00CA2FA0"/>
    <w:rsid w:val="00CA4DA2"/>
    <w:rsid w:val="00CA4FB0"/>
    <w:rsid w:val="00CA5891"/>
    <w:rsid w:val="00CA7073"/>
    <w:rsid w:val="00CB04DE"/>
    <w:rsid w:val="00CB196E"/>
    <w:rsid w:val="00CB1FCB"/>
    <w:rsid w:val="00CB2940"/>
    <w:rsid w:val="00CB2C51"/>
    <w:rsid w:val="00CB39F1"/>
    <w:rsid w:val="00CB41E0"/>
    <w:rsid w:val="00CB5354"/>
    <w:rsid w:val="00CC45D7"/>
    <w:rsid w:val="00CC503E"/>
    <w:rsid w:val="00CC6EA4"/>
    <w:rsid w:val="00CD3903"/>
    <w:rsid w:val="00CD3DF8"/>
    <w:rsid w:val="00CD4F18"/>
    <w:rsid w:val="00CD7633"/>
    <w:rsid w:val="00CE0DB1"/>
    <w:rsid w:val="00CE3EB0"/>
    <w:rsid w:val="00CE747C"/>
    <w:rsid w:val="00CF1FDD"/>
    <w:rsid w:val="00CF37AD"/>
    <w:rsid w:val="00CF420C"/>
    <w:rsid w:val="00D00B22"/>
    <w:rsid w:val="00D033FA"/>
    <w:rsid w:val="00D0370D"/>
    <w:rsid w:val="00D03FF8"/>
    <w:rsid w:val="00D109CE"/>
    <w:rsid w:val="00D13D1C"/>
    <w:rsid w:val="00D15161"/>
    <w:rsid w:val="00D20E3B"/>
    <w:rsid w:val="00D21103"/>
    <w:rsid w:val="00D23DF5"/>
    <w:rsid w:val="00D240ED"/>
    <w:rsid w:val="00D27E89"/>
    <w:rsid w:val="00D318E2"/>
    <w:rsid w:val="00D349E3"/>
    <w:rsid w:val="00D36146"/>
    <w:rsid w:val="00D36749"/>
    <w:rsid w:val="00D36B52"/>
    <w:rsid w:val="00D41195"/>
    <w:rsid w:val="00D44F81"/>
    <w:rsid w:val="00D45800"/>
    <w:rsid w:val="00D46B73"/>
    <w:rsid w:val="00D5100F"/>
    <w:rsid w:val="00D540FF"/>
    <w:rsid w:val="00D55A9D"/>
    <w:rsid w:val="00D55BCA"/>
    <w:rsid w:val="00D56B6F"/>
    <w:rsid w:val="00D57BA7"/>
    <w:rsid w:val="00D615D0"/>
    <w:rsid w:val="00D72C51"/>
    <w:rsid w:val="00D759F5"/>
    <w:rsid w:val="00D776E1"/>
    <w:rsid w:val="00D82BCE"/>
    <w:rsid w:val="00D9046D"/>
    <w:rsid w:val="00D913C8"/>
    <w:rsid w:val="00D91CE8"/>
    <w:rsid w:val="00D93BD7"/>
    <w:rsid w:val="00D956AF"/>
    <w:rsid w:val="00DA3110"/>
    <w:rsid w:val="00DA503A"/>
    <w:rsid w:val="00DA6A09"/>
    <w:rsid w:val="00DB110F"/>
    <w:rsid w:val="00DB21B6"/>
    <w:rsid w:val="00DB3927"/>
    <w:rsid w:val="00DB3DC6"/>
    <w:rsid w:val="00DB52DE"/>
    <w:rsid w:val="00DB6949"/>
    <w:rsid w:val="00DC0DDB"/>
    <w:rsid w:val="00DC79DC"/>
    <w:rsid w:val="00DD14D5"/>
    <w:rsid w:val="00DD35C2"/>
    <w:rsid w:val="00DD7F9D"/>
    <w:rsid w:val="00DE2BFE"/>
    <w:rsid w:val="00DE5B53"/>
    <w:rsid w:val="00DE643E"/>
    <w:rsid w:val="00DF0726"/>
    <w:rsid w:val="00DF2754"/>
    <w:rsid w:val="00DF4065"/>
    <w:rsid w:val="00DF413B"/>
    <w:rsid w:val="00DF66A7"/>
    <w:rsid w:val="00DF6C33"/>
    <w:rsid w:val="00E021E6"/>
    <w:rsid w:val="00E033FA"/>
    <w:rsid w:val="00E04740"/>
    <w:rsid w:val="00E05FBE"/>
    <w:rsid w:val="00E069A9"/>
    <w:rsid w:val="00E07BB3"/>
    <w:rsid w:val="00E12887"/>
    <w:rsid w:val="00E1589E"/>
    <w:rsid w:val="00E16377"/>
    <w:rsid w:val="00E175F1"/>
    <w:rsid w:val="00E2296A"/>
    <w:rsid w:val="00E25A6F"/>
    <w:rsid w:val="00E267C3"/>
    <w:rsid w:val="00E27D68"/>
    <w:rsid w:val="00E32DD0"/>
    <w:rsid w:val="00E331AF"/>
    <w:rsid w:val="00E336D4"/>
    <w:rsid w:val="00E33863"/>
    <w:rsid w:val="00E3495E"/>
    <w:rsid w:val="00E3579F"/>
    <w:rsid w:val="00E35994"/>
    <w:rsid w:val="00E35D37"/>
    <w:rsid w:val="00E36FEF"/>
    <w:rsid w:val="00E4004F"/>
    <w:rsid w:val="00E40C52"/>
    <w:rsid w:val="00E435C2"/>
    <w:rsid w:val="00E46549"/>
    <w:rsid w:val="00E47270"/>
    <w:rsid w:val="00E5082E"/>
    <w:rsid w:val="00E528CE"/>
    <w:rsid w:val="00E547B0"/>
    <w:rsid w:val="00E54960"/>
    <w:rsid w:val="00E575A1"/>
    <w:rsid w:val="00E5772A"/>
    <w:rsid w:val="00E6164B"/>
    <w:rsid w:val="00E61854"/>
    <w:rsid w:val="00E62201"/>
    <w:rsid w:val="00E65C68"/>
    <w:rsid w:val="00E672AC"/>
    <w:rsid w:val="00E67ABC"/>
    <w:rsid w:val="00E742D4"/>
    <w:rsid w:val="00E74398"/>
    <w:rsid w:val="00E74CB5"/>
    <w:rsid w:val="00E7711F"/>
    <w:rsid w:val="00E77B48"/>
    <w:rsid w:val="00E80CEC"/>
    <w:rsid w:val="00E820EA"/>
    <w:rsid w:val="00E8590C"/>
    <w:rsid w:val="00E879DA"/>
    <w:rsid w:val="00E95197"/>
    <w:rsid w:val="00EA068B"/>
    <w:rsid w:val="00EA1D94"/>
    <w:rsid w:val="00EA2580"/>
    <w:rsid w:val="00EA295C"/>
    <w:rsid w:val="00EA3EA0"/>
    <w:rsid w:val="00EA42C6"/>
    <w:rsid w:val="00EA5B45"/>
    <w:rsid w:val="00EB0069"/>
    <w:rsid w:val="00EB2D19"/>
    <w:rsid w:val="00EB6189"/>
    <w:rsid w:val="00EB6974"/>
    <w:rsid w:val="00EC01E6"/>
    <w:rsid w:val="00EC2AE5"/>
    <w:rsid w:val="00EC2D55"/>
    <w:rsid w:val="00EC394D"/>
    <w:rsid w:val="00EC4894"/>
    <w:rsid w:val="00EC5C44"/>
    <w:rsid w:val="00EC6A5E"/>
    <w:rsid w:val="00ED7C30"/>
    <w:rsid w:val="00EE19B3"/>
    <w:rsid w:val="00EE1E9F"/>
    <w:rsid w:val="00EE283E"/>
    <w:rsid w:val="00EE3F25"/>
    <w:rsid w:val="00EE47BB"/>
    <w:rsid w:val="00EE56B9"/>
    <w:rsid w:val="00EE7C64"/>
    <w:rsid w:val="00EF3111"/>
    <w:rsid w:val="00EF47D2"/>
    <w:rsid w:val="00EF5E89"/>
    <w:rsid w:val="00EF7573"/>
    <w:rsid w:val="00F00E27"/>
    <w:rsid w:val="00F0257B"/>
    <w:rsid w:val="00F025F9"/>
    <w:rsid w:val="00F03D87"/>
    <w:rsid w:val="00F04555"/>
    <w:rsid w:val="00F0496F"/>
    <w:rsid w:val="00F0623F"/>
    <w:rsid w:val="00F1459F"/>
    <w:rsid w:val="00F23DF1"/>
    <w:rsid w:val="00F259B6"/>
    <w:rsid w:val="00F30158"/>
    <w:rsid w:val="00F30F00"/>
    <w:rsid w:val="00F3672C"/>
    <w:rsid w:val="00F4004C"/>
    <w:rsid w:val="00F42BBB"/>
    <w:rsid w:val="00F45922"/>
    <w:rsid w:val="00F465CC"/>
    <w:rsid w:val="00F47E72"/>
    <w:rsid w:val="00F52A4A"/>
    <w:rsid w:val="00F535F7"/>
    <w:rsid w:val="00F57B2D"/>
    <w:rsid w:val="00F62C24"/>
    <w:rsid w:val="00F638BA"/>
    <w:rsid w:val="00F63AE7"/>
    <w:rsid w:val="00F64EFB"/>
    <w:rsid w:val="00F670BA"/>
    <w:rsid w:val="00F75608"/>
    <w:rsid w:val="00F75A56"/>
    <w:rsid w:val="00F76CB4"/>
    <w:rsid w:val="00F77C6D"/>
    <w:rsid w:val="00F8226A"/>
    <w:rsid w:val="00F83252"/>
    <w:rsid w:val="00F8525A"/>
    <w:rsid w:val="00F87371"/>
    <w:rsid w:val="00F93BEC"/>
    <w:rsid w:val="00FA36E3"/>
    <w:rsid w:val="00FA5407"/>
    <w:rsid w:val="00FA57E2"/>
    <w:rsid w:val="00FB1F4D"/>
    <w:rsid w:val="00FB53D1"/>
    <w:rsid w:val="00FB7B64"/>
    <w:rsid w:val="00FB7D99"/>
    <w:rsid w:val="00FC1250"/>
    <w:rsid w:val="00FC34B6"/>
    <w:rsid w:val="00FC5091"/>
    <w:rsid w:val="00FC5C76"/>
    <w:rsid w:val="00FC6C99"/>
    <w:rsid w:val="00FD255C"/>
    <w:rsid w:val="00FD3F3A"/>
    <w:rsid w:val="00FD635B"/>
    <w:rsid w:val="00FE1174"/>
    <w:rsid w:val="00FE28BF"/>
    <w:rsid w:val="00FE515E"/>
    <w:rsid w:val="00FE6A87"/>
    <w:rsid w:val="00FF2D2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colormru v:ext="edit" colors="#7b6c58,#887e6e,#b0a696,#828282"/>
    </o:shapedefaults>
    <o:shapelayout v:ext="edit">
      <o:idmap v:ext="edit" data="1"/>
    </o:shapelayout>
  </w:shapeDefaults>
  <w:decimalSymbol w:val=","/>
  <w:listSeparator w:val=";"/>
  <w14:docId w14:val="67EB4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1"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381B4F"/>
    <w:pPr>
      <w:keepNext/>
      <w:pageBreakBefore/>
      <w:numPr>
        <w:numId w:val="1"/>
      </w:numPr>
      <w:tabs>
        <w:tab w:val="clear" w:pos="432"/>
      </w:tabs>
      <w:spacing w:before="600" w:after="240"/>
      <w:ind w:left="357" w:hanging="357"/>
      <w:jc w:val="both"/>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BF1CA6"/>
    <w:pPr>
      <w:keepNext/>
      <w:numPr>
        <w:ilvl w:val="1"/>
        <w:numId w:val="1"/>
      </w:numPr>
      <w:spacing w:before="480" w:after="240"/>
      <w:jc w:val="both"/>
      <w:outlineLvl w:val="1"/>
    </w:pPr>
    <w:rPr>
      <w:rFonts w:cs="Arial"/>
      <w:b/>
      <w:bCs/>
      <w:iCs/>
      <w:caps/>
      <w:szCs w:val="28"/>
      <w:lang w:val="en-GB"/>
    </w:rPr>
  </w:style>
  <w:style w:type="paragraph" w:styleId="Heading3">
    <w:name w:val="heading 3"/>
    <w:aliases w:val="ECC Heading 3"/>
    <w:basedOn w:val="Normal"/>
    <w:next w:val="ECCParagraph"/>
    <w:autoRedefine/>
    <w:qFormat/>
    <w:rsid w:val="00C2718C"/>
    <w:pPr>
      <w:keepNext/>
      <w:numPr>
        <w:ilvl w:val="2"/>
        <w:numId w:val="1"/>
      </w:numPr>
      <w:spacing w:before="360" w:after="120"/>
      <w:jc w:val="both"/>
      <w:outlineLvl w:val="2"/>
    </w:pPr>
    <w:rPr>
      <w:rFonts w:cs="Arial"/>
      <w:b/>
      <w:bCs/>
      <w:szCs w:val="26"/>
    </w:rPr>
  </w:style>
  <w:style w:type="paragraph" w:styleId="Heading4">
    <w:name w:val="heading 4"/>
    <w:aliases w:val="ECC Heading 4"/>
    <w:basedOn w:val="Normal"/>
    <w:next w:val="ECCParagraph"/>
    <w:autoRedefine/>
    <w:qFormat/>
    <w:rsid w:val="00AD7F41"/>
    <w:pPr>
      <w:keepNext/>
      <w:numPr>
        <w:ilvl w:val="3"/>
        <w:numId w:val="1"/>
      </w:numPr>
      <w:spacing w:before="360" w:after="120"/>
      <w:ind w:left="862" w:hanging="862"/>
      <w:jc w:val="both"/>
      <w:outlineLvl w:val="3"/>
    </w:pPr>
    <w:rPr>
      <w:rFonts w:cs="Arial"/>
      <w:bCs/>
      <w:i/>
      <w:color w:val="D2232A"/>
      <w:szCs w:val="26"/>
      <w:lang w:val="it-IT"/>
    </w:rPr>
  </w:style>
  <w:style w:type="paragraph" w:styleId="Heading5">
    <w:name w:val="heading 5"/>
    <w:basedOn w:val="Normal"/>
    <w:next w:val="Normal"/>
    <w:qFormat/>
    <w:rsid w:val="00D20E3B"/>
    <w:pPr>
      <w:numPr>
        <w:ilvl w:val="4"/>
        <w:numId w:val="1"/>
      </w:numPr>
      <w:spacing w:before="240" w:after="60"/>
      <w:outlineLvl w:val="4"/>
    </w:pPr>
    <w:rPr>
      <w:b/>
      <w:bCs/>
      <w:i/>
      <w:iCs/>
      <w:sz w:val="26"/>
      <w:szCs w:val="26"/>
    </w:rPr>
  </w:style>
  <w:style w:type="paragraph" w:styleId="Heading6">
    <w:name w:val="heading 6"/>
    <w:basedOn w:val="Normal"/>
    <w:next w:val="Normal"/>
    <w:qFormat/>
    <w:rsid w:val="00D20E3B"/>
    <w:pPr>
      <w:numPr>
        <w:ilvl w:val="5"/>
        <w:numId w:val="1"/>
      </w:numPr>
      <w:spacing w:before="240" w:after="60"/>
      <w:outlineLvl w:val="5"/>
    </w:pPr>
    <w:rPr>
      <w:b/>
      <w:bCs/>
      <w:sz w:val="22"/>
      <w:szCs w:val="22"/>
    </w:rPr>
  </w:style>
  <w:style w:type="paragraph" w:styleId="Heading7">
    <w:name w:val="heading 7"/>
    <w:basedOn w:val="Normal"/>
    <w:next w:val="Normal"/>
    <w:qFormat/>
    <w:rsid w:val="00D20E3B"/>
    <w:pPr>
      <w:numPr>
        <w:ilvl w:val="6"/>
        <w:numId w:val="1"/>
      </w:numPr>
      <w:spacing w:before="240" w:after="60"/>
      <w:outlineLvl w:val="6"/>
    </w:pPr>
    <w:rPr>
      <w:sz w:val="24"/>
    </w:rPr>
  </w:style>
  <w:style w:type="paragraph" w:styleId="Heading8">
    <w:name w:val="heading 8"/>
    <w:basedOn w:val="Normal"/>
    <w:next w:val="Normal"/>
    <w:qFormat/>
    <w:rsid w:val="00D20E3B"/>
    <w:pPr>
      <w:numPr>
        <w:ilvl w:val="7"/>
        <w:numId w:val="1"/>
      </w:numPr>
      <w:spacing w:before="240" w:after="60"/>
      <w:outlineLvl w:val="7"/>
    </w:pPr>
    <w:rPr>
      <w:i/>
      <w:iCs/>
      <w:sz w:val="24"/>
    </w:rPr>
  </w:style>
  <w:style w:type="paragraph" w:styleId="Heading9">
    <w:name w:val="heading 9"/>
    <w:basedOn w:val="Normal"/>
    <w:next w:val="Normal"/>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qFormat/>
    <w:rsid w:val="002209A7"/>
    <w:pPr>
      <w:numPr>
        <w:numId w:val="5"/>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895455"/>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BF1CA6"/>
    <w:rPr>
      <w:sz w:val="16"/>
    </w:rPr>
  </w:style>
  <w:style w:type="paragraph" w:styleId="FootnoteText">
    <w:name w:val="footnote text"/>
    <w:aliases w:val="footnote text,ALTS FOOTNOTE"/>
    <w:basedOn w:val="Normal"/>
    <w:link w:val="FootnoteTextChar"/>
    <w:uiPriority w:val="99"/>
    <w:qFormat/>
    <w:rsid w:val="008935B9"/>
    <w:rPr>
      <w:szCs w:val="20"/>
    </w:rPr>
  </w:style>
  <w:style w:type="character" w:styleId="FootnoteReference">
    <w:name w:val="footnote reference"/>
    <w:aliases w:val="Appel note de bas de p,Nota,Footnote symbol,Footnote,ECC Footnote number,Fussnotenzeichen,Footnote Reference/,Appel note de bas de p + (Asian) Batang,Black,(NECG) Footnote Reference"/>
    <w:basedOn w:val="DefaultParagraphFont"/>
    <w:uiPriority w:val="99"/>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6E035C"/>
    <w:pPr>
      <w:keepNext/>
      <w:keepLines/>
      <w:spacing w:before="60" w:after="60"/>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653AD"/>
    <w:pPr>
      <w:numPr>
        <w:ilvl w:val="1"/>
        <w:numId w:val="5"/>
      </w:numPr>
      <w:overflowPunct w:val="0"/>
      <w:autoSpaceDE w:val="0"/>
      <w:autoSpaceDN w:val="0"/>
      <w:adjustRightInd w:val="0"/>
      <w:spacing w:before="480" w:after="240"/>
      <w:jc w:val="both"/>
      <w:textAlignment w:val="baseline"/>
    </w:pPr>
    <w:rPr>
      <w:b/>
      <w:caps/>
    </w:rPr>
  </w:style>
  <w:style w:type="paragraph" w:customStyle="1" w:styleId="ECCAnnexheading3">
    <w:name w:val="ECC Annex heading3"/>
    <w:basedOn w:val="Normal"/>
    <w:next w:val="ECCParagraph"/>
    <w:rsid w:val="00BF1CA6"/>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NoList"/>
    <w:rsid w:val="003C3EE4"/>
    <w:pPr>
      <w:numPr>
        <w:numId w:val="7"/>
      </w:numPr>
    </w:pPr>
  </w:style>
  <w:style w:type="paragraph" w:customStyle="1" w:styleId="ECCNumbered-LetteredList">
    <w:name w:val="ECC Numbered-Lettered List"/>
    <w:basedOn w:val="Normal"/>
    <w:qFormat/>
    <w:rsid w:val="00D20E3B"/>
    <w:pPr>
      <w:numPr>
        <w:numId w:val="9"/>
      </w:numPr>
    </w:pPr>
  </w:style>
  <w:style w:type="paragraph" w:customStyle="1" w:styleId="ECCNumberedBullets">
    <w:name w:val="ECC Numbered Bullets"/>
    <w:basedOn w:val="Normal"/>
    <w:rsid w:val="00D20E3B"/>
    <w:pPr>
      <w:numPr>
        <w:numId w:val="8"/>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8"/>
      </w:numPr>
    </w:pPr>
  </w:style>
  <w:style w:type="numbering" w:customStyle="1" w:styleId="ECCNumbers-Letters">
    <w:name w:val="ECC Numbers-Letters"/>
    <w:uiPriority w:val="99"/>
    <w:rsid w:val="00D20E3B"/>
    <w:pPr>
      <w:numPr>
        <w:numId w:val="9"/>
      </w:numPr>
    </w:pPr>
  </w:style>
  <w:style w:type="paragraph" w:customStyle="1" w:styleId="ECCBulletsLv1">
    <w:name w:val="ECC Bullets Lv1"/>
    <w:basedOn w:val="Normal"/>
    <w:qFormat/>
    <w:rsid w:val="00B46BF8"/>
    <w:pPr>
      <w:numPr>
        <w:numId w:val="11"/>
      </w:numPr>
      <w:tabs>
        <w:tab w:val="left" w:pos="340"/>
      </w:tabs>
      <w:spacing w:before="60" w:after="240"/>
      <w:jc w:val="both"/>
    </w:pPr>
    <w:rPr>
      <w:rFonts w:eastAsia="Calibri"/>
      <w:szCs w:val="22"/>
      <w:lang w:val="en-GB"/>
    </w:rPr>
  </w:style>
  <w:style w:type="character" w:styleId="Emphasis">
    <w:name w:val="Emphasis"/>
    <w:aliases w:val="ECC HL italics"/>
    <w:uiPriority w:val="1"/>
    <w:qFormat/>
    <w:rsid w:val="00B46BF8"/>
    <w:rPr>
      <w:i/>
    </w:rPr>
  </w:style>
  <w:style w:type="character" w:customStyle="1" w:styleId="ECCHLcyan">
    <w:name w:val="ECC HL cyan"/>
    <w:basedOn w:val="DefaultParagraphFont"/>
    <w:uiPriority w:val="1"/>
    <w:qFormat/>
    <w:rsid w:val="00B46BF8"/>
    <w:rPr>
      <w:iCs w:val="0"/>
      <w:bdr w:val="none" w:sz="0" w:space="0" w:color="auto"/>
      <w:shd w:val="solid" w:color="00FFFF" w:fill="auto"/>
      <w:lang w:val="en-GB"/>
    </w:rPr>
  </w:style>
  <w:style w:type="character" w:customStyle="1" w:styleId="ECCHLorange">
    <w:name w:val="ECC HL orange"/>
    <w:basedOn w:val="DefaultParagraphFont"/>
    <w:uiPriority w:val="1"/>
    <w:qFormat/>
    <w:rsid w:val="00B46BF8"/>
    <w:rPr>
      <w:bdr w:val="none" w:sz="0" w:space="0" w:color="auto"/>
      <w:shd w:val="solid" w:color="FFC000" w:fill="auto"/>
    </w:rPr>
  </w:style>
  <w:style w:type="paragraph" w:customStyle="1" w:styleId="ECCTabletext">
    <w:name w:val="ECC Table text"/>
    <w:basedOn w:val="Normal"/>
    <w:qFormat/>
    <w:rsid w:val="00B46BF8"/>
    <w:pPr>
      <w:spacing w:after="60"/>
      <w:jc w:val="both"/>
    </w:pPr>
    <w:rPr>
      <w:rFonts w:eastAsia="Calibri"/>
      <w:szCs w:val="22"/>
      <w:lang w:val="en-GB"/>
    </w:rPr>
  </w:style>
  <w:style w:type="character" w:customStyle="1" w:styleId="ECCHLbold">
    <w:name w:val="ECC HL bold"/>
    <w:uiPriority w:val="1"/>
    <w:qFormat/>
    <w:rsid w:val="00B46BF8"/>
    <w:rPr>
      <w:b/>
      <w:bCs w:val="0"/>
    </w:rPr>
  </w:style>
  <w:style w:type="character" w:customStyle="1" w:styleId="ECCHLmagenta">
    <w:name w:val="ECC HL magenta"/>
    <w:basedOn w:val="DefaultParagraphFont"/>
    <w:uiPriority w:val="1"/>
    <w:qFormat/>
    <w:rsid w:val="00B46BF8"/>
    <w:rPr>
      <w:color w:val="auto"/>
      <w:bdr w:val="none" w:sz="0" w:space="0" w:color="auto"/>
      <w:shd w:val="solid" w:color="FF3399" w:fill="auto"/>
      <w:lang w:val="en-GB"/>
    </w:rPr>
  </w:style>
  <w:style w:type="paragraph" w:styleId="Caption">
    <w:name w:val="caption"/>
    <w:aliases w:val="ECC Caption,cap,cap Char,Caption Char,Caption Char1 Char,cap Char Char1,Caption Char Char1 Char,cap Char2 Char,Ca,RptCaption"/>
    <w:next w:val="Normal"/>
    <w:qFormat/>
    <w:rsid w:val="00B46BF8"/>
    <w:pPr>
      <w:keepLines/>
      <w:tabs>
        <w:tab w:val="left" w:pos="0"/>
        <w:tab w:val="center" w:pos="4820"/>
        <w:tab w:val="right" w:pos="9639"/>
      </w:tabs>
      <w:spacing w:before="240" w:after="240"/>
      <w:contextualSpacing/>
      <w:jc w:val="center"/>
    </w:pPr>
    <w:rPr>
      <w:rFonts w:ascii="Arial" w:hAnsi="Arial"/>
      <w:b/>
      <w:bCs/>
      <w:color w:val="D2232A"/>
      <w:lang w:val="da-DK"/>
    </w:rPr>
  </w:style>
  <w:style w:type="paragraph" w:customStyle="1" w:styleId="ECCTableHeaderwhitefont">
    <w:name w:val="ECC Table Header white font"/>
    <w:qFormat/>
    <w:rsid w:val="00B46BF8"/>
    <w:pPr>
      <w:spacing w:before="240" w:after="60"/>
      <w:jc w:val="center"/>
    </w:pPr>
    <w:rPr>
      <w:rFonts w:ascii="Arial" w:eastAsia="Calibri" w:hAnsi="Arial"/>
      <w:bCs/>
      <w:color w:val="FFFFFF" w:themeColor="background1"/>
      <w:lang w:eastAsia="de-DE"/>
    </w:rPr>
  </w:style>
  <w:style w:type="table" w:customStyle="1" w:styleId="ECCTable-redheader">
    <w:name w:val="ECC Table - red header"/>
    <w:basedOn w:val="TableNormal"/>
    <w:uiPriority w:val="99"/>
    <w:rsid w:val="00B46BF8"/>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Autospacing="0" w:afterLines="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EditorsNote">
    <w:name w:val="ECC Editor's Note"/>
    <w:next w:val="Normal"/>
    <w:qFormat/>
    <w:rsid w:val="00B46BF8"/>
    <w:pPr>
      <w:numPr>
        <w:numId w:val="12"/>
      </w:numPr>
      <w:shd w:val="solid" w:color="FFFF00" w:fill="auto"/>
      <w:spacing w:before="120" w:after="60"/>
      <w:jc w:val="both"/>
    </w:pPr>
    <w:rPr>
      <w:rFonts w:ascii="Arial" w:eastAsia="Calibri" w:hAnsi="Arial"/>
      <w:szCs w:val="22"/>
      <w:lang w:val="da-DK" w:eastAsia="de-DE"/>
    </w:rPr>
  </w:style>
  <w:style w:type="character" w:customStyle="1" w:styleId="FootnoteTextChar">
    <w:name w:val="Footnote Text Char"/>
    <w:aliases w:val="footnote text Char,ALTS FOOTNOTE Char"/>
    <w:basedOn w:val="DefaultParagraphFont"/>
    <w:link w:val="FootnoteText"/>
    <w:uiPriority w:val="99"/>
    <w:rsid w:val="00B46BF8"/>
    <w:rPr>
      <w:rFonts w:ascii="Arial" w:hAnsi="Arial"/>
      <w:lang w:val="en-US"/>
    </w:rPr>
  </w:style>
  <w:style w:type="paragraph" w:customStyle="1" w:styleId="ECCLetteredList">
    <w:name w:val="ECC Lettered List"/>
    <w:qFormat/>
    <w:rsid w:val="00B46BF8"/>
    <w:pPr>
      <w:numPr>
        <w:ilvl w:val="1"/>
        <w:numId w:val="13"/>
      </w:numPr>
      <w:spacing w:before="240"/>
      <w:jc w:val="both"/>
    </w:pPr>
    <w:rPr>
      <w:rFonts w:ascii="Arial" w:hAnsi="Arial"/>
      <w:lang w:val="da-DK"/>
    </w:rPr>
  </w:style>
  <w:style w:type="character" w:customStyle="1" w:styleId="ECCHLpetrol">
    <w:name w:val="ECC HL petrol"/>
    <w:basedOn w:val="DefaultParagraphFont"/>
    <w:uiPriority w:val="1"/>
    <w:qFormat/>
    <w:rsid w:val="00B46BF8"/>
    <w:rPr>
      <w:iCs w:val="0"/>
      <w:color w:val="FFFFFF" w:themeColor="background1"/>
      <w:bdr w:val="none" w:sz="0" w:space="0" w:color="auto"/>
      <w:shd w:val="solid" w:color="008080" w:fill="auto"/>
    </w:rPr>
  </w:style>
  <w:style w:type="character" w:customStyle="1" w:styleId="ECCHLunderlined">
    <w:name w:val="ECC HL underlined"/>
    <w:uiPriority w:val="1"/>
    <w:qFormat/>
    <w:rsid w:val="00B46BF8"/>
    <w:rPr>
      <w:u w:val="single"/>
    </w:rPr>
  </w:style>
  <w:style w:type="character" w:customStyle="1" w:styleId="italic">
    <w:name w:val="italic"/>
    <w:basedOn w:val="DefaultParagraphFont"/>
    <w:rsid w:val="00B46BF8"/>
  </w:style>
  <w:style w:type="table" w:customStyle="1" w:styleId="ECCTable-redheader4">
    <w:name w:val="ECC Table - red header4"/>
    <w:basedOn w:val="TableNormal"/>
    <w:uiPriority w:val="99"/>
    <w:rsid w:val="00AD7F41"/>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Autospacing="0" w:afterLines="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styleId="ListParagraph">
    <w:name w:val="List Paragraph"/>
    <w:basedOn w:val="Normal"/>
    <w:uiPriority w:val="34"/>
    <w:qFormat/>
    <w:rsid w:val="00C653AD"/>
    <w:pPr>
      <w:ind w:left="720"/>
    </w:pPr>
    <w:rPr>
      <w:rFonts w:ascii="Calibri" w:eastAsia="SimSun" w:hAnsi="Calibri"/>
      <w:sz w:val="22"/>
      <w:szCs w:val="22"/>
      <w:lang w:val="it-IT"/>
    </w:rPr>
  </w:style>
  <w:style w:type="character" w:styleId="PageNumber">
    <w:name w:val="page number"/>
    <w:basedOn w:val="DefaultParagraphFont"/>
    <w:rsid w:val="00C653AD"/>
  </w:style>
  <w:style w:type="paragraph" w:customStyle="1" w:styleId="ZCom">
    <w:name w:val="Z_Com"/>
    <w:basedOn w:val="Normal"/>
    <w:next w:val="ZDGName"/>
    <w:rsid w:val="00C653AD"/>
    <w:pPr>
      <w:widowControl w:val="0"/>
      <w:ind w:right="85"/>
      <w:jc w:val="both"/>
    </w:pPr>
    <w:rPr>
      <w:snapToGrid w:val="0"/>
      <w:sz w:val="24"/>
      <w:szCs w:val="20"/>
      <w:lang w:val="en-GB"/>
    </w:rPr>
  </w:style>
  <w:style w:type="paragraph" w:customStyle="1" w:styleId="ZDGName">
    <w:name w:val="Z_DGName"/>
    <w:basedOn w:val="Normal"/>
    <w:rsid w:val="00C653AD"/>
    <w:pPr>
      <w:widowControl w:val="0"/>
      <w:ind w:right="85"/>
    </w:pPr>
    <w:rPr>
      <w:snapToGrid w:val="0"/>
      <w:sz w:val="16"/>
      <w:szCs w:val="20"/>
      <w:lang w:val="en-GB"/>
    </w:rPr>
  </w:style>
  <w:style w:type="paragraph" w:customStyle="1" w:styleId="AddressTR">
    <w:name w:val="AddressTR"/>
    <w:basedOn w:val="Normal"/>
    <w:next w:val="Normal"/>
    <w:rsid w:val="00C653AD"/>
    <w:pPr>
      <w:spacing w:after="720"/>
      <w:ind w:left="5103"/>
    </w:pPr>
    <w:rPr>
      <w:rFonts w:ascii="Times New Roman" w:hAnsi="Times New Roman"/>
      <w:sz w:val="24"/>
      <w:szCs w:val="20"/>
      <w:lang w:val="en-GB" w:eastAsia="fr-BE"/>
    </w:rPr>
  </w:style>
  <w:style w:type="character" w:styleId="CommentReference">
    <w:name w:val="annotation reference"/>
    <w:basedOn w:val="DefaultParagraphFont"/>
    <w:uiPriority w:val="99"/>
    <w:semiHidden/>
    <w:unhideWhenUsed/>
    <w:rsid w:val="00C653AD"/>
    <w:rPr>
      <w:sz w:val="16"/>
      <w:szCs w:val="16"/>
    </w:rPr>
  </w:style>
  <w:style w:type="paragraph" w:styleId="CommentText">
    <w:name w:val="annotation text"/>
    <w:basedOn w:val="Normal"/>
    <w:link w:val="CommentTextChar"/>
    <w:uiPriority w:val="99"/>
    <w:unhideWhenUsed/>
    <w:rsid w:val="00C653AD"/>
    <w:pPr>
      <w:spacing w:before="240" w:after="60"/>
      <w:jc w:val="both"/>
    </w:pPr>
    <w:rPr>
      <w:rFonts w:eastAsia="Calibri"/>
      <w:szCs w:val="20"/>
      <w:lang w:val="en-GB"/>
    </w:rPr>
  </w:style>
  <w:style w:type="character" w:customStyle="1" w:styleId="CommentTextChar">
    <w:name w:val="Comment Text Char"/>
    <w:basedOn w:val="DefaultParagraphFont"/>
    <w:link w:val="CommentText"/>
    <w:uiPriority w:val="99"/>
    <w:rsid w:val="00C653AD"/>
    <w:rPr>
      <w:rFonts w:ascii="Arial" w:eastAsia="Calibri" w:hAnsi="Arial"/>
    </w:rPr>
  </w:style>
  <w:style w:type="character" w:customStyle="1" w:styleId="ECCHLgreen">
    <w:name w:val="ECC HL green"/>
    <w:basedOn w:val="DefaultParagraphFont"/>
    <w:uiPriority w:val="1"/>
    <w:qFormat/>
    <w:rsid w:val="00C653AD"/>
    <w:rPr>
      <w:bdr w:val="none" w:sz="0" w:space="0" w:color="auto"/>
      <w:shd w:val="solid" w:color="92D050" w:fill="auto"/>
      <w:lang w:val="en-GB"/>
    </w:rPr>
  </w:style>
  <w:style w:type="character" w:styleId="PlaceholderText">
    <w:name w:val="Placeholder Text"/>
    <w:basedOn w:val="DefaultParagraphFont"/>
    <w:uiPriority w:val="99"/>
    <w:semiHidden/>
    <w:rsid w:val="005B451A"/>
    <w:rPr>
      <w:color w:val="808080"/>
    </w:rPr>
  </w:style>
  <w:style w:type="paragraph" w:customStyle="1" w:styleId="ECCReference">
    <w:name w:val="ECC Reference"/>
    <w:basedOn w:val="Normal"/>
    <w:rsid w:val="0094535F"/>
    <w:pPr>
      <w:tabs>
        <w:tab w:val="num" w:pos="397"/>
      </w:tabs>
      <w:ind w:left="397" w:hanging="397"/>
      <w:jc w:val="both"/>
    </w:pPr>
    <w:rPr>
      <w:rFonts w:eastAsia="Calibri"/>
      <w:szCs w:val="22"/>
      <w:lang w:val="en-GB" w:eastAsia="ja-JP"/>
    </w:rPr>
  </w:style>
  <w:style w:type="paragraph" w:styleId="CommentSubject">
    <w:name w:val="annotation subject"/>
    <w:basedOn w:val="CommentText"/>
    <w:next w:val="CommentText"/>
    <w:link w:val="CommentSubjectChar"/>
    <w:uiPriority w:val="99"/>
    <w:semiHidden/>
    <w:unhideWhenUsed/>
    <w:rsid w:val="00EA5B45"/>
    <w:pPr>
      <w:spacing w:before="0" w:after="0"/>
      <w:jc w:val="left"/>
    </w:pPr>
    <w:rPr>
      <w:rFonts w:eastAsia="Times New Roman"/>
      <w:b/>
      <w:bCs/>
      <w:lang w:val="en-US"/>
    </w:rPr>
  </w:style>
  <w:style w:type="character" w:customStyle="1" w:styleId="CommentSubjectChar">
    <w:name w:val="Comment Subject Char"/>
    <w:basedOn w:val="CommentTextChar"/>
    <w:link w:val="CommentSubject"/>
    <w:uiPriority w:val="99"/>
    <w:semiHidden/>
    <w:rsid w:val="00EA5B45"/>
    <w:rPr>
      <w:rFonts w:ascii="Arial" w:eastAsia="Calibri" w:hAnsi="Arial"/>
      <w:b/>
      <w:bCs/>
      <w:lang w:val="en-US"/>
    </w:rPr>
  </w:style>
  <w:style w:type="paragraph" w:styleId="PlainText">
    <w:name w:val="Plain Text"/>
    <w:basedOn w:val="Normal"/>
    <w:link w:val="PlainTextChar"/>
    <w:uiPriority w:val="99"/>
    <w:unhideWhenUsed/>
    <w:rsid w:val="0048722F"/>
    <w:rPr>
      <w:rFonts w:ascii="Calibri" w:eastAsiaTheme="minorHAnsi" w:hAnsi="Calibri" w:cstheme="minorBidi"/>
      <w:sz w:val="22"/>
      <w:szCs w:val="21"/>
      <w:lang w:val="fr-FR"/>
    </w:rPr>
  </w:style>
  <w:style w:type="character" w:customStyle="1" w:styleId="PlainTextChar">
    <w:name w:val="Plain Text Char"/>
    <w:basedOn w:val="DefaultParagraphFont"/>
    <w:link w:val="PlainText"/>
    <w:uiPriority w:val="99"/>
    <w:rsid w:val="0048722F"/>
    <w:rPr>
      <w:rFonts w:ascii="Calibri" w:eastAsiaTheme="minorHAnsi" w:hAnsi="Calibri" w:cstheme="minorBidi"/>
      <w:sz w:val="22"/>
      <w:szCs w:val="21"/>
      <w:lang w:val="fr-FR"/>
    </w:rPr>
  </w:style>
  <w:style w:type="paragraph" w:styleId="Signature">
    <w:name w:val="Signature"/>
    <w:basedOn w:val="Normal"/>
    <w:link w:val="SignatureChar"/>
    <w:uiPriority w:val="99"/>
    <w:semiHidden/>
    <w:rsid w:val="00094911"/>
    <w:pPr>
      <w:ind w:left="4252"/>
      <w:jc w:val="both"/>
    </w:pPr>
    <w:rPr>
      <w:rFonts w:eastAsia="Calibri"/>
      <w:szCs w:val="22"/>
      <w:lang w:val="en-GB"/>
    </w:rPr>
  </w:style>
  <w:style w:type="character" w:customStyle="1" w:styleId="SignatureChar">
    <w:name w:val="Signature Char"/>
    <w:basedOn w:val="DefaultParagraphFont"/>
    <w:link w:val="Signature"/>
    <w:uiPriority w:val="99"/>
    <w:semiHidden/>
    <w:rsid w:val="00094911"/>
    <w:rPr>
      <w:rFonts w:ascii="Arial" w:eastAsia="Calibri" w:hAnsi="Arial"/>
      <w:szCs w:val="22"/>
    </w:rPr>
  </w:style>
  <w:style w:type="paragraph" w:styleId="Revision">
    <w:name w:val="Revision"/>
    <w:hidden/>
    <w:uiPriority w:val="99"/>
    <w:semiHidden/>
    <w:rsid w:val="008657CB"/>
    <w:rPr>
      <w:rFonts w:ascii="Arial" w:hAnsi="Arial"/>
      <w:szCs w:val="24"/>
      <w:lang w:val="en-US"/>
    </w:rPr>
  </w:style>
  <w:style w:type="table" w:customStyle="1" w:styleId="ECCTable-redheader3">
    <w:name w:val="ECC Table - red header3"/>
    <w:basedOn w:val="TableNormal"/>
    <w:uiPriority w:val="99"/>
    <w:rsid w:val="00E742D4"/>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Autospacing="0" w:afterLines="0" w:afterAutospacing="0" w:line="240" w:lineRule="auto"/>
        <w:jc w:val="center"/>
      </w:pPr>
      <w:rPr>
        <w:b/>
        <w:i w:val="0"/>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paragraph" w:customStyle="1" w:styleId="ti-tbl">
    <w:name w:val="ti-tbl"/>
    <w:basedOn w:val="Normal"/>
    <w:rsid w:val="00E742D4"/>
    <w:pPr>
      <w:spacing w:before="100" w:beforeAutospacing="1" w:after="100" w:afterAutospacing="1"/>
    </w:pPr>
    <w:rPr>
      <w:rFonts w:ascii="Times New Roman" w:hAnsi="Times New Roman"/>
      <w:sz w:val="24"/>
      <w:lang w:val="fr-FR" w:eastAsia="fr-FR"/>
    </w:rPr>
  </w:style>
  <w:style w:type="character" w:customStyle="1" w:styleId="bold">
    <w:name w:val="bold"/>
    <w:basedOn w:val="DefaultParagraphFont"/>
    <w:rsid w:val="00E742D4"/>
  </w:style>
  <w:style w:type="paragraph" w:customStyle="1" w:styleId="tbl-hdr">
    <w:name w:val="tbl-hdr"/>
    <w:basedOn w:val="Normal"/>
    <w:rsid w:val="00E742D4"/>
    <w:pPr>
      <w:spacing w:before="100" w:beforeAutospacing="1" w:after="100" w:afterAutospacing="1"/>
    </w:pPr>
    <w:rPr>
      <w:rFonts w:ascii="Times New Roman" w:hAnsi="Times New Roman"/>
      <w:sz w:val="24"/>
      <w:lang w:val="fr-FR" w:eastAsia="fr-FR"/>
    </w:rPr>
  </w:style>
  <w:style w:type="paragraph" w:customStyle="1" w:styleId="tbl-txt">
    <w:name w:val="tbl-txt"/>
    <w:basedOn w:val="Normal"/>
    <w:rsid w:val="00E742D4"/>
    <w:pPr>
      <w:spacing w:before="100" w:beforeAutospacing="1" w:after="100" w:afterAutospacing="1"/>
    </w:pPr>
    <w:rPr>
      <w:rFonts w:ascii="Times New Roman" w:hAnsi="Times New Roman"/>
      <w:sz w:val="24"/>
      <w:lang w:val="fr-FR" w:eastAsia="fr-FR"/>
    </w:rPr>
  </w:style>
  <w:style w:type="paragraph" w:customStyle="1" w:styleId="tbl-num">
    <w:name w:val="tbl-num"/>
    <w:basedOn w:val="Normal"/>
    <w:rsid w:val="00E742D4"/>
    <w:pPr>
      <w:spacing w:before="100" w:beforeAutospacing="1" w:after="100" w:afterAutospacing="1"/>
    </w:pPr>
    <w:rPr>
      <w:rFonts w:ascii="Times New Roman" w:hAnsi="Times New Roman"/>
      <w:sz w:val="24"/>
      <w:lang w:val="fr-FR" w:eastAsia="fr-FR"/>
    </w:rPr>
  </w:style>
  <w:style w:type="paragraph" w:styleId="NormalWeb">
    <w:name w:val="Normal (Web)"/>
    <w:basedOn w:val="Normal"/>
    <w:uiPriority w:val="99"/>
    <w:semiHidden/>
    <w:unhideWhenUsed/>
    <w:rsid w:val="00E742D4"/>
    <w:pPr>
      <w:spacing w:before="100" w:beforeAutospacing="1" w:after="100" w:afterAutospacing="1"/>
    </w:pPr>
    <w:rPr>
      <w:rFonts w:ascii="Times New Roman" w:hAnsi="Times New Roman"/>
      <w:sz w:val="24"/>
      <w:lang w:val="fr-FR" w:eastAsia="fr-FR"/>
    </w:rPr>
  </w:style>
  <w:style w:type="paragraph" w:customStyle="1" w:styleId="ti-annotation">
    <w:name w:val="ti-annotation"/>
    <w:basedOn w:val="Normal"/>
    <w:rsid w:val="00E742D4"/>
    <w:pPr>
      <w:spacing w:before="100" w:beforeAutospacing="1" w:after="100" w:afterAutospacing="1"/>
    </w:pPr>
    <w:rPr>
      <w:rFonts w:ascii="Times New Roman" w:hAnsi="Times New Roman"/>
      <w:sz w:val="24"/>
      <w:lang w:val="fr-FR" w:eastAsia="fr-FR"/>
    </w:rPr>
  </w:style>
  <w:style w:type="paragraph" w:customStyle="1" w:styleId="Normal1">
    <w:name w:val="Normal1"/>
    <w:basedOn w:val="Normal"/>
    <w:rsid w:val="00E742D4"/>
    <w:pPr>
      <w:spacing w:before="100" w:beforeAutospacing="1" w:after="100" w:afterAutospacing="1"/>
    </w:pPr>
    <w:rPr>
      <w:rFonts w:ascii="Times New Roman" w:hAnsi="Times New Roman"/>
      <w:sz w:val="24"/>
      <w:lang w:val="fr-FR" w:eastAsia="fr-FR"/>
    </w:rPr>
  </w:style>
  <w:style w:type="character" w:customStyle="1" w:styleId="sub">
    <w:name w:val="sub"/>
    <w:basedOn w:val="DefaultParagraphFont"/>
    <w:rsid w:val="00E742D4"/>
  </w:style>
  <w:style w:type="character" w:customStyle="1" w:styleId="super">
    <w:name w:val="super"/>
    <w:basedOn w:val="DefaultParagraphFont"/>
    <w:rsid w:val="00E742D4"/>
  </w:style>
  <w:style w:type="paragraph" w:customStyle="1" w:styleId="image">
    <w:name w:val="image"/>
    <w:basedOn w:val="Normal"/>
    <w:rsid w:val="00E742D4"/>
    <w:pPr>
      <w:spacing w:before="100" w:beforeAutospacing="1" w:after="100" w:afterAutospacing="1"/>
    </w:pPr>
    <w:rPr>
      <w:rFonts w:ascii="Times New Roman" w:hAnsi="Times New Roman"/>
      <w:sz w:val="24"/>
      <w:lang w:val="fr-FR" w:eastAsia="fr-FR"/>
    </w:rPr>
  </w:style>
  <w:style w:type="paragraph" w:customStyle="1" w:styleId="ti-grseq-1">
    <w:name w:val="ti-grseq-1"/>
    <w:basedOn w:val="Normal"/>
    <w:rsid w:val="00E742D4"/>
    <w:pPr>
      <w:spacing w:before="100" w:beforeAutospacing="1" w:after="100" w:afterAutospacing="1"/>
    </w:pPr>
    <w:rPr>
      <w:rFonts w:ascii="Times New Roman" w:hAnsi="Times New Roman"/>
      <w:sz w:val="24"/>
      <w:lang w:val="fr-FR" w:eastAsia="fr-FR"/>
    </w:rPr>
  </w:style>
  <w:style w:type="paragraph" w:customStyle="1" w:styleId="note">
    <w:name w:val="note"/>
    <w:basedOn w:val="Normal"/>
    <w:rsid w:val="00E742D4"/>
    <w:pPr>
      <w:spacing w:before="100" w:beforeAutospacing="1" w:after="100" w:afterAutospacing="1"/>
    </w:pPr>
    <w:rPr>
      <w:rFonts w:ascii="Times New Roman" w:hAnsi="Times New Roman"/>
      <w:sz w:val="24"/>
      <w:lang w:val="fr-FR" w:eastAsia="fr-FR"/>
    </w:rPr>
  </w:style>
  <w:style w:type="paragraph" w:customStyle="1" w:styleId="doc-ti">
    <w:name w:val="doc-ti"/>
    <w:basedOn w:val="Normal"/>
    <w:rsid w:val="00E742D4"/>
    <w:pPr>
      <w:spacing w:before="100" w:beforeAutospacing="1" w:after="100" w:afterAutospacing="1"/>
    </w:pPr>
    <w:rPr>
      <w:rFonts w:ascii="Times New Roman" w:hAnsi="Times New Roman"/>
      <w:sz w:val="24"/>
      <w:lang w:val="fr-FR" w:eastAsia="fr-FR"/>
    </w:rPr>
  </w:style>
  <w:style w:type="character" w:customStyle="1" w:styleId="WW8Num29z2">
    <w:name w:val="WW8Num29z2"/>
    <w:uiPriority w:val="99"/>
    <w:rsid w:val="00E742D4"/>
    <w:rPr>
      <w:rFonts w:ascii="Wingdings" w:hAnsi="Wingdings"/>
    </w:rPr>
  </w:style>
  <w:style w:type="character" w:customStyle="1" w:styleId="ECCHLyellow">
    <w:name w:val="ECC HL yellow"/>
    <w:basedOn w:val="DefaultParagraphFont"/>
    <w:uiPriority w:val="1"/>
    <w:qFormat/>
    <w:rsid w:val="00F535F7"/>
    <w:rPr>
      <w:rFonts w:eastAsia="Calibri"/>
      <w:i w:val="0"/>
      <w:szCs w:val="22"/>
      <w:bdr w:val="none" w:sz="0" w:space="0" w:color="auto"/>
      <w:shd w:val="solid" w:color="FFFF00" w:fill="auto"/>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1"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381B4F"/>
    <w:pPr>
      <w:keepNext/>
      <w:pageBreakBefore/>
      <w:numPr>
        <w:numId w:val="1"/>
      </w:numPr>
      <w:tabs>
        <w:tab w:val="clear" w:pos="432"/>
      </w:tabs>
      <w:spacing w:before="600" w:after="240"/>
      <w:ind w:left="357" w:hanging="357"/>
      <w:jc w:val="both"/>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BF1CA6"/>
    <w:pPr>
      <w:keepNext/>
      <w:numPr>
        <w:ilvl w:val="1"/>
        <w:numId w:val="1"/>
      </w:numPr>
      <w:spacing w:before="480" w:after="240"/>
      <w:jc w:val="both"/>
      <w:outlineLvl w:val="1"/>
    </w:pPr>
    <w:rPr>
      <w:rFonts w:cs="Arial"/>
      <w:b/>
      <w:bCs/>
      <w:iCs/>
      <w:caps/>
      <w:szCs w:val="28"/>
      <w:lang w:val="en-GB"/>
    </w:rPr>
  </w:style>
  <w:style w:type="paragraph" w:styleId="Heading3">
    <w:name w:val="heading 3"/>
    <w:aliases w:val="ECC Heading 3"/>
    <w:basedOn w:val="Normal"/>
    <w:next w:val="ECCParagraph"/>
    <w:autoRedefine/>
    <w:qFormat/>
    <w:rsid w:val="00C2718C"/>
    <w:pPr>
      <w:keepNext/>
      <w:numPr>
        <w:ilvl w:val="2"/>
        <w:numId w:val="1"/>
      </w:numPr>
      <w:spacing w:before="360" w:after="120"/>
      <w:jc w:val="both"/>
      <w:outlineLvl w:val="2"/>
    </w:pPr>
    <w:rPr>
      <w:rFonts w:cs="Arial"/>
      <w:b/>
      <w:bCs/>
      <w:szCs w:val="26"/>
    </w:rPr>
  </w:style>
  <w:style w:type="paragraph" w:styleId="Heading4">
    <w:name w:val="heading 4"/>
    <w:aliases w:val="ECC Heading 4"/>
    <w:basedOn w:val="Normal"/>
    <w:next w:val="ECCParagraph"/>
    <w:autoRedefine/>
    <w:qFormat/>
    <w:rsid w:val="00AD7F41"/>
    <w:pPr>
      <w:keepNext/>
      <w:numPr>
        <w:ilvl w:val="3"/>
        <w:numId w:val="1"/>
      </w:numPr>
      <w:spacing w:before="360" w:after="120"/>
      <w:ind w:left="862" w:hanging="862"/>
      <w:jc w:val="both"/>
      <w:outlineLvl w:val="3"/>
    </w:pPr>
    <w:rPr>
      <w:rFonts w:cs="Arial"/>
      <w:bCs/>
      <w:i/>
      <w:color w:val="D2232A"/>
      <w:szCs w:val="26"/>
      <w:lang w:val="it-IT"/>
    </w:rPr>
  </w:style>
  <w:style w:type="paragraph" w:styleId="Heading5">
    <w:name w:val="heading 5"/>
    <w:basedOn w:val="Normal"/>
    <w:next w:val="Normal"/>
    <w:qFormat/>
    <w:rsid w:val="00D20E3B"/>
    <w:pPr>
      <w:numPr>
        <w:ilvl w:val="4"/>
        <w:numId w:val="1"/>
      </w:numPr>
      <w:spacing w:before="240" w:after="60"/>
      <w:outlineLvl w:val="4"/>
    </w:pPr>
    <w:rPr>
      <w:b/>
      <w:bCs/>
      <w:i/>
      <w:iCs/>
      <w:sz w:val="26"/>
      <w:szCs w:val="26"/>
    </w:rPr>
  </w:style>
  <w:style w:type="paragraph" w:styleId="Heading6">
    <w:name w:val="heading 6"/>
    <w:basedOn w:val="Normal"/>
    <w:next w:val="Normal"/>
    <w:qFormat/>
    <w:rsid w:val="00D20E3B"/>
    <w:pPr>
      <w:numPr>
        <w:ilvl w:val="5"/>
        <w:numId w:val="1"/>
      </w:numPr>
      <w:spacing w:before="240" w:after="60"/>
      <w:outlineLvl w:val="5"/>
    </w:pPr>
    <w:rPr>
      <w:b/>
      <w:bCs/>
      <w:sz w:val="22"/>
      <w:szCs w:val="22"/>
    </w:rPr>
  </w:style>
  <w:style w:type="paragraph" w:styleId="Heading7">
    <w:name w:val="heading 7"/>
    <w:basedOn w:val="Normal"/>
    <w:next w:val="Normal"/>
    <w:qFormat/>
    <w:rsid w:val="00D20E3B"/>
    <w:pPr>
      <w:numPr>
        <w:ilvl w:val="6"/>
        <w:numId w:val="1"/>
      </w:numPr>
      <w:spacing w:before="240" w:after="60"/>
      <w:outlineLvl w:val="6"/>
    </w:pPr>
    <w:rPr>
      <w:sz w:val="24"/>
    </w:rPr>
  </w:style>
  <w:style w:type="paragraph" w:styleId="Heading8">
    <w:name w:val="heading 8"/>
    <w:basedOn w:val="Normal"/>
    <w:next w:val="Normal"/>
    <w:qFormat/>
    <w:rsid w:val="00D20E3B"/>
    <w:pPr>
      <w:numPr>
        <w:ilvl w:val="7"/>
        <w:numId w:val="1"/>
      </w:numPr>
      <w:spacing w:before="240" w:after="60"/>
      <w:outlineLvl w:val="7"/>
    </w:pPr>
    <w:rPr>
      <w:i/>
      <w:iCs/>
      <w:sz w:val="24"/>
    </w:rPr>
  </w:style>
  <w:style w:type="paragraph" w:styleId="Heading9">
    <w:name w:val="heading 9"/>
    <w:basedOn w:val="Normal"/>
    <w:next w:val="Normal"/>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qFormat/>
    <w:rsid w:val="002209A7"/>
    <w:pPr>
      <w:numPr>
        <w:numId w:val="5"/>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895455"/>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BF1CA6"/>
    <w:rPr>
      <w:sz w:val="16"/>
    </w:rPr>
  </w:style>
  <w:style w:type="paragraph" w:styleId="FootnoteText">
    <w:name w:val="footnote text"/>
    <w:aliases w:val="footnote text,ALTS FOOTNOTE"/>
    <w:basedOn w:val="Normal"/>
    <w:link w:val="FootnoteTextChar"/>
    <w:uiPriority w:val="99"/>
    <w:qFormat/>
    <w:rsid w:val="008935B9"/>
    <w:rPr>
      <w:szCs w:val="20"/>
    </w:rPr>
  </w:style>
  <w:style w:type="character" w:styleId="FootnoteReference">
    <w:name w:val="footnote reference"/>
    <w:aliases w:val="Appel note de bas de p,Nota,Footnote symbol,Footnote,ECC Footnote number,Fussnotenzeichen,Footnote Reference/,Appel note de bas de p + (Asian) Batang,Black,(NECG) Footnote Reference"/>
    <w:basedOn w:val="DefaultParagraphFont"/>
    <w:uiPriority w:val="99"/>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6E035C"/>
    <w:pPr>
      <w:keepNext/>
      <w:keepLines/>
      <w:spacing w:before="60" w:after="60"/>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653AD"/>
    <w:pPr>
      <w:numPr>
        <w:ilvl w:val="1"/>
        <w:numId w:val="5"/>
      </w:numPr>
      <w:overflowPunct w:val="0"/>
      <w:autoSpaceDE w:val="0"/>
      <w:autoSpaceDN w:val="0"/>
      <w:adjustRightInd w:val="0"/>
      <w:spacing w:before="480" w:after="240"/>
      <w:jc w:val="both"/>
      <w:textAlignment w:val="baseline"/>
    </w:pPr>
    <w:rPr>
      <w:b/>
      <w:caps/>
    </w:rPr>
  </w:style>
  <w:style w:type="paragraph" w:customStyle="1" w:styleId="ECCAnnexheading3">
    <w:name w:val="ECC Annex heading3"/>
    <w:basedOn w:val="Normal"/>
    <w:next w:val="ECCParagraph"/>
    <w:rsid w:val="00BF1CA6"/>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NoList"/>
    <w:rsid w:val="003C3EE4"/>
    <w:pPr>
      <w:numPr>
        <w:numId w:val="7"/>
      </w:numPr>
    </w:pPr>
  </w:style>
  <w:style w:type="paragraph" w:customStyle="1" w:styleId="ECCNumbered-LetteredList">
    <w:name w:val="ECC Numbered-Lettered List"/>
    <w:basedOn w:val="Normal"/>
    <w:qFormat/>
    <w:rsid w:val="00D20E3B"/>
    <w:pPr>
      <w:numPr>
        <w:numId w:val="9"/>
      </w:numPr>
    </w:pPr>
  </w:style>
  <w:style w:type="paragraph" w:customStyle="1" w:styleId="ECCNumberedBullets">
    <w:name w:val="ECC Numbered Bullets"/>
    <w:basedOn w:val="Normal"/>
    <w:rsid w:val="00D20E3B"/>
    <w:pPr>
      <w:numPr>
        <w:numId w:val="8"/>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8"/>
      </w:numPr>
    </w:pPr>
  </w:style>
  <w:style w:type="numbering" w:customStyle="1" w:styleId="ECCNumbers-Letters">
    <w:name w:val="ECC Numbers-Letters"/>
    <w:uiPriority w:val="99"/>
    <w:rsid w:val="00D20E3B"/>
    <w:pPr>
      <w:numPr>
        <w:numId w:val="9"/>
      </w:numPr>
    </w:pPr>
  </w:style>
  <w:style w:type="paragraph" w:customStyle="1" w:styleId="ECCBulletsLv1">
    <w:name w:val="ECC Bullets Lv1"/>
    <w:basedOn w:val="Normal"/>
    <w:qFormat/>
    <w:rsid w:val="00B46BF8"/>
    <w:pPr>
      <w:numPr>
        <w:numId w:val="11"/>
      </w:numPr>
      <w:tabs>
        <w:tab w:val="left" w:pos="340"/>
      </w:tabs>
      <w:spacing w:before="60" w:after="240"/>
      <w:jc w:val="both"/>
    </w:pPr>
    <w:rPr>
      <w:rFonts w:eastAsia="Calibri"/>
      <w:szCs w:val="22"/>
      <w:lang w:val="en-GB"/>
    </w:rPr>
  </w:style>
  <w:style w:type="character" w:styleId="Emphasis">
    <w:name w:val="Emphasis"/>
    <w:aliases w:val="ECC HL italics"/>
    <w:uiPriority w:val="1"/>
    <w:qFormat/>
    <w:rsid w:val="00B46BF8"/>
    <w:rPr>
      <w:i/>
    </w:rPr>
  </w:style>
  <w:style w:type="character" w:customStyle="1" w:styleId="ECCHLcyan">
    <w:name w:val="ECC HL cyan"/>
    <w:basedOn w:val="DefaultParagraphFont"/>
    <w:uiPriority w:val="1"/>
    <w:qFormat/>
    <w:rsid w:val="00B46BF8"/>
    <w:rPr>
      <w:iCs w:val="0"/>
      <w:bdr w:val="none" w:sz="0" w:space="0" w:color="auto"/>
      <w:shd w:val="solid" w:color="00FFFF" w:fill="auto"/>
      <w:lang w:val="en-GB"/>
    </w:rPr>
  </w:style>
  <w:style w:type="character" w:customStyle="1" w:styleId="ECCHLorange">
    <w:name w:val="ECC HL orange"/>
    <w:basedOn w:val="DefaultParagraphFont"/>
    <w:uiPriority w:val="1"/>
    <w:qFormat/>
    <w:rsid w:val="00B46BF8"/>
    <w:rPr>
      <w:bdr w:val="none" w:sz="0" w:space="0" w:color="auto"/>
      <w:shd w:val="solid" w:color="FFC000" w:fill="auto"/>
    </w:rPr>
  </w:style>
  <w:style w:type="paragraph" w:customStyle="1" w:styleId="ECCTabletext">
    <w:name w:val="ECC Table text"/>
    <w:basedOn w:val="Normal"/>
    <w:qFormat/>
    <w:rsid w:val="00B46BF8"/>
    <w:pPr>
      <w:spacing w:after="60"/>
      <w:jc w:val="both"/>
    </w:pPr>
    <w:rPr>
      <w:rFonts w:eastAsia="Calibri"/>
      <w:szCs w:val="22"/>
      <w:lang w:val="en-GB"/>
    </w:rPr>
  </w:style>
  <w:style w:type="character" w:customStyle="1" w:styleId="ECCHLbold">
    <w:name w:val="ECC HL bold"/>
    <w:uiPriority w:val="1"/>
    <w:qFormat/>
    <w:rsid w:val="00B46BF8"/>
    <w:rPr>
      <w:b/>
      <w:bCs w:val="0"/>
    </w:rPr>
  </w:style>
  <w:style w:type="character" w:customStyle="1" w:styleId="ECCHLmagenta">
    <w:name w:val="ECC HL magenta"/>
    <w:basedOn w:val="DefaultParagraphFont"/>
    <w:uiPriority w:val="1"/>
    <w:qFormat/>
    <w:rsid w:val="00B46BF8"/>
    <w:rPr>
      <w:color w:val="auto"/>
      <w:bdr w:val="none" w:sz="0" w:space="0" w:color="auto"/>
      <w:shd w:val="solid" w:color="FF3399" w:fill="auto"/>
      <w:lang w:val="en-GB"/>
    </w:rPr>
  </w:style>
  <w:style w:type="paragraph" w:styleId="Caption">
    <w:name w:val="caption"/>
    <w:aliases w:val="ECC Caption,cap,cap Char,Caption Char,Caption Char1 Char,cap Char Char1,Caption Char Char1 Char,cap Char2 Char,Ca,RptCaption"/>
    <w:next w:val="Normal"/>
    <w:qFormat/>
    <w:rsid w:val="00B46BF8"/>
    <w:pPr>
      <w:keepLines/>
      <w:tabs>
        <w:tab w:val="left" w:pos="0"/>
        <w:tab w:val="center" w:pos="4820"/>
        <w:tab w:val="right" w:pos="9639"/>
      </w:tabs>
      <w:spacing w:before="240" w:after="240"/>
      <w:contextualSpacing/>
      <w:jc w:val="center"/>
    </w:pPr>
    <w:rPr>
      <w:rFonts w:ascii="Arial" w:hAnsi="Arial"/>
      <w:b/>
      <w:bCs/>
      <w:color w:val="D2232A"/>
      <w:lang w:val="da-DK"/>
    </w:rPr>
  </w:style>
  <w:style w:type="paragraph" w:customStyle="1" w:styleId="ECCTableHeaderwhitefont">
    <w:name w:val="ECC Table Header white font"/>
    <w:qFormat/>
    <w:rsid w:val="00B46BF8"/>
    <w:pPr>
      <w:spacing w:before="240" w:after="60"/>
      <w:jc w:val="center"/>
    </w:pPr>
    <w:rPr>
      <w:rFonts w:ascii="Arial" w:eastAsia="Calibri" w:hAnsi="Arial"/>
      <w:bCs/>
      <w:color w:val="FFFFFF" w:themeColor="background1"/>
      <w:lang w:eastAsia="de-DE"/>
    </w:rPr>
  </w:style>
  <w:style w:type="table" w:customStyle="1" w:styleId="ECCTable-redheader">
    <w:name w:val="ECC Table - red header"/>
    <w:basedOn w:val="TableNormal"/>
    <w:uiPriority w:val="99"/>
    <w:rsid w:val="00B46BF8"/>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Autospacing="0" w:afterLines="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EditorsNote">
    <w:name w:val="ECC Editor's Note"/>
    <w:next w:val="Normal"/>
    <w:qFormat/>
    <w:rsid w:val="00B46BF8"/>
    <w:pPr>
      <w:numPr>
        <w:numId w:val="12"/>
      </w:numPr>
      <w:shd w:val="solid" w:color="FFFF00" w:fill="auto"/>
      <w:spacing w:before="120" w:after="60"/>
      <w:jc w:val="both"/>
    </w:pPr>
    <w:rPr>
      <w:rFonts w:ascii="Arial" w:eastAsia="Calibri" w:hAnsi="Arial"/>
      <w:szCs w:val="22"/>
      <w:lang w:val="da-DK" w:eastAsia="de-DE"/>
    </w:rPr>
  </w:style>
  <w:style w:type="character" w:customStyle="1" w:styleId="FootnoteTextChar">
    <w:name w:val="Footnote Text Char"/>
    <w:aliases w:val="footnote text Char,ALTS FOOTNOTE Char"/>
    <w:basedOn w:val="DefaultParagraphFont"/>
    <w:link w:val="FootnoteText"/>
    <w:uiPriority w:val="99"/>
    <w:rsid w:val="00B46BF8"/>
    <w:rPr>
      <w:rFonts w:ascii="Arial" w:hAnsi="Arial"/>
      <w:lang w:val="en-US"/>
    </w:rPr>
  </w:style>
  <w:style w:type="paragraph" w:customStyle="1" w:styleId="ECCLetteredList">
    <w:name w:val="ECC Lettered List"/>
    <w:qFormat/>
    <w:rsid w:val="00B46BF8"/>
    <w:pPr>
      <w:numPr>
        <w:ilvl w:val="1"/>
        <w:numId w:val="13"/>
      </w:numPr>
      <w:spacing w:before="240"/>
      <w:jc w:val="both"/>
    </w:pPr>
    <w:rPr>
      <w:rFonts w:ascii="Arial" w:hAnsi="Arial"/>
      <w:lang w:val="da-DK"/>
    </w:rPr>
  </w:style>
  <w:style w:type="character" w:customStyle="1" w:styleId="ECCHLpetrol">
    <w:name w:val="ECC HL petrol"/>
    <w:basedOn w:val="DefaultParagraphFont"/>
    <w:uiPriority w:val="1"/>
    <w:qFormat/>
    <w:rsid w:val="00B46BF8"/>
    <w:rPr>
      <w:iCs w:val="0"/>
      <w:color w:val="FFFFFF" w:themeColor="background1"/>
      <w:bdr w:val="none" w:sz="0" w:space="0" w:color="auto"/>
      <w:shd w:val="solid" w:color="008080" w:fill="auto"/>
    </w:rPr>
  </w:style>
  <w:style w:type="character" w:customStyle="1" w:styleId="ECCHLunderlined">
    <w:name w:val="ECC HL underlined"/>
    <w:uiPriority w:val="1"/>
    <w:qFormat/>
    <w:rsid w:val="00B46BF8"/>
    <w:rPr>
      <w:u w:val="single"/>
    </w:rPr>
  </w:style>
  <w:style w:type="character" w:customStyle="1" w:styleId="italic">
    <w:name w:val="italic"/>
    <w:basedOn w:val="DefaultParagraphFont"/>
    <w:rsid w:val="00B46BF8"/>
  </w:style>
  <w:style w:type="table" w:customStyle="1" w:styleId="ECCTable-redheader4">
    <w:name w:val="ECC Table - red header4"/>
    <w:basedOn w:val="TableNormal"/>
    <w:uiPriority w:val="99"/>
    <w:rsid w:val="00AD7F41"/>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Autospacing="0" w:afterLines="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styleId="ListParagraph">
    <w:name w:val="List Paragraph"/>
    <w:basedOn w:val="Normal"/>
    <w:uiPriority w:val="34"/>
    <w:qFormat/>
    <w:rsid w:val="00C653AD"/>
    <w:pPr>
      <w:ind w:left="720"/>
    </w:pPr>
    <w:rPr>
      <w:rFonts w:ascii="Calibri" w:eastAsia="SimSun" w:hAnsi="Calibri"/>
      <w:sz w:val="22"/>
      <w:szCs w:val="22"/>
      <w:lang w:val="it-IT"/>
    </w:rPr>
  </w:style>
  <w:style w:type="character" w:styleId="PageNumber">
    <w:name w:val="page number"/>
    <w:basedOn w:val="DefaultParagraphFont"/>
    <w:rsid w:val="00C653AD"/>
  </w:style>
  <w:style w:type="paragraph" w:customStyle="1" w:styleId="ZCom">
    <w:name w:val="Z_Com"/>
    <w:basedOn w:val="Normal"/>
    <w:next w:val="ZDGName"/>
    <w:rsid w:val="00C653AD"/>
    <w:pPr>
      <w:widowControl w:val="0"/>
      <w:ind w:right="85"/>
      <w:jc w:val="both"/>
    </w:pPr>
    <w:rPr>
      <w:snapToGrid w:val="0"/>
      <w:sz w:val="24"/>
      <w:szCs w:val="20"/>
      <w:lang w:val="en-GB"/>
    </w:rPr>
  </w:style>
  <w:style w:type="paragraph" w:customStyle="1" w:styleId="ZDGName">
    <w:name w:val="Z_DGName"/>
    <w:basedOn w:val="Normal"/>
    <w:rsid w:val="00C653AD"/>
    <w:pPr>
      <w:widowControl w:val="0"/>
      <w:ind w:right="85"/>
    </w:pPr>
    <w:rPr>
      <w:snapToGrid w:val="0"/>
      <w:sz w:val="16"/>
      <w:szCs w:val="20"/>
      <w:lang w:val="en-GB"/>
    </w:rPr>
  </w:style>
  <w:style w:type="paragraph" w:customStyle="1" w:styleId="AddressTR">
    <w:name w:val="AddressTR"/>
    <w:basedOn w:val="Normal"/>
    <w:next w:val="Normal"/>
    <w:rsid w:val="00C653AD"/>
    <w:pPr>
      <w:spacing w:after="720"/>
      <w:ind w:left="5103"/>
    </w:pPr>
    <w:rPr>
      <w:rFonts w:ascii="Times New Roman" w:hAnsi="Times New Roman"/>
      <w:sz w:val="24"/>
      <w:szCs w:val="20"/>
      <w:lang w:val="en-GB" w:eastAsia="fr-BE"/>
    </w:rPr>
  </w:style>
  <w:style w:type="character" w:styleId="CommentReference">
    <w:name w:val="annotation reference"/>
    <w:basedOn w:val="DefaultParagraphFont"/>
    <w:uiPriority w:val="99"/>
    <w:semiHidden/>
    <w:unhideWhenUsed/>
    <w:rsid w:val="00C653AD"/>
    <w:rPr>
      <w:sz w:val="16"/>
      <w:szCs w:val="16"/>
    </w:rPr>
  </w:style>
  <w:style w:type="paragraph" w:styleId="CommentText">
    <w:name w:val="annotation text"/>
    <w:basedOn w:val="Normal"/>
    <w:link w:val="CommentTextChar"/>
    <w:uiPriority w:val="99"/>
    <w:unhideWhenUsed/>
    <w:rsid w:val="00C653AD"/>
    <w:pPr>
      <w:spacing w:before="240" w:after="60"/>
      <w:jc w:val="both"/>
    </w:pPr>
    <w:rPr>
      <w:rFonts w:eastAsia="Calibri"/>
      <w:szCs w:val="20"/>
      <w:lang w:val="en-GB"/>
    </w:rPr>
  </w:style>
  <w:style w:type="character" w:customStyle="1" w:styleId="CommentTextChar">
    <w:name w:val="Comment Text Char"/>
    <w:basedOn w:val="DefaultParagraphFont"/>
    <w:link w:val="CommentText"/>
    <w:uiPriority w:val="99"/>
    <w:rsid w:val="00C653AD"/>
    <w:rPr>
      <w:rFonts w:ascii="Arial" w:eastAsia="Calibri" w:hAnsi="Arial"/>
    </w:rPr>
  </w:style>
  <w:style w:type="character" w:customStyle="1" w:styleId="ECCHLgreen">
    <w:name w:val="ECC HL green"/>
    <w:basedOn w:val="DefaultParagraphFont"/>
    <w:uiPriority w:val="1"/>
    <w:qFormat/>
    <w:rsid w:val="00C653AD"/>
    <w:rPr>
      <w:bdr w:val="none" w:sz="0" w:space="0" w:color="auto"/>
      <w:shd w:val="solid" w:color="92D050" w:fill="auto"/>
      <w:lang w:val="en-GB"/>
    </w:rPr>
  </w:style>
  <w:style w:type="character" w:styleId="PlaceholderText">
    <w:name w:val="Placeholder Text"/>
    <w:basedOn w:val="DefaultParagraphFont"/>
    <w:uiPriority w:val="99"/>
    <w:semiHidden/>
    <w:rsid w:val="005B451A"/>
    <w:rPr>
      <w:color w:val="808080"/>
    </w:rPr>
  </w:style>
  <w:style w:type="paragraph" w:customStyle="1" w:styleId="ECCReference">
    <w:name w:val="ECC Reference"/>
    <w:basedOn w:val="Normal"/>
    <w:rsid w:val="0094535F"/>
    <w:pPr>
      <w:tabs>
        <w:tab w:val="num" w:pos="397"/>
      </w:tabs>
      <w:ind w:left="397" w:hanging="397"/>
      <w:jc w:val="both"/>
    </w:pPr>
    <w:rPr>
      <w:rFonts w:eastAsia="Calibri"/>
      <w:szCs w:val="22"/>
      <w:lang w:val="en-GB" w:eastAsia="ja-JP"/>
    </w:rPr>
  </w:style>
  <w:style w:type="paragraph" w:styleId="CommentSubject">
    <w:name w:val="annotation subject"/>
    <w:basedOn w:val="CommentText"/>
    <w:next w:val="CommentText"/>
    <w:link w:val="CommentSubjectChar"/>
    <w:uiPriority w:val="99"/>
    <w:semiHidden/>
    <w:unhideWhenUsed/>
    <w:rsid w:val="00EA5B45"/>
    <w:pPr>
      <w:spacing w:before="0" w:after="0"/>
      <w:jc w:val="left"/>
    </w:pPr>
    <w:rPr>
      <w:rFonts w:eastAsia="Times New Roman"/>
      <w:b/>
      <w:bCs/>
      <w:lang w:val="en-US"/>
    </w:rPr>
  </w:style>
  <w:style w:type="character" w:customStyle="1" w:styleId="CommentSubjectChar">
    <w:name w:val="Comment Subject Char"/>
    <w:basedOn w:val="CommentTextChar"/>
    <w:link w:val="CommentSubject"/>
    <w:uiPriority w:val="99"/>
    <w:semiHidden/>
    <w:rsid w:val="00EA5B45"/>
    <w:rPr>
      <w:rFonts w:ascii="Arial" w:eastAsia="Calibri" w:hAnsi="Arial"/>
      <w:b/>
      <w:bCs/>
      <w:lang w:val="en-US"/>
    </w:rPr>
  </w:style>
  <w:style w:type="paragraph" w:styleId="PlainText">
    <w:name w:val="Plain Text"/>
    <w:basedOn w:val="Normal"/>
    <w:link w:val="PlainTextChar"/>
    <w:uiPriority w:val="99"/>
    <w:unhideWhenUsed/>
    <w:rsid w:val="0048722F"/>
    <w:rPr>
      <w:rFonts w:ascii="Calibri" w:eastAsiaTheme="minorHAnsi" w:hAnsi="Calibri" w:cstheme="minorBidi"/>
      <w:sz w:val="22"/>
      <w:szCs w:val="21"/>
      <w:lang w:val="fr-FR"/>
    </w:rPr>
  </w:style>
  <w:style w:type="character" w:customStyle="1" w:styleId="PlainTextChar">
    <w:name w:val="Plain Text Char"/>
    <w:basedOn w:val="DefaultParagraphFont"/>
    <w:link w:val="PlainText"/>
    <w:uiPriority w:val="99"/>
    <w:rsid w:val="0048722F"/>
    <w:rPr>
      <w:rFonts w:ascii="Calibri" w:eastAsiaTheme="minorHAnsi" w:hAnsi="Calibri" w:cstheme="minorBidi"/>
      <w:sz w:val="22"/>
      <w:szCs w:val="21"/>
      <w:lang w:val="fr-FR"/>
    </w:rPr>
  </w:style>
  <w:style w:type="paragraph" w:styleId="Signature">
    <w:name w:val="Signature"/>
    <w:basedOn w:val="Normal"/>
    <w:link w:val="SignatureChar"/>
    <w:uiPriority w:val="99"/>
    <w:semiHidden/>
    <w:rsid w:val="00094911"/>
    <w:pPr>
      <w:ind w:left="4252"/>
      <w:jc w:val="both"/>
    </w:pPr>
    <w:rPr>
      <w:rFonts w:eastAsia="Calibri"/>
      <w:szCs w:val="22"/>
      <w:lang w:val="en-GB"/>
    </w:rPr>
  </w:style>
  <w:style w:type="character" w:customStyle="1" w:styleId="SignatureChar">
    <w:name w:val="Signature Char"/>
    <w:basedOn w:val="DefaultParagraphFont"/>
    <w:link w:val="Signature"/>
    <w:uiPriority w:val="99"/>
    <w:semiHidden/>
    <w:rsid w:val="00094911"/>
    <w:rPr>
      <w:rFonts w:ascii="Arial" w:eastAsia="Calibri" w:hAnsi="Arial"/>
      <w:szCs w:val="22"/>
    </w:rPr>
  </w:style>
  <w:style w:type="paragraph" w:styleId="Revision">
    <w:name w:val="Revision"/>
    <w:hidden/>
    <w:uiPriority w:val="99"/>
    <w:semiHidden/>
    <w:rsid w:val="008657CB"/>
    <w:rPr>
      <w:rFonts w:ascii="Arial" w:hAnsi="Arial"/>
      <w:szCs w:val="24"/>
      <w:lang w:val="en-US"/>
    </w:rPr>
  </w:style>
  <w:style w:type="table" w:customStyle="1" w:styleId="ECCTable-redheader3">
    <w:name w:val="ECC Table - red header3"/>
    <w:basedOn w:val="TableNormal"/>
    <w:uiPriority w:val="99"/>
    <w:rsid w:val="00E742D4"/>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Autospacing="0" w:afterLines="0" w:afterAutospacing="0" w:line="240" w:lineRule="auto"/>
        <w:jc w:val="center"/>
      </w:pPr>
      <w:rPr>
        <w:b/>
        <w:i w:val="0"/>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paragraph" w:customStyle="1" w:styleId="ti-tbl">
    <w:name w:val="ti-tbl"/>
    <w:basedOn w:val="Normal"/>
    <w:rsid w:val="00E742D4"/>
    <w:pPr>
      <w:spacing w:before="100" w:beforeAutospacing="1" w:after="100" w:afterAutospacing="1"/>
    </w:pPr>
    <w:rPr>
      <w:rFonts w:ascii="Times New Roman" w:hAnsi="Times New Roman"/>
      <w:sz w:val="24"/>
      <w:lang w:val="fr-FR" w:eastAsia="fr-FR"/>
    </w:rPr>
  </w:style>
  <w:style w:type="character" w:customStyle="1" w:styleId="bold">
    <w:name w:val="bold"/>
    <w:basedOn w:val="DefaultParagraphFont"/>
    <w:rsid w:val="00E742D4"/>
  </w:style>
  <w:style w:type="paragraph" w:customStyle="1" w:styleId="tbl-hdr">
    <w:name w:val="tbl-hdr"/>
    <w:basedOn w:val="Normal"/>
    <w:rsid w:val="00E742D4"/>
    <w:pPr>
      <w:spacing w:before="100" w:beforeAutospacing="1" w:after="100" w:afterAutospacing="1"/>
    </w:pPr>
    <w:rPr>
      <w:rFonts w:ascii="Times New Roman" w:hAnsi="Times New Roman"/>
      <w:sz w:val="24"/>
      <w:lang w:val="fr-FR" w:eastAsia="fr-FR"/>
    </w:rPr>
  </w:style>
  <w:style w:type="paragraph" w:customStyle="1" w:styleId="tbl-txt">
    <w:name w:val="tbl-txt"/>
    <w:basedOn w:val="Normal"/>
    <w:rsid w:val="00E742D4"/>
    <w:pPr>
      <w:spacing w:before="100" w:beforeAutospacing="1" w:after="100" w:afterAutospacing="1"/>
    </w:pPr>
    <w:rPr>
      <w:rFonts w:ascii="Times New Roman" w:hAnsi="Times New Roman"/>
      <w:sz w:val="24"/>
      <w:lang w:val="fr-FR" w:eastAsia="fr-FR"/>
    </w:rPr>
  </w:style>
  <w:style w:type="paragraph" w:customStyle="1" w:styleId="tbl-num">
    <w:name w:val="tbl-num"/>
    <w:basedOn w:val="Normal"/>
    <w:rsid w:val="00E742D4"/>
    <w:pPr>
      <w:spacing w:before="100" w:beforeAutospacing="1" w:after="100" w:afterAutospacing="1"/>
    </w:pPr>
    <w:rPr>
      <w:rFonts w:ascii="Times New Roman" w:hAnsi="Times New Roman"/>
      <w:sz w:val="24"/>
      <w:lang w:val="fr-FR" w:eastAsia="fr-FR"/>
    </w:rPr>
  </w:style>
  <w:style w:type="paragraph" w:styleId="NormalWeb">
    <w:name w:val="Normal (Web)"/>
    <w:basedOn w:val="Normal"/>
    <w:uiPriority w:val="99"/>
    <w:semiHidden/>
    <w:unhideWhenUsed/>
    <w:rsid w:val="00E742D4"/>
    <w:pPr>
      <w:spacing w:before="100" w:beforeAutospacing="1" w:after="100" w:afterAutospacing="1"/>
    </w:pPr>
    <w:rPr>
      <w:rFonts w:ascii="Times New Roman" w:hAnsi="Times New Roman"/>
      <w:sz w:val="24"/>
      <w:lang w:val="fr-FR" w:eastAsia="fr-FR"/>
    </w:rPr>
  </w:style>
  <w:style w:type="paragraph" w:customStyle="1" w:styleId="ti-annotation">
    <w:name w:val="ti-annotation"/>
    <w:basedOn w:val="Normal"/>
    <w:rsid w:val="00E742D4"/>
    <w:pPr>
      <w:spacing w:before="100" w:beforeAutospacing="1" w:after="100" w:afterAutospacing="1"/>
    </w:pPr>
    <w:rPr>
      <w:rFonts w:ascii="Times New Roman" w:hAnsi="Times New Roman"/>
      <w:sz w:val="24"/>
      <w:lang w:val="fr-FR" w:eastAsia="fr-FR"/>
    </w:rPr>
  </w:style>
  <w:style w:type="paragraph" w:customStyle="1" w:styleId="Normal1">
    <w:name w:val="Normal1"/>
    <w:basedOn w:val="Normal"/>
    <w:rsid w:val="00E742D4"/>
    <w:pPr>
      <w:spacing w:before="100" w:beforeAutospacing="1" w:after="100" w:afterAutospacing="1"/>
    </w:pPr>
    <w:rPr>
      <w:rFonts w:ascii="Times New Roman" w:hAnsi="Times New Roman"/>
      <w:sz w:val="24"/>
      <w:lang w:val="fr-FR" w:eastAsia="fr-FR"/>
    </w:rPr>
  </w:style>
  <w:style w:type="character" w:customStyle="1" w:styleId="sub">
    <w:name w:val="sub"/>
    <w:basedOn w:val="DefaultParagraphFont"/>
    <w:rsid w:val="00E742D4"/>
  </w:style>
  <w:style w:type="character" w:customStyle="1" w:styleId="super">
    <w:name w:val="super"/>
    <w:basedOn w:val="DefaultParagraphFont"/>
    <w:rsid w:val="00E742D4"/>
  </w:style>
  <w:style w:type="paragraph" w:customStyle="1" w:styleId="image">
    <w:name w:val="image"/>
    <w:basedOn w:val="Normal"/>
    <w:rsid w:val="00E742D4"/>
    <w:pPr>
      <w:spacing w:before="100" w:beforeAutospacing="1" w:after="100" w:afterAutospacing="1"/>
    </w:pPr>
    <w:rPr>
      <w:rFonts w:ascii="Times New Roman" w:hAnsi="Times New Roman"/>
      <w:sz w:val="24"/>
      <w:lang w:val="fr-FR" w:eastAsia="fr-FR"/>
    </w:rPr>
  </w:style>
  <w:style w:type="paragraph" w:customStyle="1" w:styleId="ti-grseq-1">
    <w:name w:val="ti-grseq-1"/>
    <w:basedOn w:val="Normal"/>
    <w:rsid w:val="00E742D4"/>
    <w:pPr>
      <w:spacing w:before="100" w:beforeAutospacing="1" w:after="100" w:afterAutospacing="1"/>
    </w:pPr>
    <w:rPr>
      <w:rFonts w:ascii="Times New Roman" w:hAnsi="Times New Roman"/>
      <w:sz w:val="24"/>
      <w:lang w:val="fr-FR" w:eastAsia="fr-FR"/>
    </w:rPr>
  </w:style>
  <w:style w:type="paragraph" w:customStyle="1" w:styleId="note">
    <w:name w:val="note"/>
    <w:basedOn w:val="Normal"/>
    <w:rsid w:val="00E742D4"/>
    <w:pPr>
      <w:spacing w:before="100" w:beforeAutospacing="1" w:after="100" w:afterAutospacing="1"/>
    </w:pPr>
    <w:rPr>
      <w:rFonts w:ascii="Times New Roman" w:hAnsi="Times New Roman"/>
      <w:sz w:val="24"/>
      <w:lang w:val="fr-FR" w:eastAsia="fr-FR"/>
    </w:rPr>
  </w:style>
  <w:style w:type="paragraph" w:customStyle="1" w:styleId="doc-ti">
    <w:name w:val="doc-ti"/>
    <w:basedOn w:val="Normal"/>
    <w:rsid w:val="00E742D4"/>
    <w:pPr>
      <w:spacing w:before="100" w:beforeAutospacing="1" w:after="100" w:afterAutospacing="1"/>
    </w:pPr>
    <w:rPr>
      <w:rFonts w:ascii="Times New Roman" w:hAnsi="Times New Roman"/>
      <w:sz w:val="24"/>
      <w:lang w:val="fr-FR" w:eastAsia="fr-FR"/>
    </w:rPr>
  </w:style>
  <w:style w:type="character" w:customStyle="1" w:styleId="WW8Num29z2">
    <w:name w:val="WW8Num29z2"/>
    <w:uiPriority w:val="99"/>
    <w:rsid w:val="00E742D4"/>
    <w:rPr>
      <w:rFonts w:ascii="Wingdings" w:hAnsi="Wingdings"/>
    </w:rPr>
  </w:style>
  <w:style w:type="character" w:customStyle="1" w:styleId="ECCHLyellow">
    <w:name w:val="ECC HL yellow"/>
    <w:basedOn w:val="DefaultParagraphFont"/>
    <w:uiPriority w:val="1"/>
    <w:qFormat/>
    <w:rsid w:val="00F535F7"/>
    <w:rPr>
      <w:rFonts w:eastAsia="Calibri"/>
      <w:i w:val="0"/>
      <w:szCs w:val="22"/>
      <w:bdr w:val="none" w:sz="0" w:space="0" w:color="auto"/>
      <w:shd w:val="solid" w:color="FFFF00" w:fill="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599600">
      <w:bodyDiv w:val="1"/>
      <w:marLeft w:val="0"/>
      <w:marRight w:val="0"/>
      <w:marTop w:val="0"/>
      <w:marBottom w:val="0"/>
      <w:divBdr>
        <w:top w:val="none" w:sz="0" w:space="0" w:color="auto"/>
        <w:left w:val="none" w:sz="0" w:space="0" w:color="auto"/>
        <w:bottom w:val="none" w:sz="0" w:space="0" w:color="auto"/>
        <w:right w:val="none" w:sz="0" w:space="0" w:color="auto"/>
      </w:divBdr>
      <w:divsChild>
        <w:div w:id="634485339">
          <w:marLeft w:val="0"/>
          <w:marRight w:val="0"/>
          <w:marTop w:val="0"/>
          <w:marBottom w:val="0"/>
          <w:divBdr>
            <w:top w:val="none" w:sz="0" w:space="0" w:color="auto"/>
            <w:left w:val="none" w:sz="0" w:space="0" w:color="auto"/>
            <w:bottom w:val="none" w:sz="0" w:space="0" w:color="auto"/>
            <w:right w:val="none" w:sz="0" w:space="0" w:color="auto"/>
          </w:divBdr>
          <w:divsChild>
            <w:div w:id="1328362871">
              <w:marLeft w:val="0"/>
              <w:marRight w:val="0"/>
              <w:marTop w:val="0"/>
              <w:marBottom w:val="0"/>
              <w:divBdr>
                <w:top w:val="none" w:sz="0" w:space="0" w:color="auto"/>
                <w:left w:val="none" w:sz="0" w:space="0" w:color="auto"/>
                <w:bottom w:val="none" w:sz="0" w:space="0" w:color="auto"/>
                <w:right w:val="none" w:sz="0" w:space="0" w:color="auto"/>
              </w:divBdr>
              <w:divsChild>
                <w:div w:id="20638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36462">
      <w:bodyDiv w:val="1"/>
      <w:marLeft w:val="0"/>
      <w:marRight w:val="0"/>
      <w:marTop w:val="0"/>
      <w:marBottom w:val="0"/>
      <w:divBdr>
        <w:top w:val="none" w:sz="0" w:space="0" w:color="auto"/>
        <w:left w:val="none" w:sz="0" w:space="0" w:color="auto"/>
        <w:bottom w:val="none" w:sz="0" w:space="0" w:color="auto"/>
        <w:right w:val="none" w:sz="0" w:space="0" w:color="auto"/>
      </w:divBdr>
      <w:divsChild>
        <w:div w:id="1235747157">
          <w:marLeft w:val="0"/>
          <w:marRight w:val="0"/>
          <w:marTop w:val="0"/>
          <w:marBottom w:val="0"/>
          <w:divBdr>
            <w:top w:val="none" w:sz="0" w:space="0" w:color="auto"/>
            <w:left w:val="none" w:sz="0" w:space="0" w:color="auto"/>
            <w:bottom w:val="none" w:sz="0" w:space="0" w:color="auto"/>
            <w:right w:val="none" w:sz="0" w:space="0" w:color="auto"/>
          </w:divBdr>
          <w:divsChild>
            <w:div w:id="1265109204">
              <w:marLeft w:val="0"/>
              <w:marRight w:val="0"/>
              <w:marTop w:val="0"/>
              <w:marBottom w:val="0"/>
              <w:divBdr>
                <w:top w:val="none" w:sz="0" w:space="0" w:color="auto"/>
                <w:left w:val="none" w:sz="0" w:space="0" w:color="auto"/>
                <w:bottom w:val="none" w:sz="0" w:space="0" w:color="auto"/>
                <w:right w:val="none" w:sz="0" w:space="0" w:color="auto"/>
              </w:divBdr>
              <w:divsChild>
                <w:div w:id="26778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91337">
      <w:bodyDiv w:val="1"/>
      <w:marLeft w:val="0"/>
      <w:marRight w:val="0"/>
      <w:marTop w:val="0"/>
      <w:marBottom w:val="0"/>
      <w:divBdr>
        <w:top w:val="none" w:sz="0" w:space="0" w:color="auto"/>
        <w:left w:val="none" w:sz="0" w:space="0" w:color="auto"/>
        <w:bottom w:val="none" w:sz="0" w:space="0" w:color="auto"/>
        <w:right w:val="none" w:sz="0" w:space="0" w:color="auto"/>
      </w:divBdr>
      <w:divsChild>
        <w:div w:id="1899315016">
          <w:marLeft w:val="0"/>
          <w:marRight w:val="0"/>
          <w:marTop w:val="0"/>
          <w:marBottom w:val="0"/>
          <w:divBdr>
            <w:top w:val="none" w:sz="0" w:space="0" w:color="auto"/>
            <w:left w:val="none" w:sz="0" w:space="0" w:color="auto"/>
            <w:bottom w:val="none" w:sz="0" w:space="0" w:color="auto"/>
            <w:right w:val="none" w:sz="0" w:space="0" w:color="auto"/>
          </w:divBdr>
          <w:divsChild>
            <w:div w:id="952979835">
              <w:marLeft w:val="0"/>
              <w:marRight w:val="0"/>
              <w:marTop w:val="0"/>
              <w:marBottom w:val="0"/>
              <w:divBdr>
                <w:top w:val="none" w:sz="0" w:space="0" w:color="auto"/>
                <w:left w:val="none" w:sz="0" w:space="0" w:color="auto"/>
                <w:bottom w:val="none" w:sz="0" w:space="0" w:color="auto"/>
                <w:right w:val="none" w:sz="0" w:space="0" w:color="auto"/>
              </w:divBdr>
              <w:divsChild>
                <w:div w:id="209369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93021">
      <w:bodyDiv w:val="1"/>
      <w:marLeft w:val="0"/>
      <w:marRight w:val="0"/>
      <w:marTop w:val="0"/>
      <w:marBottom w:val="0"/>
      <w:divBdr>
        <w:top w:val="none" w:sz="0" w:space="0" w:color="auto"/>
        <w:left w:val="none" w:sz="0" w:space="0" w:color="auto"/>
        <w:bottom w:val="none" w:sz="0" w:space="0" w:color="auto"/>
        <w:right w:val="none" w:sz="0" w:space="0" w:color="auto"/>
      </w:divBdr>
    </w:div>
    <w:div w:id="1667517491">
      <w:bodyDiv w:val="1"/>
      <w:marLeft w:val="0"/>
      <w:marRight w:val="0"/>
      <w:marTop w:val="0"/>
      <w:marBottom w:val="0"/>
      <w:divBdr>
        <w:top w:val="none" w:sz="0" w:space="0" w:color="auto"/>
        <w:left w:val="none" w:sz="0" w:space="0" w:color="auto"/>
        <w:bottom w:val="none" w:sz="0" w:space="0" w:color="auto"/>
        <w:right w:val="none" w:sz="0" w:space="0" w:color="auto"/>
      </w:divBdr>
    </w:div>
    <w:div w:id="1962571208">
      <w:bodyDiv w:val="1"/>
      <w:marLeft w:val="0"/>
      <w:marRight w:val="0"/>
      <w:marTop w:val="0"/>
      <w:marBottom w:val="0"/>
      <w:divBdr>
        <w:top w:val="none" w:sz="0" w:space="0" w:color="auto"/>
        <w:left w:val="none" w:sz="0" w:space="0" w:color="auto"/>
        <w:bottom w:val="none" w:sz="0" w:space="0" w:color="auto"/>
        <w:right w:val="none" w:sz="0" w:space="0" w:color="auto"/>
      </w:divBdr>
      <w:divsChild>
        <w:div w:id="868882290">
          <w:marLeft w:val="0"/>
          <w:marRight w:val="0"/>
          <w:marTop w:val="0"/>
          <w:marBottom w:val="0"/>
          <w:divBdr>
            <w:top w:val="none" w:sz="0" w:space="0" w:color="auto"/>
            <w:left w:val="none" w:sz="0" w:space="0" w:color="auto"/>
            <w:bottom w:val="none" w:sz="0" w:space="0" w:color="auto"/>
            <w:right w:val="none" w:sz="0" w:space="0" w:color="auto"/>
          </w:divBdr>
          <w:divsChild>
            <w:div w:id="8619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81036">
      <w:bodyDiv w:val="1"/>
      <w:marLeft w:val="0"/>
      <w:marRight w:val="0"/>
      <w:marTop w:val="0"/>
      <w:marBottom w:val="0"/>
      <w:divBdr>
        <w:top w:val="none" w:sz="0" w:space="0" w:color="auto"/>
        <w:left w:val="none" w:sz="0" w:space="0" w:color="auto"/>
        <w:bottom w:val="none" w:sz="0" w:space="0" w:color="auto"/>
        <w:right w:val="none" w:sz="0" w:space="0" w:color="auto"/>
      </w:divBdr>
      <w:divsChild>
        <w:div w:id="1473719436">
          <w:marLeft w:val="0"/>
          <w:marRight w:val="0"/>
          <w:marTop w:val="0"/>
          <w:marBottom w:val="0"/>
          <w:divBdr>
            <w:top w:val="none" w:sz="0" w:space="0" w:color="auto"/>
            <w:left w:val="none" w:sz="0" w:space="0" w:color="auto"/>
            <w:bottom w:val="none" w:sz="0" w:space="0" w:color="auto"/>
            <w:right w:val="none" w:sz="0" w:space="0" w:color="auto"/>
          </w:divBdr>
          <w:divsChild>
            <w:div w:id="41151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7.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eur-lex.europa.eu/legal-content/EN/TXT/HTML/?uri=CELEX:32014D0276&amp;from=EN" TargetMode="External"/><Relationship Id="rId10" Type="http://schemas.openxmlformats.org/officeDocument/2006/relationships/image" Target="media/image3.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image" Target="media/image8.png"/></Relationships>
</file>

<file path=word/_rels/footer3.xml.rels><?xml version="1.0" encoding="UTF-8" standalone="yes"?>
<Relationships xmlns="http://schemas.openxmlformats.org/package/2006/relationships"><Relationship Id="rId2" Type="http://schemas.openxmlformats.org/officeDocument/2006/relationships/hyperlink" Target="mailto:cnect-rsc@ec.europa.eu" TargetMode="External"/><Relationship Id="rId1" Type="http://schemas.openxmlformats.org/officeDocument/2006/relationships/hyperlink" Target="mailto:"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ec.europa.eu/transport/sites/transport/files/com20160766_en.pdf" TargetMode="External"/><Relationship Id="rId3" Type="http://schemas.openxmlformats.org/officeDocument/2006/relationships/hyperlink" Target="https://5g-ppp.eu/wp-content/uploads/2015/02/5G-Vision-Brochure-v1.pdf" TargetMode="External"/><Relationship Id="rId7" Type="http://schemas.openxmlformats.org/officeDocument/2006/relationships/hyperlink" Target="http://ec.europa.eu/newsroom/dae/document.cfm?action=display&amp;doc_id=16579" TargetMode="External"/><Relationship Id="rId2" Type="http://schemas.openxmlformats.org/officeDocument/2006/relationships/hyperlink" Target="https://5g-ppp.eu/" TargetMode="External"/><Relationship Id="rId1" Type="http://schemas.openxmlformats.org/officeDocument/2006/relationships/hyperlink" Target="https://www.itu.int/dms_pubrec/itu-r/rec/m/R-REC-M.2083-0-201509-I!!PDF-E.pdf" TargetMode="External"/><Relationship Id="rId6" Type="http://schemas.openxmlformats.org/officeDocument/2006/relationships/hyperlink" Target="https://ec.europa.eu/digital-single-market/en/5g-europe-action-plan" TargetMode="External"/><Relationship Id="rId5" Type="http://schemas.openxmlformats.org/officeDocument/2006/relationships/hyperlink" Target="https://ec.europa.eu/digital-single-market/en/digitising-european-industry" TargetMode="External"/><Relationship Id="rId4" Type="http://schemas.openxmlformats.org/officeDocument/2006/relationships/hyperlink" Target="https://5g-ppp.eu/wp-content/uploads/2016/02/BROCHURE_5PPP_BAT2_PL.pdf" TargetMode="External"/><Relationship Id="rId9" Type="http://schemas.openxmlformats.org/officeDocument/2006/relationships/hyperlink" Target="https://www.fcc.gov/document/spectrum-frontiers-ro-and-fnpr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ris\AppData\Local\Temp\Standard%20format%20-%20CEPT%20Report_June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D6BF8-2952-4CF8-A30A-8903A2C15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CEPT Report_June_2012</Template>
  <TotalTime>1</TotalTime>
  <Pages>44</Pages>
  <Words>14057</Words>
  <Characters>85752</Characters>
  <Application>Microsoft Office Word</Application>
  <DocSecurity>0</DocSecurity>
  <Lines>714</Lines>
  <Paragraphs>199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New ECC Report Style</vt:lpstr>
      <vt:lpstr>New ECC Report Style</vt:lpstr>
      <vt:lpstr>New ECC Report Style</vt:lpstr>
    </vt:vector>
  </TitlesOfParts>
  <Company>ECO</Company>
  <LinksUpToDate>false</LinksUpToDate>
  <CharactersWithSpaces>99610</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Portugal</dc:creator>
  <dc:description>This template is used as guidance to draft ECC Reports.</dc:description>
  <cp:lastModifiedBy>Anne-Dorthe Hjelm Christensen</cp:lastModifiedBy>
  <cp:revision>3</cp:revision>
  <cp:lastPrinted>2011-06-06T14:43:00Z</cp:lastPrinted>
  <dcterms:created xsi:type="dcterms:W3CDTF">2018-07-09T07:42:00Z</dcterms:created>
  <dcterms:modified xsi:type="dcterms:W3CDTF">2018-07-09T07:43:00Z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1522917698</vt:lpwstr>
  </property>
</Properties>
</file>