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6DF" w:rsidRPr="00756DA5" w:rsidRDefault="00926184" w:rsidP="006365BB">
      <w:pPr>
        <w:rPr>
          <w:rFonts w:cs="Arial"/>
          <w:lang w:val="en-GB"/>
        </w:rPr>
      </w:pPr>
      <w:bookmarkStart w:id="0" w:name="_GoBack"/>
      <w:bookmarkEnd w:id="0"/>
      <w:r w:rsidRPr="006365BB">
        <w:rPr>
          <w:rFonts w:cs="Arial"/>
          <w:noProof/>
          <w:lang w:val="da-DK" w:eastAsia="da-DK"/>
        </w:rPr>
        <w:drawing>
          <wp:anchor distT="0" distB="0" distL="114300" distR="114300" simplePos="0" relativeHeight="251659264" behindDoc="0" locked="0" layoutInCell="1" allowOverlap="1" wp14:anchorId="585AC666" wp14:editId="2D7A2893">
            <wp:simplePos x="0" y="0"/>
            <wp:positionH relativeFrom="page">
              <wp:posOffset>5827616</wp:posOffset>
            </wp:positionH>
            <wp:positionV relativeFrom="page">
              <wp:posOffset>594995</wp:posOffset>
            </wp:positionV>
            <wp:extent cx="1461770" cy="546100"/>
            <wp:effectExtent l="0" t="0" r="5080" b="6350"/>
            <wp:wrapNone/>
            <wp:docPr id="21" name="Picture 21"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9"/>
                    <a:srcRect/>
                    <a:stretch>
                      <a:fillRect/>
                    </a:stretch>
                  </pic:blipFill>
                  <pic:spPr bwMode="auto">
                    <a:xfrm>
                      <a:off x="0" y="0"/>
                      <a:ext cx="1461770" cy="546100"/>
                    </a:xfrm>
                    <a:prstGeom prst="rect">
                      <a:avLst/>
                    </a:prstGeom>
                    <a:noFill/>
                  </pic:spPr>
                </pic:pic>
              </a:graphicData>
            </a:graphic>
          </wp:anchor>
        </w:drawing>
      </w:r>
      <w:r w:rsidR="006365BB" w:rsidRPr="006365BB">
        <w:rPr>
          <w:rFonts w:cs="Arial"/>
          <w:noProof/>
          <w:lang w:val="da-DK" w:eastAsia="da-DK"/>
        </w:rPr>
        <w:drawing>
          <wp:anchor distT="0" distB="0" distL="114300" distR="114300" simplePos="0" relativeHeight="251658240" behindDoc="0" locked="0" layoutInCell="1" allowOverlap="1" wp14:anchorId="427349FF" wp14:editId="5BEA971F">
            <wp:simplePos x="0" y="0"/>
            <wp:positionH relativeFrom="page">
              <wp:posOffset>833120</wp:posOffset>
            </wp:positionH>
            <wp:positionV relativeFrom="page">
              <wp:posOffset>382270</wp:posOffset>
            </wp:positionV>
            <wp:extent cx="1075459" cy="1075459"/>
            <wp:effectExtent l="0" t="0" r="0" b="0"/>
            <wp:wrapNone/>
            <wp:docPr id="22" name="Picture 22"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10"/>
                    <a:srcRect/>
                    <a:stretch>
                      <a:fillRect/>
                    </a:stretch>
                  </pic:blipFill>
                  <pic:spPr bwMode="auto">
                    <a:xfrm>
                      <a:off x="0" y="0"/>
                      <a:ext cx="1075459" cy="1075459"/>
                    </a:xfrm>
                    <a:prstGeom prst="rect">
                      <a:avLst/>
                    </a:prstGeom>
                    <a:noFill/>
                  </pic:spPr>
                </pic:pic>
              </a:graphicData>
            </a:graphic>
            <wp14:sizeRelH relativeFrom="margin">
              <wp14:pctWidth>0</wp14:pctWidth>
            </wp14:sizeRelH>
            <wp14:sizeRelV relativeFrom="margin">
              <wp14:pctHeight>0</wp14:pctHeight>
            </wp14:sizeRelV>
          </wp:anchor>
        </w:drawing>
      </w:r>
    </w:p>
    <w:p w:rsidR="00AB46DF" w:rsidRPr="00756DA5" w:rsidRDefault="00AB46DF" w:rsidP="00AB46DF">
      <w:pPr>
        <w:jc w:val="center"/>
        <w:rPr>
          <w:rFonts w:cs="Arial"/>
          <w:lang w:val="en-GB"/>
        </w:rPr>
      </w:pPr>
    </w:p>
    <w:p w:rsidR="00AB46DF" w:rsidRPr="00756DA5" w:rsidRDefault="00AB46DF" w:rsidP="00AB46DF">
      <w:pPr>
        <w:jc w:val="center"/>
        <w:rPr>
          <w:rFonts w:cs="Arial"/>
          <w:lang w:val="en-GB"/>
        </w:rPr>
      </w:pPr>
    </w:p>
    <w:p w:rsidR="00AB46DF" w:rsidRPr="00756DA5" w:rsidRDefault="00AB46DF" w:rsidP="00AB46DF">
      <w:pPr>
        <w:rPr>
          <w:rFonts w:cs="Arial"/>
          <w:lang w:val="en-GB"/>
        </w:rPr>
      </w:pPr>
    </w:p>
    <w:p w:rsidR="00AB46DF" w:rsidRPr="00756DA5" w:rsidRDefault="00AB46DF" w:rsidP="00AB46DF">
      <w:pPr>
        <w:rPr>
          <w:rFonts w:cs="Arial"/>
          <w:lang w:val="en-GB"/>
        </w:rPr>
      </w:pPr>
    </w:p>
    <w:p w:rsidR="00AB46DF" w:rsidRPr="00756DA5" w:rsidRDefault="00D20E3B" w:rsidP="00AB46DF">
      <w:pPr>
        <w:jc w:val="center"/>
        <w:rPr>
          <w:rFonts w:cs="Arial"/>
          <w:b/>
          <w:sz w:val="24"/>
          <w:lang w:val="en-GB"/>
        </w:rPr>
      </w:pPr>
      <w:r w:rsidRPr="00756DA5">
        <w:rPr>
          <w:rFonts w:cs="Arial"/>
          <w:b/>
          <w:noProof/>
          <w:sz w:val="24"/>
          <w:szCs w:val="20"/>
          <w:lang w:val="da-DK" w:eastAsia="da-DK"/>
        </w:rPr>
        <mc:AlternateContent>
          <mc:Choice Requires="wpg">
            <w:drawing>
              <wp:anchor distT="0" distB="0" distL="114300" distR="114300" simplePos="0" relativeHeight="251657216" behindDoc="0" locked="0" layoutInCell="1" allowOverlap="1" wp14:anchorId="4353465C" wp14:editId="6CBF087E">
                <wp:simplePos x="0" y="0"/>
                <wp:positionH relativeFrom="column">
                  <wp:posOffset>-720090</wp:posOffset>
                </wp:positionH>
                <wp:positionV relativeFrom="paragraph">
                  <wp:posOffset>74820</wp:posOffset>
                </wp:positionV>
                <wp:extent cx="7586980" cy="8268970"/>
                <wp:effectExtent l="0" t="0" r="0" b="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6980" cy="8268970"/>
                          <a:chOff x="6" y="2700"/>
                          <a:chExt cx="11948" cy="13022"/>
                        </a:xfrm>
                      </wpg:grpSpPr>
                      <wps:wsp>
                        <wps:cNvPr id="8"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Text Box 25"/>
                        <wps:cNvSpPr txBox="1">
                          <a:spLocks noChangeArrowheads="1"/>
                        </wps:cNvSpPr>
                        <wps:spPr bwMode="auto">
                          <a:xfrm>
                            <a:off x="48"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36B4" w:rsidRPr="00FE1795" w:rsidRDefault="000536B4" w:rsidP="00AB46DF">
                              <w:pPr>
                                <w:rPr>
                                  <w:color w:val="57433E"/>
                                  <w:sz w:val="68"/>
                                </w:rPr>
                              </w:pPr>
                              <w:r w:rsidRPr="00FE1795">
                                <w:rPr>
                                  <w:color w:val="FFFFFF"/>
                                  <w:sz w:val="68"/>
                                </w:rPr>
                                <w:t xml:space="preserve">CEPT Report </w:t>
                              </w:r>
                              <w:r>
                                <w:rPr>
                                  <w:color w:val="FFFFFF"/>
                                  <w:sz w:val="68"/>
                                </w:rPr>
                                <w:t>66</w:t>
                              </w:r>
                            </w:p>
                          </w:txbxContent>
                        </wps:txbx>
                        <wps:bodyPr rot="0" vert="horz" wrap="square" lIns="2880000" tIns="540000" rIns="72000" bIns="45720" anchor="t" anchorCtr="0" upright="1">
                          <a:noAutofit/>
                        </wps:bodyPr>
                      </wps:wsp>
                      <wpg:grpSp>
                        <wpg:cNvPr id="10" name="Group 36"/>
                        <wpg:cNvGrpSpPr>
                          <a:grpSpLocks/>
                        </wpg:cNvGrpSpPr>
                        <wpg:grpSpPr bwMode="auto">
                          <a:xfrm>
                            <a:off x="1304" y="2744"/>
                            <a:ext cx="2683" cy="2464"/>
                            <a:chOff x="1304" y="2744"/>
                            <a:chExt cx="2683" cy="2464"/>
                          </a:xfrm>
                        </wpg:grpSpPr>
                        <wps:wsp>
                          <wps:cNvPr id="11"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2"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3"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4"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5"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56.7pt;margin-top:5.9pt;width:597.4pt;height:651.1pt;z-index:251657216" coordorigin="6,2700" coordsize="11948,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3dt7AQAAGkXAAAOAAAAZHJzL2Uyb0RvYy54bWzsWG1vozgQ/n7S/QeL7ylgDAHUdNXmpXdS&#10;b7e63fsBDpCADjBnaJPu6f77jceGJk2j63W7rVZqKyU4fmH8zDPzjH36YVuV5DaTbSHqieWeOBbJ&#10;6kSkRb2eWH98WYxCi7Qdr1NeijqbWHdZa304+/mn000TZ1TkokwzSWCRuo03zcTKu66JbbtN8qzi&#10;7Ylosho6V0JWvIOmXNup5BtYvSpt6jiBvREybaRIsraFX2e60zrD9VerLOk+rVZt1pFyYoFtHX5K&#10;/FyqT/vslMdryZu8SIwZ/BlWVLyo4aXDUjPecXIji4OlqiKRohWr7iQRlS1WqyLJcA+wG9d5sJtL&#10;KW4a3Ms63qybASaA9gFOz142+Xh7LUmRTqyxRWpegYvwrcQbK2w2zTqGIZey+dxcS71BeLwSyZ8t&#10;dNsP+1V7rQeT5eY3kcJ6/KYTiM12JSu1BOyabNEFd4MLsm1HEvhx7IdBFIKnEugLaRBGY+OkJAdP&#10;qnmBRaCPjp2hY24mu27EgG9qqus5lKod2DzW70VbjW1qY8C39h7S9tsg/ZzzJkNPtQovAynYoiH9&#10;HXjI63WZEco0rDisx7TVgJJaTHMYlp1LKTZ5xlOwysVNKHNhXT1BNVpwx38irJFyfeZFahUe9ygD&#10;UA50KqBo6O3BxONGtt1lJiqiHiaWBNvRffz2qu00ov0QtWYryiJdFGWJDbleTktJbjnEW0jVv1l9&#10;b1hZq8G1UNP0ivoXsA/e0VuK8fN35FLmXNBotAjC8YgtmD8CToQjx40uosBhEZst/lEGuizOizTN&#10;6quizvpYdtnTHGuyio5CjGaymViRT33c+5717e4mHfx7bJNV0UFqK4sKkBgG8Vj5dV6n6I+OF6V+&#10;tvfNR94CGv03ogIM1o7X9F2K9A5IIAU4CQIGkjA85EJ+tcgGEtrEav+64TKzSPlrDUSKXMZUBsSG&#10;z5RFFpHYGkMmhcYSG8yHpkV4ncBaE6vrH6edTps3jSzWObzKRWRqcQ7xvSqQGcpAbRbmBgyxV4q1&#10;qI+1L4rkF2JLwHUA8k7kkG4Lv/eGf6+gUxloLz89FnR+gHlgSE7vUefYP0bUddvl1tDqfwYgDTEN&#10;vFEIGl1WAYGSbiTKhVDfk/1AB833k31QZmYihGEQ3MsSyL1nVInpAOHxIPuPzEvyuVH+w5lDaL2B&#10;7rtuDypKkYeFiklE0/paGv4c13Cd1FWJoxKz0kNTM1HXM+klYOipe/BcQBUrn2DQ3L7g6uXaKHoJ&#10;+oiLHlH0QZd5XNZKBqFa8I0dx4VwRqlHzx8TQqhijd4d0z54jxH9Q/l3onk4D9mI0WA+Ys5sNjpf&#10;TNkoWLhjf+bNptOZuy//qqj4dvlX9gxA7KizrnSAXU9SZ/A0qjaUmq+kgy7d5x7Wj8/nHlmVRfNL&#10;r5mGhVBJwGkBRA6+Q+XxXRZ6QH7FQyT9EIUHAvdOwoNj4GEN+sOSENK4VhWdAPEQ8MIk9CgUeIqE&#10;XuDjEWaHhCYT+j6WgK9NwgX+vWdCqVOeLpPeIBOCIO6SEEnywiSk6miNJPTh0LSfCf3hLsJQ4VXl&#10;+J2EjxyW34CEkKN2Sbh7/fOkUlBJQF/8BXAXps+WDytno7nUgyO+2mR/6fUSshuEvq5Bj9d+x296&#10;3ms/dc2IVeBwAsMTCdznop/M3bO6MN5t44z7G/KzfwEAAP//AwBQSwMEFAAGAAgAAAAhAE2cY1nh&#10;AAAADQEAAA8AAABkcnMvZG93bnJldi54bWxMj0FrwzAMhe+D/QejwW6t46UbJYtTStl2KoO1g7Gb&#10;G6tJaCyH2E3Sfz/1tN4kvcfT9/LV5FoxYB8aTxrUPAGBVHrbUKXhe/8+W4II0ZA1rSfUcMEAq+L+&#10;LjeZ9SN94bCLleAQCpnRUMfYZVKGskZnwtx3SKwdfe9M5LWvpO3NyOGulU9J8iKdaYg/1KbDTY3l&#10;aXd2Gj5GM65T9TZsT8fN5Xf//PmzVaj148O0fgURcYr/ZrjiMzoUzHTwZ7JBtBpmSqUL9rKiuMPV&#10;kSwVXw48pWqRgCxyedui+AMAAP//AwBQSwECLQAUAAYACAAAACEAtoM4kv4AAADhAQAAEwAAAAAA&#10;AAAAAAAAAAAAAAAAW0NvbnRlbnRfVHlwZXNdLnhtbFBLAQItABQABgAIAAAAIQA4/SH/1gAAAJQB&#10;AAALAAAAAAAAAAAAAAAAAC8BAABfcmVscy8ucmVsc1BLAQItABQABgAIAAAAIQBOU3dt7AQAAGkX&#10;AAAOAAAAAAAAAAAAAAAAAC4CAABkcnMvZTJvRG9jLnhtbFBLAQItABQABgAIAAAAIQBNnGNZ4QAA&#10;AA0BAAAPAAAAAAAAAAAAAAAAAEYHAABkcnMvZG93bnJldi54bWxQSwUGAAAAAAQABADzAAAAVAgA&#10;AAAA&#10;">
                <v:rect id="Rectangle 24"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F2PL8A&#10;AADaAAAADwAAAGRycy9kb3ducmV2LnhtbERPy2rCQBTdC/7DcAvdiJlUtJbUUaRScFdrdH87c5uE&#10;Zu6EzJjH33cWgsvDeW92g61FR62vHCt4SVIQxNqZigsFl/xz/gbCB2SDtWNSMJKH3XY62WBmXM/f&#10;1J1DIWII+wwVlCE0mZRel2TRJ64hjtyvay2GCNtCmhb7GG5ruUjTV2mx4thQYkMfJem/880qWKy+&#10;Zqf1qG8HfaVuaUJOP8NBqeenYf8OItAQHuK7+2gUxK3xSrwBcvs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AXY8vwAAANoAAAAPAAAAAAAAAAAAAAAAAJgCAABkcnMvZG93bnJl&#10;di54bWxQSwUGAAAAAAQABAD1AAAAhAM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left:48;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oa8sEA&#10;AADaAAAADwAAAGRycy9kb3ducmV2LnhtbESPT4vCMBTE74LfITxhb5rqobjVtKiw4EFY/+H50Tzb&#10;avNSmmzt7qc3grDHYWZ+wyyz3tSio9ZVlhVMJxEI4tzqigsF59PXeA7CeWSNtWVS8EsOsnQ4WGKi&#10;7YMP1B19IQKEXYIKSu+bREqXl2TQTWxDHLyrbQ36INtC6hYfAW5qOYuiWBqsOCyU2NCmpPx+/DEK&#10;bsjx2Zy+uwvNdmYd21Vt//ZKfYz61QKEp97/h9/trVbwCa8r4QbI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aGvLBAAAA2gAAAA8AAAAAAAAAAAAAAAAAmAIAAGRycy9kb3du&#10;cmV2LnhtbFBLBQYAAAAABAAEAPUAAACGAwAAAAA=&#10;" fillcolor="#828282" stroked="f">
                  <v:textbox inset="80mm,15mm,2mm">
                    <w:txbxContent>
                      <w:p w:rsidR="000536B4" w:rsidRPr="00FE1795" w:rsidRDefault="000536B4" w:rsidP="00AB46DF">
                        <w:pPr>
                          <w:rPr>
                            <w:color w:val="57433E"/>
                            <w:sz w:val="68"/>
                          </w:rPr>
                        </w:pPr>
                        <w:r w:rsidRPr="00FE1795">
                          <w:rPr>
                            <w:color w:val="FFFFFF"/>
                            <w:sz w:val="68"/>
                          </w:rPr>
                          <w:t xml:space="preserve">CEPT Report </w:t>
                        </w:r>
                        <w:r>
                          <w:rPr>
                            <w:color w:val="FFFFFF"/>
                            <w:sz w:val="68"/>
                          </w:rPr>
                          <w:t>66</w:t>
                        </w:r>
                      </w:p>
                    </w:txbxContent>
                  </v:textbox>
                </v:shape>
                <v:group id="Group 36" o:spid="_x0000_s1029"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30" o:spid="_x0000_s1030"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akJMIAAADbAAAADwAAAGRycy9kb3ducmV2LnhtbERPTWvCQBC9C/6HZYTedBNLQ0xdRaSh&#10;rfRSbfE6ZKdJMDsbdldN/323IHibx/uc5XownbiQ861lBeksAUFcWd1yreDrUE5zED4ga+wsk4Jf&#10;8rBejUdLLLS98idd9qEWMYR9gQqaEPpCSl81ZNDPbE8cuR/rDIYIXS21w2sMN52cJ0kmDbYcGxrs&#10;adtQddqfjYLX/OMlO1aLdocuy7/L8/tx9/ik1MNk2DyDCDSEu/jmftNxfgr/v8Q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KakJMIAAADbAAAADwAAAAAAAAAAAAAA&#10;AAChAgAAZHJzL2Rvd25yZXYueG1sUEsFBgAAAAAEAAQA+QAAAJADAAAAAA==&#10;" strokecolor="#d2232a" strokeweight="15pt"/>
                  <v:line id="Line 31" o:spid="_x0000_s1031"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tb4bwAAADbAAAADwAAAGRycy9kb3ducmV2LnhtbERPSwrCMBDdC94hjOBOUwVFqlFEEHTl&#10;f+FubMa22kxKE7Xe3giCu3m870xmtSnEkyqXW1bQ60YgiBOrc04VHA/LzgiE88gaC8uk4E0OZtNm&#10;Y4Kxti/e0XPvUxFC2MWoIPO+jKV0SUYGXdeWxIG72sqgD7BKpa7wFcJNIftRNJQGcw4NGZa0yCi5&#10;7x9GAV3odLsS4XYwPA9M+pbrpdso1W7V8zEIT7X/i3/ulQ7z+/D9JRwgpx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Whtb4bwAAADbAAAADwAAAAAAAAAAAAAAAAChAgAA&#10;ZHJzL2Rvd25yZXYueG1sUEsFBgAAAAAEAAQA+QAAAIoDAAAAAA==&#10;" strokecolor="#d2232a" strokeweight="15pt"/>
                  <v:line id="Line 32" o:spid="_x0000_s1032" style="position:absolute;rotation:-45;flip:x;visibility:visible;mso-wrap-style:squar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OEGsMAAADbAAAADwAAAGRycy9kb3ducmV2LnhtbERPTWvCQBC9C/0PyxR6EbOxQikxq1ih&#10;pR4KRkU8DtkxCc3OprtrjP++KxR6m8f7nHw5mFb05HxjWcE0SUEQl1Y3XCk47N8nryB8QNbYWiYF&#10;N/KwXDyMcsy0vXJB/S5UIoawz1BBHUKXSenLmgz6xHbEkTtbZzBE6CqpHV5juGnlc5q+SIMNx4Ya&#10;O1rXVH7vLkbBxf2g+xi/4XF7XIX2NCs2/Veh1NPjsJqDCDSEf/Gf+1PH+TO4/xIP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DhBrDAAAA2wAAAA8AAAAAAAAAAAAA&#10;AAAAoQIAAGRycy9kb3ducmV2LnhtbFBLBQYAAAAABAAEAPkAAACRAwAAAAA=&#10;" strokecolor="white" strokeweight="15pt"/>
                  <v:line id="Line 33" o:spid="_x0000_s1033" style="position:absolute;rotation:-45;flip:x;visibility:visible;mso-wrap-style:squar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ocbsIAAADbAAAADwAAAGRycy9kb3ducmV2LnhtbERPS2vCQBC+F/wPywi9FN30gUh0FRUU&#10;PRQaFfE4ZMckmJ1Nd9eY/nu3UOhtPr7nTOedqUVLzleWFbwOExDEudUVFwqOh/VgDMIHZI21ZVLw&#10;Qx7ms97TFFNt75xRuw+FiCHsU1RQhtCkUvq8JIN+aBviyF2sMxgidIXUDu8x3NTyLUlG0mDFsaHE&#10;hlYl5df9zSi4uW90m5clnr5Oi1Cf37Nd+5kp9dzvFhMQgbrwL/5zb3Wc/wG/v8Q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OocbsIAAADbAAAADwAAAAAAAAAAAAAA&#10;AAChAgAAZHJzL2Rvd25yZXYueG1sUEsFBgAAAAAEAAQA+QAAAJADAAAAAA==&#10;" strokecolor="white" strokeweight="15pt"/>
                  <v:line id="Line 34" o:spid="_x0000_s1034"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8cIAAADbAAAADwAAAGRycy9kb3ducmV2LnhtbERPTWvCQBC9F/wPywje6sYWi02zESlY&#10;FNpDovQ8ZKfZYHY2ZtcY/323UPA2j/c52Xq0rRio941jBYt5AoK4crrhWsHxsH1cgfABWWPrmBTc&#10;yMM6nzxkmGp35YKGMtQihrBPUYEJoUul9JUhi37uOuLI/bjeYoiwr6Xu8RrDbSufkuRFWmw4Nhjs&#10;6N1QdSovVsH+9VIcvszz8rz4/uiGIsHtZ3FWajYdN28gAo3hLv5373Scv4S/X+IBMv8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8cIAAADbAAAADwAAAAAAAAAAAAAA&#10;AAChAgAAZHJzL2Rvd25yZXYueG1sUEsFBgAAAAAEAAQA+QAAAJADAAAAAA==&#10;" strokecolor="#828282" strokeweight="15.5pt"/>
                </v:group>
              </v:group>
            </w:pict>
          </mc:Fallback>
        </mc:AlternateContent>
      </w:r>
    </w:p>
    <w:p w:rsidR="00AB46DF" w:rsidRPr="00756DA5" w:rsidRDefault="00AB46DF" w:rsidP="00AB46DF">
      <w:pPr>
        <w:jc w:val="center"/>
        <w:rPr>
          <w:rFonts w:cs="Arial"/>
          <w:b/>
          <w:sz w:val="24"/>
          <w:lang w:val="en-GB"/>
        </w:rPr>
      </w:pPr>
    </w:p>
    <w:p w:rsidR="00AB46DF" w:rsidRPr="00756DA5" w:rsidRDefault="00AB46DF" w:rsidP="00AB46DF">
      <w:pPr>
        <w:jc w:val="center"/>
        <w:rPr>
          <w:rFonts w:cs="Arial"/>
          <w:b/>
          <w:sz w:val="24"/>
          <w:lang w:val="en-GB"/>
        </w:rPr>
      </w:pPr>
    </w:p>
    <w:p w:rsidR="00AB46DF" w:rsidRPr="00756DA5" w:rsidRDefault="00AB46DF" w:rsidP="00AB46DF">
      <w:pPr>
        <w:jc w:val="center"/>
        <w:rPr>
          <w:rFonts w:cs="Arial"/>
          <w:b/>
          <w:sz w:val="24"/>
          <w:lang w:val="en-GB"/>
        </w:rPr>
      </w:pPr>
    </w:p>
    <w:p w:rsidR="00AB46DF" w:rsidRPr="00756DA5" w:rsidRDefault="00AB46DF" w:rsidP="00AB46DF">
      <w:pPr>
        <w:jc w:val="center"/>
        <w:rPr>
          <w:rFonts w:cs="Arial"/>
          <w:b/>
          <w:sz w:val="24"/>
          <w:lang w:val="en-GB"/>
        </w:rPr>
      </w:pPr>
    </w:p>
    <w:p w:rsidR="00AB46DF" w:rsidRPr="00756DA5" w:rsidRDefault="00AB46DF" w:rsidP="00AB46DF">
      <w:pPr>
        <w:jc w:val="center"/>
        <w:rPr>
          <w:rFonts w:cs="Arial"/>
          <w:b/>
          <w:sz w:val="24"/>
          <w:lang w:val="en-GB"/>
        </w:rPr>
      </w:pPr>
    </w:p>
    <w:p w:rsidR="00AB46DF" w:rsidRPr="00756DA5" w:rsidRDefault="00AB46DF" w:rsidP="00AB46DF">
      <w:pPr>
        <w:jc w:val="center"/>
        <w:rPr>
          <w:rFonts w:cs="Arial"/>
          <w:b/>
          <w:sz w:val="24"/>
          <w:lang w:val="en-GB"/>
        </w:rPr>
      </w:pPr>
    </w:p>
    <w:p w:rsidR="00AB46DF" w:rsidRPr="00756DA5" w:rsidRDefault="00AB46DF" w:rsidP="00AB46DF">
      <w:pPr>
        <w:jc w:val="center"/>
        <w:rPr>
          <w:rFonts w:cs="Arial"/>
          <w:b/>
          <w:sz w:val="24"/>
          <w:lang w:val="en-GB"/>
        </w:rPr>
      </w:pPr>
    </w:p>
    <w:p w:rsidR="00AB46DF" w:rsidRPr="00756DA5" w:rsidRDefault="00AB46DF" w:rsidP="00AB46DF">
      <w:pPr>
        <w:jc w:val="center"/>
        <w:rPr>
          <w:rFonts w:cs="Arial"/>
          <w:b/>
          <w:sz w:val="24"/>
          <w:lang w:val="en-GB"/>
        </w:rPr>
      </w:pPr>
    </w:p>
    <w:p w:rsidR="00AB46DF" w:rsidRPr="00756DA5" w:rsidRDefault="00AB46DF" w:rsidP="00AB46DF">
      <w:pPr>
        <w:jc w:val="center"/>
        <w:rPr>
          <w:rFonts w:cs="Arial"/>
          <w:b/>
          <w:sz w:val="24"/>
          <w:lang w:val="en-GB"/>
        </w:rPr>
      </w:pPr>
    </w:p>
    <w:p w:rsidR="00AB46DF" w:rsidRPr="00756DA5" w:rsidRDefault="00AB46DF" w:rsidP="00AB46DF">
      <w:pPr>
        <w:jc w:val="center"/>
        <w:rPr>
          <w:rFonts w:cs="Arial"/>
          <w:b/>
          <w:sz w:val="24"/>
          <w:lang w:val="en-GB"/>
        </w:rPr>
      </w:pPr>
    </w:p>
    <w:p w:rsidR="00AB46DF" w:rsidRPr="00756DA5" w:rsidRDefault="00AB46DF" w:rsidP="00AB46DF">
      <w:pPr>
        <w:rPr>
          <w:rFonts w:cs="Arial"/>
          <w:b/>
          <w:sz w:val="24"/>
          <w:lang w:val="en-GB"/>
        </w:rPr>
      </w:pPr>
    </w:p>
    <w:p w:rsidR="00AB46DF" w:rsidRPr="00756DA5" w:rsidRDefault="00AB46DF" w:rsidP="00AB46DF">
      <w:pPr>
        <w:jc w:val="center"/>
        <w:rPr>
          <w:rFonts w:cs="Arial"/>
          <w:b/>
          <w:sz w:val="24"/>
          <w:lang w:val="en-GB"/>
        </w:rPr>
      </w:pPr>
    </w:p>
    <w:p w:rsidR="00AB46DF" w:rsidRPr="00756DA5" w:rsidRDefault="00DA360A" w:rsidP="00AB46DF">
      <w:pPr>
        <w:pStyle w:val="Reporttitledescription"/>
        <w:rPr>
          <w:rFonts w:cs="Arial"/>
          <w:lang w:val="en-GB"/>
        </w:rPr>
      </w:pPr>
      <w:r w:rsidRPr="00756DA5">
        <w:rPr>
          <w:rFonts w:cs="Arial"/>
          <w:lang w:val="en-GB"/>
        </w:rPr>
        <w:fldChar w:fldCharType="begin">
          <w:ffData>
            <w:name w:val="Text7"/>
            <w:enabled/>
            <w:calcOnExit w:val="0"/>
            <w:textInput>
              <w:default w:val="Report from CEPT to the European Commission in response to the Mandate"/>
            </w:textInput>
          </w:ffData>
        </w:fldChar>
      </w:r>
      <w:bookmarkStart w:id="1" w:name="Text7"/>
      <w:r w:rsidRPr="00756DA5">
        <w:rPr>
          <w:rFonts w:cs="Arial"/>
          <w:lang w:val="en-GB"/>
        </w:rPr>
        <w:instrText xml:space="preserve"> FORMTEXT </w:instrText>
      </w:r>
      <w:r w:rsidRPr="00756DA5">
        <w:rPr>
          <w:rFonts w:cs="Arial"/>
          <w:lang w:val="en-GB"/>
        </w:rPr>
      </w:r>
      <w:r w:rsidRPr="00756DA5">
        <w:rPr>
          <w:rFonts w:cs="Arial"/>
          <w:lang w:val="en-GB"/>
        </w:rPr>
        <w:fldChar w:fldCharType="separate"/>
      </w:r>
      <w:r w:rsidRPr="00756DA5">
        <w:rPr>
          <w:rFonts w:cs="Arial"/>
          <w:noProof/>
          <w:lang w:val="en-GB"/>
        </w:rPr>
        <w:t>Report from CEPT to the European Commission in response to the Mandate</w:t>
      </w:r>
      <w:r w:rsidRPr="00756DA5">
        <w:rPr>
          <w:rFonts w:cs="Arial"/>
          <w:lang w:val="en-GB"/>
        </w:rPr>
        <w:fldChar w:fldCharType="end"/>
      </w:r>
      <w:bookmarkEnd w:id="1"/>
      <w:r w:rsidR="003C3EE4" w:rsidRPr="00756DA5">
        <w:rPr>
          <w:rFonts w:cs="Arial"/>
          <w:lang w:val="en-GB"/>
        </w:rPr>
        <w:t xml:space="preserve"> </w:t>
      </w:r>
    </w:p>
    <w:p w:rsidR="006F5883" w:rsidRPr="00756DA5" w:rsidRDefault="00DA360A" w:rsidP="00AB46DF">
      <w:pPr>
        <w:pStyle w:val="Reporttitledescription"/>
        <w:rPr>
          <w:rFonts w:cs="Arial"/>
          <w:lang w:val="en-GB"/>
        </w:rPr>
      </w:pPr>
      <w:r w:rsidRPr="00756DA5">
        <w:rPr>
          <w:rFonts w:cs="Arial"/>
          <w:lang w:val="en-GB"/>
        </w:rPr>
        <w:t>“to review the harmonised technical conditions for use of the 900 MHz and 1800 MHz frequency bands for terrestrial wireless broadband electronic communications services in support of the Internet of Things in the Union”</w:t>
      </w:r>
    </w:p>
    <w:p w:rsidR="006F5883" w:rsidRPr="00756DA5" w:rsidRDefault="006F5883" w:rsidP="00AB46DF">
      <w:pPr>
        <w:pStyle w:val="Reporttitledescription"/>
        <w:rPr>
          <w:rFonts w:cs="Arial"/>
          <w:lang w:val="en-GB"/>
        </w:rPr>
      </w:pPr>
    </w:p>
    <w:p w:rsidR="00AB46DF" w:rsidRDefault="001820F3" w:rsidP="00AB46DF">
      <w:pPr>
        <w:pStyle w:val="Reporttitledescription"/>
        <w:rPr>
          <w:rFonts w:cs="Arial"/>
          <w:b/>
          <w:sz w:val="18"/>
          <w:lang w:val="en-GB"/>
        </w:rPr>
      </w:pPr>
      <w:r>
        <w:rPr>
          <w:rFonts w:cs="Arial"/>
          <w:b/>
          <w:sz w:val="18"/>
          <w:lang w:val="en-GB"/>
        </w:rPr>
        <w:fldChar w:fldCharType="begin">
          <w:ffData>
            <w:name w:val="Text8"/>
            <w:enabled/>
            <w:calcOnExit w:val="0"/>
            <w:textInput>
              <w:default w:val="Report approved on 02 March 2018 by the ECC"/>
            </w:textInput>
          </w:ffData>
        </w:fldChar>
      </w:r>
      <w:r>
        <w:rPr>
          <w:rFonts w:cs="Arial"/>
          <w:b/>
          <w:sz w:val="18"/>
          <w:lang w:val="en-GB"/>
        </w:rPr>
        <w:instrText xml:space="preserve"> </w:instrText>
      </w:r>
      <w:bookmarkStart w:id="2" w:name="Text8"/>
      <w:r>
        <w:rPr>
          <w:rFonts w:cs="Arial"/>
          <w:b/>
          <w:sz w:val="18"/>
          <w:lang w:val="en-GB"/>
        </w:rPr>
        <w:instrText xml:space="preserve">FORMTEXT </w:instrText>
      </w:r>
      <w:r>
        <w:rPr>
          <w:rFonts w:cs="Arial"/>
          <w:b/>
          <w:sz w:val="18"/>
          <w:lang w:val="en-GB"/>
        </w:rPr>
      </w:r>
      <w:r>
        <w:rPr>
          <w:rFonts w:cs="Arial"/>
          <w:b/>
          <w:sz w:val="18"/>
          <w:lang w:val="en-GB"/>
        </w:rPr>
        <w:fldChar w:fldCharType="separate"/>
      </w:r>
      <w:r>
        <w:rPr>
          <w:rFonts w:cs="Arial"/>
          <w:b/>
          <w:noProof/>
          <w:sz w:val="18"/>
          <w:lang w:val="en-GB"/>
        </w:rPr>
        <w:t>Report approved on 02 March 2018 by the ECC</w:t>
      </w:r>
      <w:r>
        <w:rPr>
          <w:rFonts w:cs="Arial"/>
          <w:b/>
          <w:sz w:val="18"/>
          <w:lang w:val="en-GB"/>
        </w:rPr>
        <w:fldChar w:fldCharType="end"/>
      </w:r>
      <w:bookmarkEnd w:id="2"/>
    </w:p>
    <w:p w:rsidR="00AB46DF" w:rsidRPr="00756DA5" w:rsidRDefault="00AB46DF" w:rsidP="00AB46DF">
      <w:pPr>
        <w:pStyle w:val="Lastupdated"/>
        <w:rPr>
          <w:rFonts w:cs="Arial"/>
          <w:b/>
          <w:lang w:val="en-GB"/>
        </w:rPr>
      </w:pPr>
    </w:p>
    <w:p w:rsidR="00AB46DF" w:rsidRPr="00756DA5" w:rsidRDefault="00AB46DF">
      <w:pPr>
        <w:rPr>
          <w:rFonts w:cs="Arial"/>
          <w:lang w:val="en-GB"/>
        </w:rPr>
        <w:sectPr w:rsidR="00AB46DF" w:rsidRPr="00756DA5">
          <w:headerReference w:type="first" r:id="rId11"/>
          <w:pgSz w:w="11907" w:h="16840" w:code="9"/>
          <w:pgMar w:top="1440" w:right="1134" w:bottom="1440" w:left="1134" w:header="709" w:footer="709" w:gutter="0"/>
          <w:cols w:space="708"/>
          <w:titlePg/>
          <w:docGrid w:linePitch="360"/>
        </w:sectPr>
      </w:pPr>
    </w:p>
    <w:p w:rsidR="00AB46DF" w:rsidRPr="00756DA5" w:rsidRDefault="003C3EE4" w:rsidP="00AB46DF">
      <w:pPr>
        <w:pStyle w:val="Heading1"/>
      </w:pPr>
      <w:bookmarkStart w:id="3" w:name="_Toc508112831"/>
      <w:r w:rsidRPr="00756DA5">
        <w:lastRenderedPageBreak/>
        <w:t>Executive summary</w:t>
      </w:r>
      <w:bookmarkEnd w:id="3"/>
    </w:p>
    <w:p w:rsidR="008D0DD4" w:rsidRPr="00756DA5" w:rsidRDefault="008D0DD4" w:rsidP="008D0DD4">
      <w:pPr>
        <w:pStyle w:val="ECCParagraph"/>
      </w:pPr>
      <w:r w:rsidRPr="00756DA5">
        <w:t xml:space="preserve">This CEPT </w:t>
      </w:r>
      <w:r w:rsidR="00307D2B">
        <w:t>R</w:t>
      </w:r>
      <w:r w:rsidRPr="00756DA5">
        <w:t xml:space="preserve">eport responds to the EC mandate </w:t>
      </w:r>
      <w:r w:rsidR="00F648F4">
        <w:t xml:space="preserve">on </w:t>
      </w:r>
      <w:r w:rsidRPr="00756DA5">
        <w:t xml:space="preserve">900/1800 MHz and provides technical conditions for use of the 900 MHz and 1800 MHz frequency bands for terrestrial wireless broadband electronic communications services in support of the Internet of Things. </w:t>
      </w:r>
    </w:p>
    <w:p w:rsidR="008D0DD4" w:rsidRPr="00756DA5" w:rsidRDefault="008D0DD4" w:rsidP="008D0DD4">
      <w:pPr>
        <w:pStyle w:val="ECCParagraph"/>
      </w:pPr>
      <w:r w:rsidRPr="00756DA5">
        <w:t>CEPT studied and assessed the harmonised technical conditions applicable to the 880-915 MHz / 925-960 MHz and 1710-1785 MHz / 1</w:t>
      </w:r>
      <w:r w:rsidR="001F2CD7" w:rsidRPr="00756DA5">
        <w:t>805-1880 MHz frequency bands (</w:t>
      </w:r>
      <w:r w:rsidRPr="00756DA5">
        <w:t>EC D</w:t>
      </w:r>
      <w:r w:rsidR="001F2CD7" w:rsidRPr="00756DA5">
        <w:t>ecision</w:t>
      </w:r>
      <w:r w:rsidR="00180F3A" w:rsidRPr="00756DA5">
        <w:t xml:space="preserve"> 2011/251/UE</w:t>
      </w:r>
      <w:r w:rsidRPr="00756DA5">
        <w:t xml:space="preserve">) with </w:t>
      </w:r>
      <w:r w:rsidR="00756DA5" w:rsidRPr="00756DA5">
        <w:t xml:space="preserve">a </w:t>
      </w:r>
      <w:r w:rsidRPr="00756DA5">
        <w:t>view to their suitability for IoT applications.</w:t>
      </w:r>
    </w:p>
    <w:p w:rsidR="008D0DD4" w:rsidRPr="00756DA5" w:rsidRDefault="008D0DD4" w:rsidP="008D0DD4">
      <w:pPr>
        <w:pStyle w:val="ECCParagraph"/>
      </w:pPr>
      <w:r w:rsidRPr="00756DA5">
        <w:t>CEPT focused its work on the following technologies recently developed by standardisation</w:t>
      </w:r>
      <w:r w:rsidR="00F648F4">
        <w:t>:</w:t>
      </w:r>
      <w:r w:rsidRPr="00756DA5">
        <w:t xml:space="preserve"> </w:t>
      </w:r>
    </w:p>
    <w:p w:rsidR="008D0DD4" w:rsidRPr="00756DA5" w:rsidRDefault="008D0DD4" w:rsidP="00C67D2F">
      <w:pPr>
        <w:pStyle w:val="ECCBulletsLv1"/>
      </w:pPr>
      <w:r w:rsidRPr="00756DA5">
        <w:t>EC-GSM-IoT (Extended Coverage GSM IoT);</w:t>
      </w:r>
    </w:p>
    <w:p w:rsidR="008D0DD4" w:rsidRPr="00756DA5" w:rsidRDefault="00356B45" w:rsidP="00C67D2F">
      <w:pPr>
        <w:pStyle w:val="ECCBulletsLv1"/>
      </w:pPr>
      <w:r w:rsidRPr="00756DA5">
        <w:t xml:space="preserve">LTE MTC and </w:t>
      </w:r>
      <w:r w:rsidR="008D0DD4" w:rsidRPr="00756DA5">
        <w:t>LTE-eMTC (LTE evolved Machine Type Communication);</w:t>
      </w:r>
    </w:p>
    <w:p w:rsidR="00356B45" w:rsidRDefault="008D0DD4" w:rsidP="00C67D2F">
      <w:pPr>
        <w:pStyle w:val="ECCBulletsLv1"/>
      </w:pPr>
      <w:r w:rsidRPr="00756DA5">
        <w:t>NB-IoT (Narrowband IoT).</w:t>
      </w:r>
    </w:p>
    <w:p w:rsidR="00C67D2F" w:rsidRPr="00756DA5" w:rsidRDefault="00C67D2F" w:rsidP="00C67D2F">
      <w:pPr>
        <w:pStyle w:val="ECCBulletsLv1"/>
        <w:numPr>
          <w:ilvl w:val="0"/>
          <w:numId w:val="0"/>
        </w:numPr>
        <w:ind w:left="360"/>
      </w:pPr>
    </w:p>
    <w:p w:rsidR="008D0DD4" w:rsidRPr="00756DA5" w:rsidRDefault="008D0DD4" w:rsidP="008D0DD4">
      <w:pPr>
        <w:pStyle w:val="ECCParagraph"/>
      </w:pPr>
      <w:r w:rsidRPr="00756DA5">
        <w:t xml:space="preserve">CEPT </w:t>
      </w:r>
      <w:r w:rsidR="00756DA5" w:rsidRPr="00756DA5">
        <w:t xml:space="preserve">developed </w:t>
      </w:r>
      <w:r w:rsidRPr="00756DA5">
        <w:t>its analys</w:t>
      </w:r>
      <w:r w:rsidR="004B5A19" w:rsidRPr="00756DA5">
        <w:t>i</w:t>
      </w:r>
      <w:r w:rsidRPr="00756DA5">
        <w:t xml:space="preserve">s in this report on the basis of the ECC </w:t>
      </w:r>
      <w:r w:rsidR="00C111CB">
        <w:t>R</w:t>
      </w:r>
      <w:r w:rsidRPr="00756DA5">
        <w:t xml:space="preserve">eport 266 </w:t>
      </w:r>
      <w:r w:rsidR="00EF3479">
        <w:fldChar w:fldCharType="begin"/>
      </w:r>
      <w:r w:rsidR="00EF3479">
        <w:instrText xml:space="preserve"> REF _Ref491272265 \r \h </w:instrText>
      </w:r>
      <w:r w:rsidR="00EF3479">
        <w:fldChar w:fldCharType="separate"/>
      </w:r>
      <w:r w:rsidR="009D1B2D">
        <w:t>[1]</w:t>
      </w:r>
      <w:r w:rsidR="00EF3479">
        <w:fldChar w:fldCharType="end"/>
      </w:r>
      <w:r w:rsidR="00EF3479">
        <w:t xml:space="preserve"> </w:t>
      </w:r>
      <w:r w:rsidRPr="00756DA5">
        <w:t>“</w:t>
      </w:r>
      <w:r w:rsidR="00F71DB0" w:rsidRPr="00756DA5">
        <w:t>The suitability of the current ECC regulatory framework for the usage of Wideband and Narrowband M2M in the frequency bands 700 MHz, 800 MHz, 900 MHz, 1800 MHz, 2.1 GHz and 2.6 GHz</w:t>
      </w:r>
      <w:r w:rsidR="001F2CD7" w:rsidRPr="00756DA5">
        <w:t>”</w:t>
      </w:r>
    </w:p>
    <w:p w:rsidR="008D0DD4" w:rsidRPr="00756DA5" w:rsidRDefault="008D0DD4" w:rsidP="008D0DD4">
      <w:pPr>
        <w:pStyle w:val="ECCParagraph"/>
      </w:pPr>
      <w:r w:rsidRPr="00756DA5">
        <w:t xml:space="preserve">CEPT proposes relevant amendments of the harmonised technical conditions accordingly and ensuring both backward compatibility with existing use in 900/1800 MHz, and suitability for IoT applications based on the above </w:t>
      </w:r>
      <w:r w:rsidR="003A3B71" w:rsidRPr="00756DA5">
        <w:t xml:space="preserve">IoT </w:t>
      </w:r>
      <w:r w:rsidR="00756DA5" w:rsidRPr="00756DA5">
        <w:t xml:space="preserve">cellular systems </w:t>
      </w:r>
      <w:r w:rsidR="003A3B71" w:rsidRPr="00756DA5">
        <w:t>(see section 5</w:t>
      </w:r>
      <w:r w:rsidRPr="00756DA5">
        <w:t>).</w:t>
      </w:r>
    </w:p>
    <w:p w:rsidR="000536B4" w:rsidRPr="00756DA5" w:rsidRDefault="000536B4" w:rsidP="000536B4">
      <w:pPr>
        <w:pStyle w:val="ECCParagraph"/>
      </w:pPr>
      <w:r w:rsidRPr="00756DA5">
        <w:t>CEPT will develop relevant cross-border coordination deliverable</w:t>
      </w:r>
      <w:r>
        <w:t>s</w:t>
      </w:r>
      <w:r w:rsidRPr="00756DA5">
        <w:t xml:space="preserve"> to support bilateral and multilateral cross</w:t>
      </w:r>
      <w:r>
        <w:t>­</w:t>
      </w:r>
      <w:r w:rsidRPr="00756DA5">
        <w:t>border coordination process between administrations including EU Members States. CEPT did not identify unmanageable cross</w:t>
      </w:r>
      <w:r>
        <w:t>-</w:t>
      </w:r>
      <w:r w:rsidRPr="00756DA5">
        <w:t xml:space="preserve">border coordination issues resulting from the introduction of the </w:t>
      </w:r>
      <w:r>
        <w:t>three</w:t>
      </w:r>
      <w:r w:rsidRPr="00756DA5">
        <w:t xml:space="preserve"> above technologies in these frequency bands.</w:t>
      </w:r>
    </w:p>
    <w:p w:rsidR="00AB46DF" w:rsidRPr="00756DA5" w:rsidRDefault="003C3EE4" w:rsidP="00AB46DF">
      <w:pPr>
        <w:rPr>
          <w:rFonts w:cs="Arial"/>
          <w:lang w:val="en-GB"/>
        </w:rPr>
      </w:pPr>
      <w:r w:rsidRPr="00756DA5">
        <w:rPr>
          <w:rFonts w:cs="Arial"/>
          <w:lang w:val="en-GB"/>
        </w:rPr>
        <w:br w:type="page"/>
      </w:r>
    </w:p>
    <w:p w:rsidR="00AB46DF" w:rsidRPr="00756DA5" w:rsidRDefault="00D20E3B" w:rsidP="00AB46DF">
      <w:pPr>
        <w:rPr>
          <w:rFonts w:cs="Arial"/>
          <w:b/>
          <w:color w:val="FFFFFF"/>
          <w:lang w:val="en-GB"/>
        </w:rPr>
      </w:pPr>
      <w:r w:rsidRPr="00756DA5">
        <w:rPr>
          <w:rFonts w:cs="Arial"/>
          <w:b/>
          <w:noProof/>
          <w:color w:val="FFFFFF"/>
          <w:szCs w:val="20"/>
          <w:lang w:val="da-DK" w:eastAsia="da-DK"/>
        </w:rPr>
        <w:lastRenderedPageBreak/>
        <mc:AlternateContent>
          <mc:Choice Requires="wps">
            <w:drawing>
              <wp:anchor distT="0" distB="0" distL="114300" distR="114300" simplePos="0" relativeHeight="251655168" behindDoc="1" locked="0" layoutInCell="1" allowOverlap="1" wp14:anchorId="2B1C9E09" wp14:editId="03E78E2C">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D20E3B" w:rsidRPr="00756DA5" w:rsidRDefault="00D20E3B" w:rsidP="00AB46DF">
      <w:pPr>
        <w:rPr>
          <w:rFonts w:cs="Arial"/>
          <w:b/>
          <w:color w:val="FFFFFF"/>
          <w:szCs w:val="20"/>
          <w:lang w:val="en-GB"/>
        </w:rPr>
      </w:pPr>
    </w:p>
    <w:p w:rsidR="00AB46DF" w:rsidRPr="00756DA5" w:rsidRDefault="002209A7" w:rsidP="00AB46DF">
      <w:pPr>
        <w:rPr>
          <w:rFonts w:cs="Arial"/>
          <w:b/>
          <w:color w:val="FFFFFF"/>
          <w:szCs w:val="20"/>
          <w:lang w:val="en-GB"/>
        </w:rPr>
      </w:pPr>
      <w:r w:rsidRPr="00756DA5">
        <w:rPr>
          <w:rFonts w:cs="Arial"/>
          <w:b/>
          <w:color w:val="FFFFFF"/>
          <w:szCs w:val="20"/>
          <w:lang w:val="en-GB"/>
        </w:rPr>
        <w:t>TABLE OF CONTENTS</w:t>
      </w:r>
    </w:p>
    <w:p w:rsidR="00512677" w:rsidRPr="00756DA5" w:rsidRDefault="00512677" w:rsidP="00AB46DF">
      <w:pPr>
        <w:rPr>
          <w:rFonts w:cs="Arial"/>
          <w:b/>
          <w:color w:val="FFFFFF"/>
          <w:szCs w:val="20"/>
          <w:lang w:val="en-GB"/>
        </w:rPr>
      </w:pPr>
    </w:p>
    <w:p w:rsidR="00512677" w:rsidRPr="00756DA5" w:rsidRDefault="00512677" w:rsidP="00AB46DF">
      <w:pPr>
        <w:rPr>
          <w:rFonts w:cs="Arial"/>
          <w:b/>
          <w:color w:val="FFFFFF"/>
          <w:szCs w:val="20"/>
          <w:lang w:val="en-GB"/>
        </w:rPr>
      </w:pPr>
    </w:p>
    <w:p w:rsidR="00AB46DF" w:rsidRPr="00756DA5" w:rsidRDefault="00AB46DF">
      <w:pPr>
        <w:rPr>
          <w:rFonts w:cs="Arial"/>
          <w:lang w:val="en-GB"/>
        </w:rPr>
      </w:pPr>
    </w:p>
    <w:p w:rsidR="00E44062" w:rsidRDefault="003C3EE4">
      <w:pPr>
        <w:pStyle w:val="TOC1"/>
        <w:rPr>
          <w:rFonts w:asciiTheme="minorHAnsi" w:eastAsiaTheme="minorEastAsia" w:hAnsiTheme="minorHAnsi" w:cstheme="minorBidi"/>
          <w:b w:val="0"/>
          <w:caps w:val="0"/>
          <w:noProof/>
          <w:sz w:val="22"/>
          <w:szCs w:val="22"/>
          <w:lang w:val="da-DK" w:eastAsia="da-DK"/>
        </w:rPr>
      </w:pPr>
      <w:r w:rsidRPr="00756DA5">
        <w:rPr>
          <w:rFonts w:cs="Arial"/>
          <w:caps w:val="0"/>
          <w:lang w:val="en-GB"/>
        </w:rPr>
        <w:fldChar w:fldCharType="begin"/>
      </w:r>
      <w:r w:rsidRPr="00756DA5">
        <w:rPr>
          <w:rFonts w:cs="Arial"/>
          <w:caps w:val="0"/>
          <w:lang w:val="en-GB"/>
        </w:rPr>
        <w:instrText xml:space="preserve"> TOC \o "1-4" \h \z \u </w:instrText>
      </w:r>
      <w:r w:rsidRPr="00756DA5">
        <w:rPr>
          <w:rFonts w:cs="Arial"/>
          <w:caps w:val="0"/>
          <w:lang w:val="en-GB"/>
        </w:rPr>
        <w:fldChar w:fldCharType="separate"/>
      </w:r>
      <w:hyperlink w:anchor="_Toc508112831" w:history="1">
        <w:r w:rsidR="00E44062" w:rsidRPr="00570309">
          <w:rPr>
            <w:rStyle w:val="Hyperlink"/>
            <w:noProof/>
          </w:rPr>
          <w:t>0</w:t>
        </w:r>
        <w:r w:rsidR="00E44062">
          <w:rPr>
            <w:rFonts w:asciiTheme="minorHAnsi" w:eastAsiaTheme="minorEastAsia" w:hAnsiTheme="minorHAnsi" w:cstheme="minorBidi"/>
            <w:b w:val="0"/>
            <w:caps w:val="0"/>
            <w:noProof/>
            <w:sz w:val="22"/>
            <w:szCs w:val="22"/>
            <w:lang w:val="da-DK" w:eastAsia="da-DK"/>
          </w:rPr>
          <w:tab/>
        </w:r>
        <w:r w:rsidR="00E44062" w:rsidRPr="00570309">
          <w:rPr>
            <w:rStyle w:val="Hyperlink"/>
            <w:noProof/>
          </w:rPr>
          <w:t>Executive summary</w:t>
        </w:r>
        <w:r w:rsidR="00E44062">
          <w:rPr>
            <w:noProof/>
            <w:webHidden/>
          </w:rPr>
          <w:tab/>
        </w:r>
        <w:r w:rsidR="00E44062">
          <w:rPr>
            <w:noProof/>
            <w:webHidden/>
          </w:rPr>
          <w:fldChar w:fldCharType="begin"/>
        </w:r>
        <w:r w:rsidR="00E44062">
          <w:rPr>
            <w:noProof/>
            <w:webHidden/>
          </w:rPr>
          <w:instrText xml:space="preserve"> PAGEREF _Toc508112831 \h </w:instrText>
        </w:r>
        <w:r w:rsidR="00E44062">
          <w:rPr>
            <w:noProof/>
            <w:webHidden/>
          </w:rPr>
        </w:r>
        <w:r w:rsidR="00E44062">
          <w:rPr>
            <w:noProof/>
            <w:webHidden/>
          </w:rPr>
          <w:fldChar w:fldCharType="separate"/>
        </w:r>
        <w:r w:rsidR="00E44062">
          <w:rPr>
            <w:noProof/>
            <w:webHidden/>
          </w:rPr>
          <w:t>2</w:t>
        </w:r>
        <w:r w:rsidR="00E44062">
          <w:rPr>
            <w:noProof/>
            <w:webHidden/>
          </w:rPr>
          <w:fldChar w:fldCharType="end"/>
        </w:r>
      </w:hyperlink>
    </w:p>
    <w:p w:rsidR="00E44062" w:rsidRDefault="000536B4">
      <w:pPr>
        <w:pStyle w:val="TOC1"/>
        <w:rPr>
          <w:rFonts w:asciiTheme="minorHAnsi" w:eastAsiaTheme="minorEastAsia" w:hAnsiTheme="minorHAnsi" w:cstheme="minorBidi"/>
          <w:b w:val="0"/>
          <w:caps w:val="0"/>
          <w:noProof/>
          <w:sz w:val="22"/>
          <w:szCs w:val="22"/>
          <w:lang w:val="da-DK" w:eastAsia="da-DK"/>
        </w:rPr>
      </w:pPr>
      <w:hyperlink w:anchor="_Toc508112832" w:history="1">
        <w:r w:rsidR="00E44062" w:rsidRPr="00570309">
          <w:rPr>
            <w:rStyle w:val="Hyperlink"/>
            <w:noProof/>
          </w:rPr>
          <w:t>1</w:t>
        </w:r>
        <w:r w:rsidR="00E44062">
          <w:rPr>
            <w:rFonts w:asciiTheme="minorHAnsi" w:eastAsiaTheme="minorEastAsia" w:hAnsiTheme="minorHAnsi" w:cstheme="minorBidi"/>
            <w:b w:val="0"/>
            <w:caps w:val="0"/>
            <w:noProof/>
            <w:sz w:val="22"/>
            <w:szCs w:val="22"/>
            <w:lang w:val="da-DK" w:eastAsia="da-DK"/>
          </w:rPr>
          <w:tab/>
        </w:r>
        <w:r w:rsidR="00E44062" w:rsidRPr="00570309">
          <w:rPr>
            <w:rStyle w:val="Hyperlink"/>
            <w:noProof/>
          </w:rPr>
          <w:t>Introduction</w:t>
        </w:r>
        <w:r w:rsidR="00E44062">
          <w:rPr>
            <w:noProof/>
            <w:webHidden/>
          </w:rPr>
          <w:tab/>
        </w:r>
        <w:r w:rsidR="00E44062">
          <w:rPr>
            <w:noProof/>
            <w:webHidden/>
          </w:rPr>
          <w:fldChar w:fldCharType="begin"/>
        </w:r>
        <w:r w:rsidR="00E44062">
          <w:rPr>
            <w:noProof/>
            <w:webHidden/>
          </w:rPr>
          <w:instrText xml:space="preserve"> PAGEREF _Toc508112832 \h </w:instrText>
        </w:r>
        <w:r w:rsidR="00E44062">
          <w:rPr>
            <w:noProof/>
            <w:webHidden/>
          </w:rPr>
        </w:r>
        <w:r w:rsidR="00E44062">
          <w:rPr>
            <w:noProof/>
            <w:webHidden/>
          </w:rPr>
          <w:fldChar w:fldCharType="separate"/>
        </w:r>
        <w:r w:rsidR="00E44062">
          <w:rPr>
            <w:noProof/>
            <w:webHidden/>
          </w:rPr>
          <w:t>5</w:t>
        </w:r>
        <w:r w:rsidR="00E44062">
          <w:rPr>
            <w:noProof/>
            <w:webHidden/>
          </w:rPr>
          <w:fldChar w:fldCharType="end"/>
        </w:r>
      </w:hyperlink>
    </w:p>
    <w:p w:rsidR="00E44062" w:rsidRDefault="000536B4">
      <w:pPr>
        <w:pStyle w:val="TOC1"/>
        <w:rPr>
          <w:rFonts w:asciiTheme="minorHAnsi" w:eastAsiaTheme="minorEastAsia" w:hAnsiTheme="minorHAnsi" w:cstheme="minorBidi"/>
          <w:b w:val="0"/>
          <w:caps w:val="0"/>
          <w:noProof/>
          <w:sz w:val="22"/>
          <w:szCs w:val="22"/>
          <w:lang w:val="da-DK" w:eastAsia="da-DK"/>
        </w:rPr>
      </w:pPr>
      <w:hyperlink w:anchor="_Toc508112833" w:history="1">
        <w:r w:rsidR="00E44062" w:rsidRPr="00570309">
          <w:rPr>
            <w:rStyle w:val="Hyperlink"/>
            <w:noProof/>
          </w:rPr>
          <w:t>2</w:t>
        </w:r>
        <w:r w:rsidR="00E44062">
          <w:rPr>
            <w:rFonts w:asciiTheme="minorHAnsi" w:eastAsiaTheme="minorEastAsia" w:hAnsiTheme="minorHAnsi" w:cstheme="minorBidi"/>
            <w:b w:val="0"/>
            <w:caps w:val="0"/>
            <w:noProof/>
            <w:sz w:val="22"/>
            <w:szCs w:val="22"/>
            <w:lang w:val="da-DK" w:eastAsia="da-DK"/>
          </w:rPr>
          <w:tab/>
        </w:r>
        <w:r w:rsidR="00E44062" w:rsidRPr="00570309">
          <w:rPr>
            <w:rStyle w:val="Hyperlink"/>
            <w:noProof/>
          </w:rPr>
          <w:t>IoT technology and deployment scenarios</w:t>
        </w:r>
        <w:r w:rsidR="00E44062">
          <w:rPr>
            <w:noProof/>
            <w:webHidden/>
          </w:rPr>
          <w:tab/>
        </w:r>
        <w:r w:rsidR="00E44062">
          <w:rPr>
            <w:noProof/>
            <w:webHidden/>
          </w:rPr>
          <w:fldChar w:fldCharType="begin"/>
        </w:r>
        <w:r w:rsidR="00E44062">
          <w:rPr>
            <w:noProof/>
            <w:webHidden/>
          </w:rPr>
          <w:instrText xml:space="preserve"> PAGEREF _Toc508112833 \h </w:instrText>
        </w:r>
        <w:r w:rsidR="00E44062">
          <w:rPr>
            <w:noProof/>
            <w:webHidden/>
          </w:rPr>
        </w:r>
        <w:r w:rsidR="00E44062">
          <w:rPr>
            <w:noProof/>
            <w:webHidden/>
          </w:rPr>
          <w:fldChar w:fldCharType="separate"/>
        </w:r>
        <w:r w:rsidR="00E44062">
          <w:rPr>
            <w:noProof/>
            <w:webHidden/>
          </w:rPr>
          <w:t>6</w:t>
        </w:r>
        <w:r w:rsidR="00E44062">
          <w:rPr>
            <w:noProof/>
            <w:webHidden/>
          </w:rPr>
          <w:fldChar w:fldCharType="end"/>
        </w:r>
      </w:hyperlink>
    </w:p>
    <w:p w:rsidR="00E44062" w:rsidRDefault="000536B4">
      <w:pPr>
        <w:pStyle w:val="TOC2"/>
        <w:rPr>
          <w:rFonts w:asciiTheme="minorHAnsi" w:eastAsiaTheme="minorEastAsia" w:hAnsiTheme="minorHAnsi" w:cstheme="minorBidi"/>
          <w:noProof/>
          <w:sz w:val="22"/>
          <w:szCs w:val="22"/>
          <w:lang w:val="da-DK" w:eastAsia="da-DK"/>
        </w:rPr>
      </w:pPr>
      <w:hyperlink w:anchor="_Toc508112834" w:history="1">
        <w:r w:rsidR="00E44062" w:rsidRPr="00570309">
          <w:rPr>
            <w:rStyle w:val="Hyperlink"/>
            <w:noProof/>
            <w:lang w:val="en-GB"/>
          </w:rPr>
          <w:t>2.1</w:t>
        </w:r>
        <w:r w:rsidR="00E44062">
          <w:rPr>
            <w:rFonts w:asciiTheme="minorHAnsi" w:eastAsiaTheme="minorEastAsia" w:hAnsiTheme="minorHAnsi" w:cstheme="minorBidi"/>
            <w:noProof/>
            <w:sz w:val="22"/>
            <w:szCs w:val="22"/>
            <w:lang w:val="da-DK" w:eastAsia="da-DK"/>
          </w:rPr>
          <w:tab/>
        </w:r>
        <w:r w:rsidR="00E44062" w:rsidRPr="00570309">
          <w:rPr>
            <w:rStyle w:val="Hyperlink"/>
            <w:noProof/>
            <w:lang w:val="en-GB"/>
          </w:rPr>
          <w:t>Introduction to M2M IoT cellular systems</w:t>
        </w:r>
        <w:r w:rsidR="00E44062">
          <w:rPr>
            <w:noProof/>
            <w:webHidden/>
          </w:rPr>
          <w:tab/>
        </w:r>
        <w:r w:rsidR="00E44062">
          <w:rPr>
            <w:noProof/>
            <w:webHidden/>
          </w:rPr>
          <w:fldChar w:fldCharType="begin"/>
        </w:r>
        <w:r w:rsidR="00E44062">
          <w:rPr>
            <w:noProof/>
            <w:webHidden/>
          </w:rPr>
          <w:instrText xml:space="preserve"> PAGEREF _Toc508112834 \h </w:instrText>
        </w:r>
        <w:r w:rsidR="00E44062">
          <w:rPr>
            <w:noProof/>
            <w:webHidden/>
          </w:rPr>
        </w:r>
        <w:r w:rsidR="00E44062">
          <w:rPr>
            <w:noProof/>
            <w:webHidden/>
          </w:rPr>
          <w:fldChar w:fldCharType="separate"/>
        </w:r>
        <w:r w:rsidR="00E44062">
          <w:rPr>
            <w:noProof/>
            <w:webHidden/>
          </w:rPr>
          <w:t>6</w:t>
        </w:r>
        <w:r w:rsidR="00E44062">
          <w:rPr>
            <w:noProof/>
            <w:webHidden/>
          </w:rPr>
          <w:fldChar w:fldCharType="end"/>
        </w:r>
      </w:hyperlink>
    </w:p>
    <w:p w:rsidR="00E44062" w:rsidRDefault="000536B4">
      <w:pPr>
        <w:pStyle w:val="TOC2"/>
        <w:rPr>
          <w:rFonts w:asciiTheme="minorHAnsi" w:eastAsiaTheme="minorEastAsia" w:hAnsiTheme="minorHAnsi" w:cstheme="minorBidi"/>
          <w:noProof/>
          <w:sz w:val="22"/>
          <w:szCs w:val="22"/>
          <w:lang w:val="da-DK" w:eastAsia="da-DK"/>
        </w:rPr>
      </w:pPr>
      <w:hyperlink w:anchor="_Toc508112835" w:history="1">
        <w:r w:rsidR="00E44062" w:rsidRPr="00570309">
          <w:rPr>
            <w:rStyle w:val="Hyperlink"/>
            <w:noProof/>
            <w:lang w:val="en-GB"/>
          </w:rPr>
          <w:t>2.2</w:t>
        </w:r>
        <w:r w:rsidR="00E44062">
          <w:rPr>
            <w:rFonts w:asciiTheme="minorHAnsi" w:eastAsiaTheme="minorEastAsia" w:hAnsiTheme="minorHAnsi" w:cstheme="minorBidi"/>
            <w:noProof/>
            <w:sz w:val="22"/>
            <w:szCs w:val="22"/>
            <w:lang w:val="da-DK" w:eastAsia="da-DK"/>
          </w:rPr>
          <w:tab/>
        </w:r>
        <w:r w:rsidR="00E44062" w:rsidRPr="00570309">
          <w:rPr>
            <w:rStyle w:val="Hyperlink"/>
            <w:noProof/>
            <w:lang w:val="en-GB"/>
          </w:rPr>
          <w:t>overview of M2M IoT cellular systems</w:t>
        </w:r>
        <w:r w:rsidR="00E44062">
          <w:rPr>
            <w:noProof/>
            <w:webHidden/>
          </w:rPr>
          <w:tab/>
        </w:r>
        <w:r w:rsidR="00E44062">
          <w:rPr>
            <w:noProof/>
            <w:webHidden/>
          </w:rPr>
          <w:fldChar w:fldCharType="begin"/>
        </w:r>
        <w:r w:rsidR="00E44062">
          <w:rPr>
            <w:noProof/>
            <w:webHidden/>
          </w:rPr>
          <w:instrText xml:space="preserve"> PAGEREF _Toc508112835 \h </w:instrText>
        </w:r>
        <w:r w:rsidR="00E44062">
          <w:rPr>
            <w:noProof/>
            <w:webHidden/>
          </w:rPr>
        </w:r>
        <w:r w:rsidR="00E44062">
          <w:rPr>
            <w:noProof/>
            <w:webHidden/>
          </w:rPr>
          <w:fldChar w:fldCharType="separate"/>
        </w:r>
        <w:r w:rsidR="00E44062">
          <w:rPr>
            <w:noProof/>
            <w:webHidden/>
          </w:rPr>
          <w:t>6</w:t>
        </w:r>
        <w:r w:rsidR="00E44062">
          <w:rPr>
            <w:noProof/>
            <w:webHidden/>
          </w:rPr>
          <w:fldChar w:fldCharType="end"/>
        </w:r>
      </w:hyperlink>
    </w:p>
    <w:p w:rsidR="00E44062" w:rsidRDefault="000536B4">
      <w:pPr>
        <w:pStyle w:val="TOC3"/>
        <w:rPr>
          <w:rFonts w:asciiTheme="minorHAnsi" w:eastAsiaTheme="minorEastAsia" w:hAnsiTheme="minorHAnsi" w:cstheme="minorBidi"/>
          <w:noProof/>
          <w:sz w:val="22"/>
          <w:szCs w:val="22"/>
          <w:lang w:val="da-DK" w:eastAsia="da-DK"/>
        </w:rPr>
      </w:pPr>
      <w:hyperlink w:anchor="_Toc508112836" w:history="1">
        <w:r w:rsidR="00E44062" w:rsidRPr="00570309">
          <w:rPr>
            <w:rStyle w:val="Hyperlink"/>
            <w:noProof/>
            <w:lang w:val="en-GB"/>
          </w:rPr>
          <w:t>2.2.1</w:t>
        </w:r>
        <w:r w:rsidR="00E44062">
          <w:rPr>
            <w:rFonts w:asciiTheme="minorHAnsi" w:eastAsiaTheme="minorEastAsia" w:hAnsiTheme="minorHAnsi" w:cstheme="minorBidi"/>
            <w:noProof/>
            <w:sz w:val="22"/>
            <w:szCs w:val="22"/>
            <w:lang w:val="da-DK" w:eastAsia="da-DK"/>
          </w:rPr>
          <w:tab/>
        </w:r>
        <w:r w:rsidR="00E44062" w:rsidRPr="00570309">
          <w:rPr>
            <w:rStyle w:val="Hyperlink"/>
            <w:noProof/>
            <w:lang w:val="en-GB"/>
          </w:rPr>
          <w:t>EC-GSM-IoT</w:t>
        </w:r>
        <w:r w:rsidR="00E44062">
          <w:rPr>
            <w:noProof/>
            <w:webHidden/>
          </w:rPr>
          <w:tab/>
        </w:r>
        <w:r w:rsidR="00E44062">
          <w:rPr>
            <w:noProof/>
            <w:webHidden/>
          </w:rPr>
          <w:fldChar w:fldCharType="begin"/>
        </w:r>
        <w:r w:rsidR="00E44062">
          <w:rPr>
            <w:noProof/>
            <w:webHidden/>
          </w:rPr>
          <w:instrText xml:space="preserve"> PAGEREF _Toc508112836 \h </w:instrText>
        </w:r>
        <w:r w:rsidR="00E44062">
          <w:rPr>
            <w:noProof/>
            <w:webHidden/>
          </w:rPr>
        </w:r>
        <w:r w:rsidR="00E44062">
          <w:rPr>
            <w:noProof/>
            <w:webHidden/>
          </w:rPr>
          <w:fldChar w:fldCharType="separate"/>
        </w:r>
        <w:r w:rsidR="00E44062">
          <w:rPr>
            <w:noProof/>
            <w:webHidden/>
          </w:rPr>
          <w:t>6</w:t>
        </w:r>
        <w:r w:rsidR="00E44062">
          <w:rPr>
            <w:noProof/>
            <w:webHidden/>
          </w:rPr>
          <w:fldChar w:fldCharType="end"/>
        </w:r>
      </w:hyperlink>
    </w:p>
    <w:p w:rsidR="00E44062" w:rsidRDefault="000536B4">
      <w:pPr>
        <w:pStyle w:val="TOC3"/>
        <w:rPr>
          <w:rFonts w:asciiTheme="minorHAnsi" w:eastAsiaTheme="minorEastAsia" w:hAnsiTheme="minorHAnsi" w:cstheme="minorBidi"/>
          <w:noProof/>
          <w:sz w:val="22"/>
          <w:szCs w:val="22"/>
          <w:lang w:val="da-DK" w:eastAsia="da-DK"/>
        </w:rPr>
      </w:pPr>
      <w:hyperlink w:anchor="_Toc508112837" w:history="1">
        <w:r w:rsidR="00E44062" w:rsidRPr="00570309">
          <w:rPr>
            <w:rStyle w:val="Hyperlink"/>
            <w:noProof/>
            <w:lang w:val="en-GB"/>
          </w:rPr>
          <w:t>2.2.2</w:t>
        </w:r>
        <w:r w:rsidR="00E44062">
          <w:rPr>
            <w:rFonts w:asciiTheme="minorHAnsi" w:eastAsiaTheme="minorEastAsia" w:hAnsiTheme="minorHAnsi" w:cstheme="minorBidi"/>
            <w:noProof/>
            <w:sz w:val="22"/>
            <w:szCs w:val="22"/>
            <w:lang w:val="da-DK" w:eastAsia="da-DK"/>
          </w:rPr>
          <w:tab/>
        </w:r>
        <w:r w:rsidR="00E44062" w:rsidRPr="00570309">
          <w:rPr>
            <w:rStyle w:val="Hyperlink"/>
            <w:noProof/>
            <w:lang w:val="en-GB"/>
          </w:rPr>
          <w:t>LTE MTC/eMTC</w:t>
        </w:r>
        <w:r w:rsidR="00E44062">
          <w:rPr>
            <w:noProof/>
            <w:webHidden/>
          </w:rPr>
          <w:tab/>
        </w:r>
        <w:r w:rsidR="00E44062">
          <w:rPr>
            <w:noProof/>
            <w:webHidden/>
          </w:rPr>
          <w:fldChar w:fldCharType="begin"/>
        </w:r>
        <w:r w:rsidR="00E44062">
          <w:rPr>
            <w:noProof/>
            <w:webHidden/>
          </w:rPr>
          <w:instrText xml:space="preserve"> PAGEREF _Toc508112837 \h </w:instrText>
        </w:r>
        <w:r w:rsidR="00E44062">
          <w:rPr>
            <w:noProof/>
            <w:webHidden/>
          </w:rPr>
        </w:r>
        <w:r w:rsidR="00E44062">
          <w:rPr>
            <w:noProof/>
            <w:webHidden/>
          </w:rPr>
          <w:fldChar w:fldCharType="separate"/>
        </w:r>
        <w:r w:rsidR="00E44062">
          <w:rPr>
            <w:noProof/>
            <w:webHidden/>
          </w:rPr>
          <w:t>6</w:t>
        </w:r>
        <w:r w:rsidR="00E44062">
          <w:rPr>
            <w:noProof/>
            <w:webHidden/>
          </w:rPr>
          <w:fldChar w:fldCharType="end"/>
        </w:r>
      </w:hyperlink>
    </w:p>
    <w:p w:rsidR="00E44062" w:rsidRDefault="000536B4">
      <w:pPr>
        <w:pStyle w:val="TOC3"/>
        <w:rPr>
          <w:rFonts w:asciiTheme="minorHAnsi" w:eastAsiaTheme="minorEastAsia" w:hAnsiTheme="minorHAnsi" w:cstheme="minorBidi"/>
          <w:noProof/>
          <w:sz w:val="22"/>
          <w:szCs w:val="22"/>
          <w:lang w:val="da-DK" w:eastAsia="da-DK"/>
        </w:rPr>
      </w:pPr>
      <w:hyperlink w:anchor="_Toc508112838" w:history="1">
        <w:r w:rsidR="00E44062" w:rsidRPr="00570309">
          <w:rPr>
            <w:rStyle w:val="Hyperlink"/>
            <w:noProof/>
            <w:lang w:val="en-GB"/>
          </w:rPr>
          <w:t>2.2.3</w:t>
        </w:r>
        <w:r w:rsidR="00E44062">
          <w:rPr>
            <w:rFonts w:asciiTheme="minorHAnsi" w:eastAsiaTheme="minorEastAsia" w:hAnsiTheme="minorHAnsi" w:cstheme="minorBidi"/>
            <w:noProof/>
            <w:sz w:val="22"/>
            <w:szCs w:val="22"/>
            <w:lang w:val="da-DK" w:eastAsia="da-DK"/>
          </w:rPr>
          <w:tab/>
        </w:r>
        <w:r w:rsidR="00E44062" w:rsidRPr="00570309">
          <w:rPr>
            <w:rStyle w:val="Hyperlink"/>
            <w:noProof/>
            <w:lang w:val="en-GB"/>
          </w:rPr>
          <w:t>NB-IoT</w:t>
        </w:r>
        <w:r w:rsidR="00E44062">
          <w:rPr>
            <w:noProof/>
            <w:webHidden/>
          </w:rPr>
          <w:tab/>
        </w:r>
        <w:r w:rsidR="00E44062">
          <w:rPr>
            <w:noProof/>
            <w:webHidden/>
          </w:rPr>
          <w:fldChar w:fldCharType="begin"/>
        </w:r>
        <w:r w:rsidR="00E44062">
          <w:rPr>
            <w:noProof/>
            <w:webHidden/>
          </w:rPr>
          <w:instrText xml:space="preserve"> PAGEREF _Toc508112838 \h </w:instrText>
        </w:r>
        <w:r w:rsidR="00E44062">
          <w:rPr>
            <w:noProof/>
            <w:webHidden/>
          </w:rPr>
        </w:r>
        <w:r w:rsidR="00E44062">
          <w:rPr>
            <w:noProof/>
            <w:webHidden/>
          </w:rPr>
          <w:fldChar w:fldCharType="separate"/>
        </w:r>
        <w:r w:rsidR="00E44062">
          <w:rPr>
            <w:noProof/>
            <w:webHidden/>
          </w:rPr>
          <w:t>7</w:t>
        </w:r>
        <w:r w:rsidR="00E44062">
          <w:rPr>
            <w:noProof/>
            <w:webHidden/>
          </w:rPr>
          <w:fldChar w:fldCharType="end"/>
        </w:r>
      </w:hyperlink>
    </w:p>
    <w:p w:rsidR="00E44062" w:rsidRDefault="000536B4">
      <w:pPr>
        <w:pStyle w:val="TOC4"/>
        <w:rPr>
          <w:rFonts w:asciiTheme="minorHAnsi" w:eastAsiaTheme="minorEastAsia" w:hAnsiTheme="minorHAnsi" w:cstheme="minorBidi"/>
          <w:i w:val="0"/>
          <w:noProof/>
          <w:sz w:val="22"/>
          <w:szCs w:val="22"/>
          <w:lang w:val="da-DK" w:eastAsia="da-DK"/>
        </w:rPr>
      </w:pPr>
      <w:hyperlink w:anchor="_Toc508112839" w:history="1">
        <w:r w:rsidR="00E44062" w:rsidRPr="00570309">
          <w:rPr>
            <w:rStyle w:val="Hyperlink"/>
            <w:noProof/>
            <w:lang w:val="en-GB"/>
          </w:rPr>
          <w:t>2.2.3.1</w:t>
        </w:r>
        <w:r w:rsidR="00E44062">
          <w:rPr>
            <w:rFonts w:asciiTheme="minorHAnsi" w:eastAsiaTheme="minorEastAsia" w:hAnsiTheme="minorHAnsi" w:cstheme="minorBidi"/>
            <w:i w:val="0"/>
            <w:noProof/>
            <w:sz w:val="22"/>
            <w:szCs w:val="22"/>
            <w:lang w:val="da-DK" w:eastAsia="da-DK"/>
          </w:rPr>
          <w:tab/>
        </w:r>
        <w:r w:rsidR="00E44062" w:rsidRPr="00570309">
          <w:rPr>
            <w:rStyle w:val="Hyperlink"/>
            <w:noProof/>
            <w:lang w:val="en-GB"/>
          </w:rPr>
          <w:t>NB-IoT In-band</w:t>
        </w:r>
        <w:r w:rsidR="00E44062">
          <w:rPr>
            <w:noProof/>
            <w:webHidden/>
          </w:rPr>
          <w:tab/>
        </w:r>
        <w:r w:rsidR="00E44062">
          <w:rPr>
            <w:noProof/>
            <w:webHidden/>
          </w:rPr>
          <w:fldChar w:fldCharType="begin"/>
        </w:r>
        <w:r w:rsidR="00E44062">
          <w:rPr>
            <w:noProof/>
            <w:webHidden/>
          </w:rPr>
          <w:instrText xml:space="preserve"> PAGEREF _Toc508112839 \h </w:instrText>
        </w:r>
        <w:r w:rsidR="00E44062">
          <w:rPr>
            <w:noProof/>
            <w:webHidden/>
          </w:rPr>
        </w:r>
        <w:r w:rsidR="00E44062">
          <w:rPr>
            <w:noProof/>
            <w:webHidden/>
          </w:rPr>
          <w:fldChar w:fldCharType="separate"/>
        </w:r>
        <w:r w:rsidR="00E44062">
          <w:rPr>
            <w:noProof/>
            <w:webHidden/>
          </w:rPr>
          <w:t>7</w:t>
        </w:r>
        <w:r w:rsidR="00E44062">
          <w:rPr>
            <w:noProof/>
            <w:webHidden/>
          </w:rPr>
          <w:fldChar w:fldCharType="end"/>
        </w:r>
      </w:hyperlink>
    </w:p>
    <w:p w:rsidR="00E44062" w:rsidRDefault="000536B4">
      <w:pPr>
        <w:pStyle w:val="TOC4"/>
        <w:rPr>
          <w:rFonts w:asciiTheme="minorHAnsi" w:eastAsiaTheme="minorEastAsia" w:hAnsiTheme="minorHAnsi" w:cstheme="minorBidi"/>
          <w:i w:val="0"/>
          <w:noProof/>
          <w:sz w:val="22"/>
          <w:szCs w:val="22"/>
          <w:lang w:val="da-DK" w:eastAsia="da-DK"/>
        </w:rPr>
      </w:pPr>
      <w:hyperlink w:anchor="_Toc508112840" w:history="1">
        <w:r w:rsidR="00E44062" w:rsidRPr="00570309">
          <w:rPr>
            <w:rStyle w:val="Hyperlink"/>
            <w:noProof/>
            <w:lang w:val="en-GB"/>
          </w:rPr>
          <w:t>2.2.3.2</w:t>
        </w:r>
        <w:r w:rsidR="00E44062">
          <w:rPr>
            <w:rFonts w:asciiTheme="minorHAnsi" w:eastAsiaTheme="minorEastAsia" w:hAnsiTheme="minorHAnsi" w:cstheme="minorBidi"/>
            <w:i w:val="0"/>
            <w:noProof/>
            <w:sz w:val="22"/>
            <w:szCs w:val="22"/>
            <w:lang w:val="da-DK" w:eastAsia="da-DK"/>
          </w:rPr>
          <w:tab/>
        </w:r>
        <w:r w:rsidR="00E44062" w:rsidRPr="00570309">
          <w:rPr>
            <w:rStyle w:val="Hyperlink"/>
            <w:noProof/>
            <w:lang w:val="en-GB"/>
          </w:rPr>
          <w:t>NB-IoT Standalone</w:t>
        </w:r>
        <w:r w:rsidR="00E44062">
          <w:rPr>
            <w:noProof/>
            <w:webHidden/>
          </w:rPr>
          <w:tab/>
        </w:r>
        <w:r w:rsidR="00E44062">
          <w:rPr>
            <w:noProof/>
            <w:webHidden/>
          </w:rPr>
          <w:fldChar w:fldCharType="begin"/>
        </w:r>
        <w:r w:rsidR="00E44062">
          <w:rPr>
            <w:noProof/>
            <w:webHidden/>
          </w:rPr>
          <w:instrText xml:space="preserve"> PAGEREF _Toc508112840 \h </w:instrText>
        </w:r>
        <w:r w:rsidR="00E44062">
          <w:rPr>
            <w:noProof/>
            <w:webHidden/>
          </w:rPr>
        </w:r>
        <w:r w:rsidR="00E44062">
          <w:rPr>
            <w:noProof/>
            <w:webHidden/>
          </w:rPr>
          <w:fldChar w:fldCharType="separate"/>
        </w:r>
        <w:r w:rsidR="00E44062">
          <w:rPr>
            <w:noProof/>
            <w:webHidden/>
          </w:rPr>
          <w:t>8</w:t>
        </w:r>
        <w:r w:rsidR="00E44062">
          <w:rPr>
            <w:noProof/>
            <w:webHidden/>
          </w:rPr>
          <w:fldChar w:fldCharType="end"/>
        </w:r>
      </w:hyperlink>
    </w:p>
    <w:p w:rsidR="00E44062" w:rsidRDefault="000536B4">
      <w:pPr>
        <w:pStyle w:val="TOC4"/>
        <w:rPr>
          <w:rFonts w:asciiTheme="minorHAnsi" w:eastAsiaTheme="minorEastAsia" w:hAnsiTheme="minorHAnsi" w:cstheme="minorBidi"/>
          <w:i w:val="0"/>
          <w:noProof/>
          <w:sz w:val="22"/>
          <w:szCs w:val="22"/>
          <w:lang w:val="da-DK" w:eastAsia="da-DK"/>
        </w:rPr>
      </w:pPr>
      <w:hyperlink w:anchor="_Toc508112841" w:history="1">
        <w:r w:rsidR="00E44062" w:rsidRPr="00570309">
          <w:rPr>
            <w:rStyle w:val="Hyperlink"/>
            <w:noProof/>
            <w:lang w:val="en-GB"/>
          </w:rPr>
          <w:t>2.2.3.3</w:t>
        </w:r>
        <w:r w:rsidR="00E44062">
          <w:rPr>
            <w:rFonts w:asciiTheme="minorHAnsi" w:eastAsiaTheme="minorEastAsia" w:hAnsiTheme="minorHAnsi" w:cstheme="minorBidi"/>
            <w:i w:val="0"/>
            <w:noProof/>
            <w:sz w:val="22"/>
            <w:szCs w:val="22"/>
            <w:lang w:val="da-DK" w:eastAsia="da-DK"/>
          </w:rPr>
          <w:tab/>
        </w:r>
        <w:r w:rsidR="00E44062" w:rsidRPr="00570309">
          <w:rPr>
            <w:rStyle w:val="Hyperlink"/>
            <w:noProof/>
            <w:lang w:val="en-GB"/>
          </w:rPr>
          <w:t>NB-IoT Guard Band</w:t>
        </w:r>
        <w:r w:rsidR="00E44062">
          <w:rPr>
            <w:noProof/>
            <w:webHidden/>
          </w:rPr>
          <w:tab/>
        </w:r>
        <w:r w:rsidR="00E44062">
          <w:rPr>
            <w:noProof/>
            <w:webHidden/>
          </w:rPr>
          <w:fldChar w:fldCharType="begin"/>
        </w:r>
        <w:r w:rsidR="00E44062">
          <w:rPr>
            <w:noProof/>
            <w:webHidden/>
          </w:rPr>
          <w:instrText xml:space="preserve"> PAGEREF _Toc508112841 \h </w:instrText>
        </w:r>
        <w:r w:rsidR="00E44062">
          <w:rPr>
            <w:noProof/>
            <w:webHidden/>
          </w:rPr>
        </w:r>
        <w:r w:rsidR="00E44062">
          <w:rPr>
            <w:noProof/>
            <w:webHidden/>
          </w:rPr>
          <w:fldChar w:fldCharType="separate"/>
        </w:r>
        <w:r w:rsidR="00E44062">
          <w:rPr>
            <w:noProof/>
            <w:webHidden/>
          </w:rPr>
          <w:t>9</w:t>
        </w:r>
        <w:r w:rsidR="00E44062">
          <w:rPr>
            <w:noProof/>
            <w:webHidden/>
          </w:rPr>
          <w:fldChar w:fldCharType="end"/>
        </w:r>
      </w:hyperlink>
    </w:p>
    <w:p w:rsidR="00E44062" w:rsidRDefault="000536B4">
      <w:pPr>
        <w:pStyle w:val="TOC2"/>
        <w:rPr>
          <w:rFonts w:asciiTheme="minorHAnsi" w:eastAsiaTheme="minorEastAsia" w:hAnsiTheme="minorHAnsi" w:cstheme="minorBidi"/>
          <w:noProof/>
          <w:sz w:val="22"/>
          <w:szCs w:val="22"/>
          <w:lang w:val="da-DK" w:eastAsia="da-DK"/>
        </w:rPr>
      </w:pPr>
      <w:hyperlink w:anchor="_Toc508112842" w:history="1">
        <w:r w:rsidR="00E44062" w:rsidRPr="00570309">
          <w:rPr>
            <w:rStyle w:val="Hyperlink"/>
            <w:noProof/>
            <w:lang w:val="en-GB"/>
          </w:rPr>
          <w:t>2.3</w:t>
        </w:r>
        <w:r w:rsidR="00E44062">
          <w:rPr>
            <w:rFonts w:asciiTheme="minorHAnsi" w:eastAsiaTheme="minorEastAsia" w:hAnsiTheme="minorHAnsi" w:cstheme="minorBidi"/>
            <w:noProof/>
            <w:sz w:val="22"/>
            <w:szCs w:val="22"/>
            <w:lang w:val="da-DK" w:eastAsia="da-DK"/>
          </w:rPr>
          <w:tab/>
        </w:r>
        <w:r w:rsidR="00E44062" w:rsidRPr="00570309">
          <w:rPr>
            <w:rStyle w:val="Hyperlink"/>
            <w:noProof/>
            <w:lang w:val="en-GB"/>
          </w:rPr>
          <w:t>Deployment models</w:t>
        </w:r>
        <w:r w:rsidR="00E44062">
          <w:rPr>
            <w:noProof/>
            <w:webHidden/>
          </w:rPr>
          <w:tab/>
        </w:r>
        <w:r w:rsidR="00E44062">
          <w:rPr>
            <w:noProof/>
            <w:webHidden/>
          </w:rPr>
          <w:fldChar w:fldCharType="begin"/>
        </w:r>
        <w:r w:rsidR="00E44062">
          <w:rPr>
            <w:noProof/>
            <w:webHidden/>
          </w:rPr>
          <w:instrText xml:space="preserve"> PAGEREF _Toc508112842 \h </w:instrText>
        </w:r>
        <w:r w:rsidR="00E44062">
          <w:rPr>
            <w:noProof/>
            <w:webHidden/>
          </w:rPr>
        </w:r>
        <w:r w:rsidR="00E44062">
          <w:rPr>
            <w:noProof/>
            <w:webHidden/>
          </w:rPr>
          <w:fldChar w:fldCharType="separate"/>
        </w:r>
        <w:r w:rsidR="00E44062">
          <w:rPr>
            <w:noProof/>
            <w:webHidden/>
          </w:rPr>
          <w:t>11</w:t>
        </w:r>
        <w:r w:rsidR="00E44062">
          <w:rPr>
            <w:noProof/>
            <w:webHidden/>
          </w:rPr>
          <w:fldChar w:fldCharType="end"/>
        </w:r>
      </w:hyperlink>
    </w:p>
    <w:p w:rsidR="00E44062" w:rsidRDefault="000536B4">
      <w:pPr>
        <w:pStyle w:val="TOC1"/>
        <w:rPr>
          <w:rFonts w:asciiTheme="minorHAnsi" w:eastAsiaTheme="minorEastAsia" w:hAnsiTheme="minorHAnsi" w:cstheme="minorBidi"/>
          <w:b w:val="0"/>
          <w:caps w:val="0"/>
          <w:noProof/>
          <w:sz w:val="22"/>
          <w:szCs w:val="22"/>
          <w:lang w:val="da-DK" w:eastAsia="da-DK"/>
        </w:rPr>
      </w:pPr>
      <w:hyperlink w:anchor="_Toc508112843" w:history="1">
        <w:r w:rsidR="00E44062" w:rsidRPr="00570309">
          <w:rPr>
            <w:rStyle w:val="Hyperlink"/>
            <w:noProof/>
          </w:rPr>
          <w:t>3</w:t>
        </w:r>
        <w:r w:rsidR="00E44062">
          <w:rPr>
            <w:rFonts w:asciiTheme="minorHAnsi" w:eastAsiaTheme="minorEastAsia" w:hAnsiTheme="minorHAnsi" w:cstheme="minorBidi"/>
            <w:b w:val="0"/>
            <w:caps w:val="0"/>
            <w:noProof/>
            <w:sz w:val="22"/>
            <w:szCs w:val="22"/>
            <w:lang w:val="da-DK" w:eastAsia="da-DK"/>
          </w:rPr>
          <w:tab/>
        </w:r>
        <w:r w:rsidR="00E44062" w:rsidRPr="00570309">
          <w:rPr>
            <w:rStyle w:val="Hyperlink"/>
            <w:noProof/>
          </w:rPr>
          <w:t>Regulatory framework</w:t>
        </w:r>
        <w:r w:rsidR="00E44062">
          <w:rPr>
            <w:noProof/>
            <w:webHidden/>
          </w:rPr>
          <w:tab/>
        </w:r>
        <w:r w:rsidR="00E44062">
          <w:rPr>
            <w:noProof/>
            <w:webHidden/>
          </w:rPr>
          <w:fldChar w:fldCharType="begin"/>
        </w:r>
        <w:r w:rsidR="00E44062">
          <w:rPr>
            <w:noProof/>
            <w:webHidden/>
          </w:rPr>
          <w:instrText xml:space="preserve"> PAGEREF _Toc508112843 \h </w:instrText>
        </w:r>
        <w:r w:rsidR="00E44062">
          <w:rPr>
            <w:noProof/>
            <w:webHidden/>
          </w:rPr>
        </w:r>
        <w:r w:rsidR="00E44062">
          <w:rPr>
            <w:noProof/>
            <w:webHidden/>
          </w:rPr>
          <w:fldChar w:fldCharType="separate"/>
        </w:r>
        <w:r w:rsidR="00E44062">
          <w:rPr>
            <w:noProof/>
            <w:webHidden/>
          </w:rPr>
          <w:t>12</w:t>
        </w:r>
        <w:r w:rsidR="00E44062">
          <w:rPr>
            <w:noProof/>
            <w:webHidden/>
          </w:rPr>
          <w:fldChar w:fldCharType="end"/>
        </w:r>
      </w:hyperlink>
    </w:p>
    <w:p w:rsidR="00E44062" w:rsidRDefault="000536B4">
      <w:pPr>
        <w:pStyle w:val="TOC1"/>
        <w:rPr>
          <w:rFonts w:asciiTheme="minorHAnsi" w:eastAsiaTheme="minorEastAsia" w:hAnsiTheme="minorHAnsi" w:cstheme="minorBidi"/>
          <w:b w:val="0"/>
          <w:caps w:val="0"/>
          <w:noProof/>
          <w:sz w:val="22"/>
          <w:szCs w:val="22"/>
          <w:lang w:val="da-DK" w:eastAsia="da-DK"/>
        </w:rPr>
      </w:pPr>
      <w:hyperlink w:anchor="_Toc508112844" w:history="1">
        <w:r w:rsidR="00E44062" w:rsidRPr="00570309">
          <w:rPr>
            <w:rStyle w:val="Hyperlink"/>
            <w:noProof/>
          </w:rPr>
          <w:t>4</w:t>
        </w:r>
        <w:r w:rsidR="00E44062">
          <w:rPr>
            <w:rFonts w:asciiTheme="minorHAnsi" w:eastAsiaTheme="minorEastAsia" w:hAnsiTheme="minorHAnsi" w:cstheme="minorBidi"/>
            <w:b w:val="0"/>
            <w:caps w:val="0"/>
            <w:noProof/>
            <w:sz w:val="22"/>
            <w:szCs w:val="22"/>
            <w:lang w:val="da-DK" w:eastAsia="da-DK"/>
          </w:rPr>
          <w:tab/>
        </w:r>
        <w:r w:rsidR="00E44062" w:rsidRPr="00570309">
          <w:rPr>
            <w:rStyle w:val="Hyperlink"/>
            <w:noProof/>
          </w:rPr>
          <w:t>suitability of Existing technical conditions for IoT applications</w:t>
        </w:r>
        <w:r w:rsidR="00E44062">
          <w:rPr>
            <w:noProof/>
            <w:webHidden/>
          </w:rPr>
          <w:tab/>
        </w:r>
        <w:r w:rsidR="00E44062">
          <w:rPr>
            <w:noProof/>
            <w:webHidden/>
          </w:rPr>
          <w:fldChar w:fldCharType="begin"/>
        </w:r>
        <w:r w:rsidR="00E44062">
          <w:rPr>
            <w:noProof/>
            <w:webHidden/>
          </w:rPr>
          <w:instrText xml:space="preserve"> PAGEREF _Toc508112844 \h </w:instrText>
        </w:r>
        <w:r w:rsidR="00E44062">
          <w:rPr>
            <w:noProof/>
            <w:webHidden/>
          </w:rPr>
        </w:r>
        <w:r w:rsidR="00E44062">
          <w:rPr>
            <w:noProof/>
            <w:webHidden/>
          </w:rPr>
          <w:fldChar w:fldCharType="separate"/>
        </w:r>
        <w:r w:rsidR="00E44062">
          <w:rPr>
            <w:noProof/>
            <w:webHidden/>
          </w:rPr>
          <w:t>13</w:t>
        </w:r>
        <w:r w:rsidR="00E44062">
          <w:rPr>
            <w:noProof/>
            <w:webHidden/>
          </w:rPr>
          <w:fldChar w:fldCharType="end"/>
        </w:r>
      </w:hyperlink>
    </w:p>
    <w:p w:rsidR="00E44062" w:rsidRDefault="000536B4">
      <w:pPr>
        <w:pStyle w:val="TOC2"/>
        <w:rPr>
          <w:rFonts w:asciiTheme="minorHAnsi" w:eastAsiaTheme="minorEastAsia" w:hAnsiTheme="minorHAnsi" w:cstheme="minorBidi"/>
          <w:noProof/>
          <w:sz w:val="22"/>
          <w:szCs w:val="22"/>
          <w:lang w:val="da-DK" w:eastAsia="da-DK"/>
        </w:rPr>
      </w:pPr>
      <w:hyperlink w:anchor="_Toc508112845" w:history="1">
        <w:r w:rsidR="00E44062" w:rsidRPr="00570309">
          <w:rPr>
            <w:rStyle w:val="Hyperlink"/>
            <w:noProof/>
            <w:lang w:val="en-GB"/>
          </w:rPr>
          <w:t>4.1</w:t>
        </w:r>
        <w:r w:rsidR="00E44062">
          <w:rPr>
            <w:rFonts w:asciiTheme="minorHAnsi" w:eastAsiaTheme="minorEastAsia" w:hAnsiTheme="minorHAnsi" w:cstheme="minorBidi"/>
            <w:noProof/>
            <w:sz w:val="22"/>
            <w:szCs w:val="22"/>
            <w:lang w:val="da-DK" w:eastAsia="da-DK"/>
          </w:rPr>
          <w:tab/>
        </w:r>
        <w:r w:rsidR="00E44062" w:rsidRPr="00570309">
          <w:rPr>
            <w:rStyle w:val="Hyperlink"/>
            <w:noProof/>
            <w:lang w:val="en-GB"/>
          </w:rPr>
          <w:t>EC-GSM-IOT</w:t>
        </w:r>
        <w:r w:rsidR="00E44062">
          <w:rPr>
            <w:noProof/>
            <w:webHidden/>
          </w:rPr>
          <w:tab/>
        </w:r>
        <w:r w:rsidR="00E44062">
          <w:rPr>
            <w:noProof/>
            <w:webHidden/>
          </w:rPr>
          <w:fldChar w:fldCharType="begin"/>
        </w:r>
        <w:r w:rsidR="00E44062">
          <w:rPr>
            <w:noProof/>
            <w:webHidden/>
          </w:rPr>
          <w:instrText xml:space="preserve"> PAGEREF _Toc508112845 \h </w:instrText>
        </w:r>
        <w:r w:rsidR="00E44062">
          <w:rPr>
            <w:noProof/>
            <w:webHidden/>
          </w:rPr>
        </w:r>
        <w:r w:rsidR="00E44062">
          <w:rPr>
            <w:noProof/>
            <w:webHidden/>
          </w:rPr>
          <w:fldChar w:fldCharType="separate"/>
        </w:r>
        <w:r w:rsidR="00E44062">
          <w:rPr>
            <w:noProof/>
            <w:webHidden/>
          </w:rPr>
          <w:t>13</w:t>
        </w:r>
        <w:r w:rsidR="00E44062">
          <w:rPr>
            <w:noProof/>
            <w:webHidden/>
          </w:rPr>
          <w:fldChar w:fldCharType="end"/>
        </w:r>
      </w:hyperlink>
    </w:p>
    <w:p w:rsidR="00E44062" w:rsidRDefault="000536B4">
      <w:pPr>
        <w:pStyle w:val="TOC2"/>
        <w:rPr>
          <w:rFonts w:asciiTheme="minorHAnsi" w:eastAsiaTheme="minorEastAsia" w:hAnsiTheme="minorHAnsi" w:cstheme="minorBidi"/>
          <w:noProof/>
          <w:sz w:val="22"/>
          <w:szCs w:val="22"/>
          <w:lang w:val="da-DK" w:eastAsia="da-DK"/>
        </w:rPr>
      </w:pPr>
      <w:hyperlink w:anchor="_Toc508112846" w:history="1">
        <w:r w:rsidR="00E44062" w:rsidRPr="00570309">
          <w:rPr>
            <w:rStyle w:val="Hyperlink"/>
            <w:noProof/>
            <w:lang w:val="en-GB"/>
          </w:rPr>
          <w:t>4.2</w:t>
        </w:r>
        <w:r w:rsidR="00E44062">
          <w:rPr>
            <w:rFonts w:asciiTheme="minorHAnsi" w:eastAsiaTheme="minorEastAsia" w:hAnsiTheme="minorHAnsi" w:cstheme="minorBidi"/>
            <w:noProof/>
            <w:sz w:val="22"/>
            <w:szCs w:val="22"/>
            <w:lang w:val="da-DK" w:eastAsia="da-DK"/>
          </w:rPr>
          <w:tab/>
        </w:r>
        <w:r w:rsidR="00E44062" w:rsidRPr="00570309">
          <w:rPr>
            <w:rStyle w:val="Hyperlink"/>
            <w:noProof/>
            <w:lang w:val="en-GB"/>
          </w:rPr>
          <w:t>LTE MTC and LTE EMTC</w:t>
        </w:r>
        <w:r w:rsidR="00E44062">
          <w:rPr>
            <w:noProof/>
            <w:webHidden/>
          </w:rPr>
          <w:tab/>
        </w:r>
        <w:r w:rsidR="00E44062">
          <w:rPr>
            <w:noProof/>
            <w:webHidden/>
          </w:rPr>
          <w:fldChar w:fldCharType="begin"/>
        </w:r>
        <w:r w:rsidR="00E44062">
          <w:rPr>
            <w:noProof/>
            <w:webHidden/>
          </w:rPr>
          <w:instrText xml:space="preserve"> PAGEREF _Toc508112846 \h </w:instrText>
        </w:r>
        <w:r w:rsidR="00E44062">
          <w:rPr>
            <w:noProof/>
            <w:webHidden/>
          </w:rPr>
        </w:r>
        <w:r w:rsidR="00E44062">
          <w:rPr>
            <w:noProof/>
            <w:webHidden/>
          </w:rPr>
          <w:fldChar w:fldCharType="separate"/>
        </w:r>
        <w:r w:rsidR="00E44062">
          <w:rPr>
            <w:noProof/>
            <w:webHidden/>
          </w:rPr>
          <w:t>13</w:t>
        </w:r>
        <w:r w:rsidR="00E44062">
          <w:rPr>
            <w:noProof/>
            <w:webHidden/>
          </w:rPr>
          <w:fldChar w:fldCharType="end"/>
        </w:r>
      </w:hyperlink>
    </w:p>
    <w:p w:rsidR="00E44062" w:rsidRDefault="000536B4">
      <w:pPr>
        <w:pStyle w:val="TOC2"/>
        <w:rPr>
          <w:rFonts w:asciiTheme="minorHAnsi" w:eastAsiaTheme="minorEastAsia" w:hAnsiTheme="minorHAnsi" w:cstheme="minorBidi"/>
          <w:noProof/>
          <w:sz w:val="22"/>
          <w:szCs w:val="22"/>
          <w:lang w:val="da-DK" w:eastAsia="da-DK"/>
        </w:rPr>
      </w:pPr>
      <w:hyperlink w:anchor="_Toc508112847" w:history="1">
        <w:r w:rsidR="00E44062" w:rsidRPr="00570309">
          <w:rPr>
            <w:rStyle w:val="Hyperlink"/>
            <w:noProof/>
            <w:lang w:val="en-GB"/>
          </w:rPr>
          <w:t>4.3</w:t>
        </w:r>
        <w:r w:rsidR="00E44062">
          <w:rPr>
            <w:rFonts w:asciiTheme="minorHAnsi" w:eastAsiaTheme="minorEastAsia" w:hAnsiTheme="minorHAnsi" w:cstheme="minorBidi"/>
            <w:noProof/>
            <w:sz w:val="22"/>
            <w:szCs w:val="22"/>
            <w:lang w:val="da-DK" w:eastAsia="da-DK"/>
          </w:rPr>
          <w:tab/>
        </w:r>
        <w:r w:rsidR="00E44062" w:rsidRPr="00570309">
          <w:rPr>
            <w:rStyle w:val="Hyperlink"/>
            <w:noProof/>
            <w:lang w:val="en-GB"/>
          </w:rPr>
          <w:t>NB-IOT</w:t>
        </w:r>
        <w:r w:rsidR="00E44062">
          <w:rPr>
            <w:noProof/>
            <w:webHidden/>
          </w:rPr>
          <w:tab/>
        </w:r>
        <w:r w:rsidR="00E44062">
          <w:rPr>
            <w:noProof/>
            <w:webHidden/>
          </w:rPr>
          <w:fldChar w:fldCharType="begin"/>
        </w:r>
        <w:r w:rsidR="00E44062">
          <w:rPr>
            <w:noProof/>
            <w:webHidden/>
          </w:rPr>
          <w:instrText xml:space="preserve"> PAGEREF _Toc508112847 \h </w:instrText>
        </w:r>
        <w:r w:rsidR="00E44062">
          <w:rPr>
            <w:noProof/>
            <w:webHidden/>
          </w:rPr>
        </w:r>
        <w:r w:rsidR="00E44062">
          <w:rPr>
            <w:noProof/>
            <w:webHidden/>
          </w:rPr>
          <w:fldChar w:fldCharType="separate"/>
        </w:r>
        <w:r w:rsidR="00E44062">
          <w:rPr>
            <w:noProof/>
            <w:webHidden/>
          </w:rPr>
          <w:t>13</w:t>
        </w:r>
        <w:r w:rsidR="00E44062">
          <w:rPr>
            <w:noProof/>
            <w:webHidden/>
          </w:rPr>
          <w:fldChar w:fldCharType="end"/>
        </w:r>
      </w:hyperlink>
    </w:p>
    <w:p w:rsidR="00E44062" w:rsidRDefault="000536B4">
      <w:pPr>
        <w:pStyle w:val="TOC3"/>
        <w:rPr>
          <w:rFonts w:asciiTheme="minorHAnsi" w:eastAsiaTheme="minorEastAsia" w:hAnsiTheme="minorHAnsi" w:cstheme="minorBidi"/>
          <w:noProof/>
          <w:sz w:val="22"/>
          <w:szCs w:val="22"/>
          <w:lang w:val="da-DK" w:eastAsia="da-DK"/>
        </w:rPr>
      </w:pPr>
      <w:hyperlink w:anchor="_Toc508112848" w:history="1">
        <w:r w:rsidR="00E44062" w:rsidRPr="00570309">
          <w:rPr>
            <w:rStyle w:val="Hyperlink"/>
            <w:noProof/>
            <w:lang w:val="en-GB"/>
          </w:rPr>
          <w:t>4.3.1</w:t>
        </w:r>
        <w:r w:rsidR="00E44062">
          <w:rPr>
            <w:rFonts w:asciiTheme="minorHAnsi" w:eastAsiaTheme="minorEastAsia" w:hAnsiTheme="minorHAnsi" w:cstheme="minorBidi"/>
            <w:noProof/>
            <w:sz w:val="22"/>
            <w:szCs w:val="22"/>
            <w:lang w:val="da-DK" w:eastAsia="da-DK"/>
          </w:rPr>
          <w:tab/>
        </w:r>
        <w:r w:rsidR="00E44062" w:rsidRPr="00570309">
          <w:rPr>
            <w:rStyle w:val="Hyperlink"/>
            <w:noProof/>
            <w:lang w:val="en-GB"/>
          </w:rPr>
          <w:t>NB-IOT in-band</w:t>
        </w:r>
        <w:r w:rsidR="00E44062">
          <w:rPr>
            <w:noProof/>
            <w:webHidden/>
          </w:rPr>
          <w:tab/>
        </w:r>
        <w:r w:rsidR="00E44062">
          <w:rPr>
            <w:noProof/>
            <w:webHidden/>
          </w:rPr>
          <w:fldChar w:fldCharType="begin"/>
        </w:r>
        <w:r w:rsidR="00E44062">
          <w:rPr>
            <w:noProof/>
            <w:webHidden/>
          </w:rPr>
          <w:instrText xml:space="preserve"> PAGEREF _Toc508112848 \h </w:instrText>
        </w:r>
        <w:r w:rsidR="00E44062">
          <w:rPr>
            <w:noProof/>
            <w:webHidden/>
          </w:rPr>
        </w:r>
        <w:r w:rsidR="00E44062">
          <w:rPr>
            <w:noProof/>
            <w:webHidden/>
          </w:rPr>
          <w:fldChar w:fldCharType="separate"/>
        </w:r>
        <w:r w:rsidR="00E44062">
          <w:rPr>
            <w:noProof/>
            <w:webHidden/>
          </w:rPr>
          <w:t>13</w:t>
        </w:r>
        <w:r w:rsidR="00E44062">
          <w:rPr>
            <w:noProof/>
            <w:webHidden/>
          </w:rPr>
          <w:fldChar w:fldCharType="end"/>
        </w:r>
      </w:hyperlink>
    </w:p>
    <w:p w:rsidR="00E44062" w:rsidRDefault="000536B4">
      <w:pPr>
        <w:pStyle w:val="TOC3"/>
        <w:rPr>
          <w:rFonts w:asciiTheme="minorHAnsi" w:eastAsiaTheme="minorEastAsia" w:hAnsiTheme="minorHAnsi" w:cstheme="minorBidi"/>
          <w:noProof/>
          <w:sz w:val="22"/>
          <w:szCs w:val="22"/>
          <w:lang w:val="da-DK" w:eastAsia="da-DK"/>
        </w:rPr>
      </w:pPr>
      <w:hyperlink w:anchor="_Toc508112849" w:history="1">
        <w:r w:rsidR="00E44062" w:rsidRPr="00570309">
          <w:rPr>
            <w:rStyle w:val="Hyperlink"/>
            <w:noProof/>
            <w:lang w:val="en-GB"/>
          </w:rPr>
          <w:t>4.3.2</w:t>
        </w:r>
        <w:r w:rsidR="00E44062">
          <w:rPr>
            <w:rFonts w:asciiTheme="minorHAnsi" w:eastAsiaTheme="minorEastAsia" w:hAnsiTheme="minorHAnsi" w:cstheme="minorBidi"/>
            <w:noProof/>
            <w:sz w:val="22"/>
            <w:szCs w:val="22"/>
            <w:lang w:val="da-DK" w:eastAsia="da-DK"/>
          </w:rPr>
          <w:tab/>
        </w:r>
        <w:r w:rsidR="00E44062" w:rsidRPr="00570309">
          <w:rPr>
            <w:rStyle w:val="Hyperlink"/>
            <w:noProof/>
            <w:lang w:val="en-GB"/>
          </w:rPr>
          <w:t>NB-IOT Standalone</w:t>
        </w:r>
        <w:r w:rsidR="00E44062">
          <w:rPr>
            <w:noProof/>
            <w:webHidden/>
          </w:rPr>
          <w:tab/>
        </w:r>
        <w:r w:rsidR="00E44062">
          <w:rPr>
            <w:noProof/>
            <w:webHidden/>
          </w:rPr>
          <w:fldChar w:fldCharType="begin"/>
        </w:r>
        <w:r w:rsidR="00E44062">
          <w:rPr>
            <w:noProof/>
            <w:webHidden/>
          </w:rPr>
          <w:instrText xml:space="preserve"> PAGEREF _Toc508112849 \h </w:instrText>
        </w:r>
        <w:r w:rsidR="00E44062">
          <w:rPr>
            <w:noProof/>
            <w:webHidden/>
          </w:rPr>
        </w:r>
        <w:r w:rsidR="00E44062">
          <w:rPr>
            <w:noProof/>
            <w:webHidden/>
          </w:rPr>
          <w:fldChar w:fldCharType="separate"/>
        </w:r>
        <w:r w:rsidR="00E44062">
          <w:rPr>
            <w:noProof/>
            <w:webHidden/>
          </w:rPr>
          <w:t>13</w:t>
        </w:r>
        <w:r w:rsidR="00E44062">
          <w:rPr>
            <w:noProof/>
            <w:webHidden/>
          </w:rPr>
          <w:fldChar w:fldCharType="end"/>
        </w:r>
      </w:hyperlink>
    </w:p>
    <w:p w:rsidR="00E44062" w:rsidRDefault="000536B4">
      <w:pPr>
        <w:pStyle w:val="TOC3"/>
        <w:rPr>
          <w:rFonts w:asciiTheme="minorHAnsi" w:eastAsiaTheme="minorEastAsia" w:hAnsiTheme="minorHAnsi" w:cstheme="minorBidi"/>
          <w:noProof/>
          <w:sz w:val="22"/>
          <w:szCs w:val="22"/>
          <w:lang w:val="da-DK" w:eastAsia="da-DK"/>
        </w:rPr>
      </w:pPr>
      <w:hyperlink w:anchor="_Toc508112850" w:history="1">
        <w:r w:rsidR="00E44062" w:rsidRPr="00570309">
          <w:rPr>
            <w:rStyle w:val="Hyperlink"/>
            <w:noProof/>
            <w:lang w:val="en-GB"/>
          </w:rPr>
          <w:t>4.3.3</w:t>
        </w:r>
        <w:r w:rsidR="00E44062">
          <w:rPr>
            <w:rFonts w:asciiTheme="minorHAnsi" w:eastAsiaTheme="minorEastAsia" w:hAnsiTheme="minorHAnsi" w:cstheme="minorBidi"/>
            <w:noProof/>
            <w:sz w:val="22"/>
            <w:szCs w:val="22"/>
            <w:lang w:val="da-DK" w:eastAsia="da-DK"/>
          </w:rPr>
          <w:tab/>
        </w:r>
        <w:r w:rsidR="00E44062" w:rsidRPr="00570309">
          <w:rPr>
            <w:rStyle w:val="Hyperlink"/>
            <w:noProof/>
            <w:lang w:val="en-GB"/>
          </w:rPr>
          <w:t>Guard band NB-IoT</w:t>
        </w:r>
        <w:r w:rsidR="00E44062">
          <w:rPr>
            <w:noProof/>
            <w:webHidden/>
          </w:rPr>
          <w:tab/>
        </w:r>
        <w:r w:rsidR="00E44062">
          <w:rPr>
            <w:noProof/>
            <w:webHidden/>
          </w:rPr>
          <w:fldChar w:fldCharType="begin"/>
        </w:r>
        <w:r w:rsidR="00E44062">
          <w:rPr>
            <w:noProof/>
            <w:webHidden/>
          </w:rPr>
          <w:instrText xml:space="preserve"> PAGEREF _Toc508112850 \h </w:instrText>
        </w:r>
        <w:r w:rsidR="00E44062">
          <w:rPr>
            <w:noProof/>
            <w:webHidden/>
          </w:rPr>
        </w:r>
        <w:r w:rsidR="00E44062">
          <w:rPr>
            <w:noProof/>
            <w:webHidden/>
          </w:rPr>
          <w:fldChar w:fldCharType="separate"/>
        </w:r>
        <w:r w:rsidR="00E44062">
          <w:rPr>
            <w:noProof/>
            <w:webHidden/>
          </w:rPr>
          <w:t>14</w:t>
        </w:r>
        <w:r w:rsidR="00E44062">
          <w:rPr>
            <w:noProof/>
            <w:webHidden/>
          </w:rPr>
          <w:fldChar w:fldCharType="end"/>
        </w:r>
      </w:hyperlink>
    </w:p>
    <w:p w:rsidR="00E44062" w:rsidRDefault="000536B4">
      <w:pPr>
        <w:pStyle w:val="TOC1"/>
        <w:rPr>
          <w:rFonts w:asciiTheme="minorHAnsi" w:eastAsiaTheme="minorEastAsia" w:hAnsiTheme="minorHAnsi" w:cstheme="minorBidi"/>
          <w:b w:val="0"/>
          <w:caps w:val="0"/>
          <w:noProof/>
          <w:sz w:val="22"/>
          <w:szCs w:val="22"/>
          <w:lang w:val="da-DK" w:eastAsia="da-DK"/>
        </w:rPr>
      </w:pPr>
      <w:hyperlink w:anchor="_Toc508112851" w:history="1">
        <w:r w:rsidR="00E44062" w:rsidRPr="00570309">
          <w:rPr>
            <w:rStyle w:val="Hyperlink"/>
            <w:noProof/>
          </w:rPr>
          <w:t>5</w:t>
        </w:r>
        <w:r w:rsidR="00E44062">
          <w:rPr>
            <w:rFonts w:asciiTheme="minorHAnsi" w:eastAsiaTheme="minorEastAsia" w:hAnsiTheme="minorHAnsi" w:cstheme="minorBidi"/>
            <w:b w:val="0"/>
            <w:caps w:val="0"/>
            <w:noProof/>
            <w:sz w:val="22"/>
            <w:szCs w:val="22"/>
            <w:lang w:val="da-DK" w:eastAsia="da-DK"/>
          </w:rPr>
          <w:tab/>
        </w:r>
        <w:r w:rsidR="00E44062" w:rsidRPr="00570309">
          <w:rPr>
            <w:rStyle w:val="Hyperlink"/>
            <w:noProof/>
          </w:rPr>
          <w:t>Proposed amendments to exisiting technical conditions</w:t>
        </w:r>
        <w:r w:rsidR="00E44062">
          <w:rPr>
            <w:noProof/>
            <w:webHidden/>
          </w:rPr>
          <w:tab/>
        </w:r>
        <w:r w:rsidR="00E44062">
          <w:rPr>
            <w:noProof/>
            <w:webHidden/>
          </w:rPr>
          <w:fldChar w:fldCharType="begin"/>
        </w:r>
        <w:r w:rsidR="00E44062">
          <w:rPr>
            <w:noProof/>
            <w:webHidden/>
          </w:rPr>
          <w:instrText xml:space="preserve"> PAGEREF _Toc508112851 \h </w:instrText>
        </w:r>
        <w:r w:rsidR="00E44062">
          <w:rPr>
            <w:noProof/>
            <w:webHidden/>
          </w:rPr>
        </w:r>
        <w:r w:rsidR="00E44062">
          <w:rPr>
            <w:noProof/>
            <w:webHidden/>
          </w:rPr>
          <w:fldChar w:fldCharType="separate"/>
        </w:r>
        <w:r w:rsidR="00E44062">
          <w:rPr>
            <w:noProof/>
            <w:webHidden/>
          </w:rPr>
          <w:t>15</w:t>
        </w:r>
        <w:r w:rsidR="00E44062">
          <w:rPr>
            <w:noProof/>
            <w:webHidden/>
          </w:rPr>
          <w:fldChar w:fldCharType="end"/>
        </w:r>
      </w:hyperlink>
    </w:p>
    <w:p w:rsidR="00E44062" w:rsidRDefault="000536B4">
      <w:pPr>
        <w:pStyle w:val="TOC1"/>
        <w:rPr>
          <w:rFonts w:asciiTheme="minorHAnsi" w:eastAsiaTheme="minorEastAsia" w:hAnsiTheme="minorHAnsi" w:cstheme="minorBidi"/>
          <w:b w:val="0"/>
          <w:caps w:val="0"/>
          <w:noProof/>
          <w:sz w:val="22"/>
          <w:szCs w:val="22"/>
          <w:lang w:val="da-DK" w:eastAsia="da-DK"/>
        </w:rPr>
      </w:pPr>
      <w:hyperlink w:anchor="_Toc508112852" w:history="1">
        <w:r w:rsidR="00E44062" w:rsidRPr="00570309">
          <w:rPr>
            <w:rStyle w:val="Hyperlink"/>
            <w:noProof/>
          </w:rPr>
          <w:t>6</w:t>
        </w:r>
        <w:r w:rsidR="00E44062">
          <w:rPr>
            <w:rFonts w:asciiTheme="minorHAnsi" w:eastAsiaTheme="minorEastAsia" w:hAnsiTheme="minorHAnsi" w:cstheme="minorBidi"/>
            <w:b w:val="0"/>
            <w:caps w:val="0"/>
            <w:noProof/>
            <w:sz w:val="22"/>
            <w:szCs w:val="22"/>
            <w:lang w:val="da-DK" w:eastAsia="da-DK"/>
          </w:rPr>
          <w:tab/>
        </w:r>
        <w:r w:rsidR="00E44062" w:rsidRPr="00570309">
          <w:rPr>
            <w:rStyle w:val="Hyperlink"/>
            <w:noProof/>
          </w:rPr>
          <w:t>Conclusions</w:t>
        </w:r>
        <w:r w:rsidR="00E44062">
          <w:rPr>
            <w:noProof/>
            <w:webHidden/>
          </w:rPr>
          <w:tab/>
        </w:r>
        <w:r w:rsidR="00E44062">
          <w:rPr>
            <w:noProof/>
            <w:webHidden/>
          </w:rPr>
          <w:fldChar w:fldCharType="begin"/>
        </w:r>
        <w:r w:rsidR="00E44062">
          <w:rPr>
            <w:noProof/>
            <w:webHidden/>
          </w:rPr>
          <w:instrText xml:space="preserve"> PAGEREF _Toc508112852 \h </w:instrText>
        </w:r>
        <w:r w:rsidR="00E44062">
          <w:rPr>
            <w:noProof/>
            <w:webHidden/>
          </w:rPr>
        </w:r>
        <w:r w:rsidR="00E44062">
          <w:rPr>
            <w:noProof/>
            <w:webHidden/>
          </w:rPr>
          <w:fldChar w:fldCharType="separate"/>
        </w:r>
        <w:r w:rsidR="00E44062">
          <w:rPr>
            <w:noProof/>
            <w:webHidden/>
          </w:rPr>
          <w:t>16</w:t>
        </w:r>
        <w:r w:rsidR="00E44062">
          <w:rPr>
            <w:noProof/>
            <w:webHidden/>
          </w:rPr>
          <w:fldChar w:fldCharType="end"/>
        </w:r>
      </w:hyperlink>
    </w:p>
    <w:p w:rsidR="00E44062" w:rsidRDefault="000536B4">
      <w:pPr>
        <w:pStyle w:val="TOC1"/>
        <w:rPr>
          <w:rFonts w:asciiTheme="minorHAnsi" w:eastAsiaTheme="minorEastAsia" w:hAnsiTheme="minorHAnsi" w:cstheme="minorBidi"/>
          <w:b w:val="0"/>
          <w:caps w:val="0"/>
          <w:noProof/>
          <w:sz w:val="22"/>
          <w:szCs w:val="22"/>
          <w:lang w:val="da-DK" w:eastAsia="da-DK"/>
        </w:rPr>
      </w:pPr>
      <w:hyperlink w:anchor="_Toc508112853" w:history="1">
        <w:r w:rsidR="00E44062" w:rsidRPr="00570309">
          <w:rPr>
            <w:rStyle w:val="Hyperlink"/>
            <w:noProof/>
          </w:rPr>
          <w:t>ANNEX 1: cept mandate</w:t>
        </w:r>
        <w:r w:rsidR="00E44062">
          <w:rPr>
            <w:noProof/>
            <w:webHidden/>
          </w:rPr>
          <w:tab/>
        </w:r>
        <w:r w:rsidR="00E44062">
          <w:rPr>
            <w:noProof/>
            <w:webHidden/>
          </w:rPr>
          <w:fldChar w:fldCharType="begin"/>
        </w:r>
        <w:r w:rsidR="00E44062">
          <w:rPr>
            <w:noProof/>
            <w:webHidden/>
          </w:rPr>
          <w:instrText xml:space="preserve"> PAGEREF _Toc508112853 \h </w:instrText>
        </w:r>
        <w:r w:rsidR="00E44062">
          <w:rPr>
            <w:noProof/>
            <w:webHidden/>
          </w:rPr>
        </w:r>
        <w:r w:rsidR="00E44062">
          <w:rPr>
            <w:noProof/>
            <w:webHidden/>
          </w:rPr>
          <w:fldChar w:fldCharType="separate"/>
        </w:r>
        <w:r w:rsidR="00E44062">
          <w:rPr>
            <w:noProof/>
            <w:webHidden/>
          </w:rPr>
          <w:t>17</w:t>
        </w:r>
        <w:r w:rsidR="00E44062">
          <w:rPr>
            <w:noProof/>
            <w:webHidden/>
          </w:rPr>
          <w:fldChar w:fldCharType="end"/>
        </w:r>
      </w:hyperlink>
    </w:p>
    <w:p w:rsidR="00E44062" w:rsidRDefault="000536B4">
      <w:pPr>
        <w:pStyle w:val="TOC1"/>
        <w:rPr>
          <w:rFonts w:asciiTheme="minorHAnsi" w:eastAsiaTheme="minorEastAsia" w:hAnsiTheme="minorHAnsi" w:cstheme="minorBidi"/>
          <w:b w:val="0"/>
          <w:caps w:val="0"/>
          <w:noProof/>
          <w:sz w:val="22"/>
          <w:szCs w:val="22"/>
          <w:lang w:val="da-DK" w:eastAsia="da-DK"/>
        </w:rPr>
      </w:pPr>
      <w:hyperlink w:anchor="_Toc508112854" w:history="1">
        <w:r w:rsidR="00E44062" w:rsidRPr="00570309">
          <w:rPr>
            <w:rStyle w:val="Hyperlink"/>
            <w:noProof/>
          </w:rPr>
          <w:t>ANNEX 2: List of reference</w:t>
        </w:r>
        <w:r w:rsidR="00E44062">
          <w:rPr>
            <w:noProof/>
            <w:webHidden/>
          </w:rPr>
          <w:tab/>
        </w:r>
        <w:r w:rsidR="00E44062">
          <w:rPr>
            <w:noProof/>
            <w:webHidden/>
          </w:rPr>
          <w:fldChar w:fldCharType="begin"/>
        </w:r>
        <w:r w:rsidR="00E44062">
          <w:rPr>
            <w:noProof/>
            <w:webHidden/>
          </w:rPr>
          <w:instrText xml:space="preserve"> PAGEREF _Toc508112854 \h </w:instrText>
        </w:r>
        <w:r w:rsidR="00E44062">
          <w:rPr>
            <w:noProof/>
            <w:webHidden/>
          </w:rPr>
        </w:r>
        <w:r w:rsidR="00E44062">
          <w:rPr>
            <w:noProof/>
            <w:webHidden/>
          </w:rPr>
          <w:fldChar w:fldCharType="separate"/>
        </w:r>
        <w:r w:rsidR="00E44062">
          <w:rPr>
            <w:noProof/>
            <w:webHidden/>
          </w:rPr>
          <w:t>22</w:t>
        </w:r>
        <w:r w:rsidR="00E44062">
          <w:rPr>
            <w:noProof/>
            <w:webHidden/>
          </w:rPr>
          <w:fldChar w:fldCharType="end"/>
        </w:r>
      </w:hyperlink>
    </w:p>
    <w:p w:rsidR="00AB46DF" w:rsidRPr="00756DA5" w:rsidRDefault="003C3EE4" w:rsidP="00AB46DF">
      <w:pPr>
        <w:rPr>
          <w:rFonts w:cs="Arial"/>
          <w:lang w:val="en-GB"/>
        </w:rPr>
      </w:pPr>
      <w:r w:rsidRPr="00756DA5">
        <w:rPr>
          <w:rFonts w:cs="Arial"/>
          <w:caps/>
          <w:lang w:val="en-GB"/>
        </w:rPr>
        <w:fldChar w:fldCharType="end"/>
      </w:r>
    </w:p>
    <w:p w:rsidR="00AB46DF" w:rsidRPr="00756DA5" w:rsidRDefault="003C3EE4" w:rsidP="00AB46DF">
      <w:pPr>
        <w:rPr>
          <w:rFonts w:cs="Arial"/>
          <w:lang w:val="en-GB"/>
        </w:rPr>
      </w:pPr>
      <w:r w:rsidRPr="00756DA5">
        <w:rPr>
          <w:rFonts w:cs="Arial"/>
          <w:lang w:val="en-GB"/>
        </w:rPr>
        <w:br w:type="page"/>
      </w:r>
    </w:p>
    <w:p w:rsidR="00AB46DF" w:rsidRPr="00756DA5" w:rsidRDefault="00B775DD" w:rsidP="00AB46DF">
      <w:pPr>
        <w:rPr>
          <w:rFonts w:cs="Arial"/>
          <w:b/>
          <w:color w:val="FFFFFF"/>
          <w:szCs w:val="20"/>
          <w:lang w:val="en-GB"/>
        </w:rPr>
      </w:pPr>
      <w:r w:rsidRPr="00756DA5">
        <w:rPr>
          <w:rFonts w:cs="Arial"/>
          <w:b/>
          <w:noProof/>
          <w:color w:val="FFFFFF"/>
          <w:szCs w:val="20"/>
          <w:lang w:val="da-DK" w:eastAsia="da-DK"/>
        </w:rPr>
        <w:lastRenderedPageBreak/>
        <mc:AlternateContent>
          <mc:Choice Requires="wps">
            <w:drawing>
              <wp:anchor distT="0" distB="0" distL="114300" distR="114300" simplePos="0" relativeHeight="251656192" behindDoc="1" locked="0" layoutInCell="1" allowOverlap="1" wp14:anchorId="6545EBB9" wp14:editId="46710BD2">
                <wp:simplePos x="0" y="0"/>
                <wp:positionH relativeFrom="page">
                  <wp:posOffset>-1353</wp:posOffset>
                </wp:positionH>
                <wp:positionV relativeFrom="page">
                  <wp:posOffset>900430</wp:posOffset>
                </wp:positionV>
                <wp:extent cx="7560310" cy="720090"/>
                <wp:effectExtent l="0" t="0" r="2540" b="381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pt;margin-top:70.9pt;width:595.3pt;height:5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KjWnvHdAAAACgEAAA8AAABkcnMvZG93bnJldi54bWxMj81OwzAQhO9IvIO1SFxQ6yS0FYQ4FRRx&#10;RgmIsxtvfkS8Tm23DW/P9gTHnRnNflNsZzuKE/owOFKQLhMQSI0zA3UKPj/eFg8gQtRk9OgIFfxg&#10;gG15fVXo3LgzVXiqYye4hEKuFfQxTrmUoenR6rB0ExJ7rfNWRz59J43XZy63o8ySZCOtHog/9HrC&#10;XY/Nd320Ctzm684efP1C2AZbHe7fq9ddq9Ttzfz8BCLiHP/CcMFndCiZae+OZIIYFSwyDrK8SnnB&#10;xU8fkxWIvYJsvc5AloX8P6H8BQAA//8DAFBLAQItABQABgAIAAAAIQC2gziS/gAAAOEBAAATAAAA&#10;AAAAAAAAAAAAAAAAAABbQ29udGVudF9UeXBlc10ueG1sUEsBAi0AFAAGAAgAAAAhADj9If/WAAAA&#10;lAEAAAsAAAAAAAAAAAAAAAAALwEAAF9yZWxzLy5yZWxzUEsBAi0AFAAGAAgAAAAhAJ9PXUp/AgAA&#10;/AQAAA4AAAAAAAAAAAAAAAAALgIAAGRycy9lMm9Eb2MueG1sUEsBAi0AFAAGAAgAAAAhAKjWnvHd&#10;AAAACgEAAA8AAAAAAAAAAAAAAAAA2QQAAGRycy9kb3ducmV2LnhtbFBLBQYAAAAABAAEAPMAAADj&#10;BQAAAAA=&#10;" fillcolor="#b0a696" stroked="f">
                <w10:wrap anchorx="page" anchory="page"/>
              </v:rect>
            </w:pict>
          </mc:Fallback>
        </mc:AlternateContent>
      </w:r>
    </w:p>
    <w:p w:rsidR="00D20E3B" w:rsidRPr="00756DA5" w:rsidRDefault="00D20E3B" w:rsidP="00AB46DF">
      <w:pPr>
        <w:rPr>
          <w:rFonts w:cs="Arial"/>
          <w:b/>
          <w:color w:val="FFFFFF"/>
          <w:szCs w:val="20"/>
          <w:lang w:val="en-GB"/>
        </w:rPr>
      </w:pPr>
    </w:p>
    <w:p w:rsidR="00AB46DF" w:rsidRPr="00756DA5" w:rsidRDefault="003C3EE4" w:rsidP="00AB46DF">
      <w:pPr>
        <w:rPr>
          <w:rFonts w:cs="Arial"/>
          <w:b/>
          <w:color w:val="FFFFFF"/>
          <w:szCs w:val="20"/>
          <w:lang w:val="en-GB"/>
        </w:rPr>
      </w:pPr>
      <w:r w:rsidRPr="00756DA5">
        <w:rPr>
          <w:rFonts w:cs="Arial"/>
          <w:b/>
          <w:color w:val="FFFFFF"/>
          <w:szCs w:val="20"/>
          <w:lang w:val="en-GB"/>
        </w:rPr>
        <w:t>LIST OF ABBREVIATIONS</w:t>
      </w:r>
    </w:p>
    <w:p w:rsidR="00AB46DF" w:rsidRPr="00756DA5" w:rsidRDefault="00AB46DF" w:rsidP="00AB46DF">
      <w:pPr>
        <w:rPr>
          <w:rFonts w:cs="Arial"/>
          <w:b/>
          <w:color w:val="FFFFFF"/>
          <w:szCs w:val="20"/>
          <w:lang w:val="en-GB"/>
        </w:rPr>
      </w:pPr>
    </w:p>
    <w:p w:rsidR="00AB46DF" w:rsidRPr="00756DA5" w:rsidRDefault="00AB46DF" w:rsidP="00AB46DF">
      <w:pPr>
        <w:rPr>
          <w:rFonts w:cs="Arial"/>
          <w:b/>
          <w:color w:val="FFFFFF"/>
          <w:szCs w:val="20"/>
          <w:lang w:val="en-GB"/>
        </w:rPr>
      </w:pPr>
    </w:p>
    <w:p w:rsidR="00AB46DF" w:rsidRPr="00756DA5" w:rsidRDefault="00AB46DF" w:rsidP="00AB46DF">
      <w:pPr>
        <w:rPr>
          <w:rFonts w:cs="Arial"/>
          <w:lang w:val="en-GB"/>
        </w:rPr>
      </w:pPr>
    </w:p>
    <w:p w:rsidR="00AB46DF" w:rsidRPr="00756DA5" w:rsidRDefault="00AB46DF" w:rsidP="00AB46DF">
      <w:pPr>
        <w:rPr>
          <w:rFonts w:cs="Arial"/>
          <w:lang w:val="en-GB"/>
        </w:rPr>
      </w:pPr>
    </w:p>
    <w:tbl>
      <w:tblPr>
        <w:tblW w:w="0" w:type="auto"/>
        <w:tblCellMar>
          <w:top w:w="11" w:type="dxa"/>
          <w:bottom w:w="11" w:type="dxa"/>
        </w:tblCellMar>
        <w:tblLook w:val="01E0" w:firstRow="1" w:lastRow="1" w:firstColumn="1" w:lastColumn="1" w:noHBand="0" w:noVBand="0"/>
      </w:tblPr>
      <w:tblGrid>
        <w:gridCol w:w="2088"/>
        <w:gridCol w:w="7767"/>
      </w:tblGrid>
      <w:tr w:rsidR="00AB46DF" w:rsidRPr="00756DA5" w:rsidTr="00B775DD">
        <w:trPr>
          <w:trHeight w:val="76"/>
        </w:trPr>
        <w:tc>
          <w:tcPr>
            <w:tcW w:w="2088" w:type="dxa"/>
          </w:tcPr>
          <w:p w:rsidR="00AB46DF" w:rsidRPr="00756DA5" w:rsidRDefault="003C3EE4" w:rsidP="00AB46DF">
            <w:pPr>
              <w:spacing w:line="288" w:lineRule="auto"/>
              <w:rPr>
                <w:rFonts w:cs="Arial"/>
                <w:b/>
                <w:color w:val="D2232A"/>
                <w:lang w:val="en-GB"/>
              </w:rPr>
            </w:pPr>
            <w:r w:rsidRPr="00756DA5">
              <w:rPr>
                <w:rFonts w:cs="Arial"/>
                <w:b/>
                <w:color w:val="D2232A"/>
                <w:lang w:val="en-GB"/>
              </w:rPr>
              <w:t>Abbreviation</w:t>
            </w:r>
          </w:p>
        </w:tc>
        <w:tc>
          <w:tcPr>
            <w:tcW w:w="7767" w:type="dxa"/>
          </w:tcPr>
          <w:p w:rsidR="00AB46DF" w:rsidRPr="00756DA5" w:rsidRDefault="003C3EE4" w:rsidP="00AB46DF">
            <w:pPr>
              <w:spacing w:line="288" w:lineRule="auto"/>
              <w:rPr>
                <w:rFonts w:cs="Arial"/>
                <w:b/>
                <w:color w:val="D2232A"/>
                <w:lang w:val="en-GB"/>
              </w:rPr>
            </w:pPr>
            <w:r w:rsidRPr="00756DA5">
              <w:rPr>
                <w:rFonts w:cs="Arial"/>
                <w:b/>
                <w:color w:val="D2232A"/>
                <w:lang w:val="en-GB"/>
              </w:rPr>
              <w:t>Explanation</w:t>
            </w:r>
          </w:p>
        </w:tc>
      </w:tr>
      <w:tr w:rsidR="00A23EA5" w:rsidRPr="00756DA5" w:rsidTr="00B775DD">
        <w:tc>
          <w:tcPr>
            <w:tcW w:w="2088" w:type="dxa"/>
          </w:tcPr>
          <w:p w:rsidR="00A23EA5" w:rsidRPr="00756DA5" w:rsidRDefault="00A23EA5" w:rsidP="00931AF3">
            <w:pPr>
              <w:spacing w:after="60" w:line="288" w:lineRule="auto"/>
              <w:rPr>
                <w:rStyle w:val="ECCHLbold"/>
                <w:rFonts w:cs="Arial"/>
                <w:lang w:val="en-GB"/>
              </w:rPr>
            </w:pPr>
            <w:r w:rsidRPr="00756DA5">
              <w:rPr>
                <w:rStyle w:val="ECCHLbold"/>
                <w:rFonts w:cs="Arial"/>
                <w:lang w:val="en-GB"/>
              </w:rPr>
              <w:t>3GPP</w:t>
            </w:r>
          </w:p>
        </w:tc>
        <w:tc>
          <w:tcPr>
            <w:tcW w:w="7767" w:type="dxa"/>
          </w:tcPr>
          <w:p w:rsidR="00A23EA5" w:rsidRPr="00756DA5" w:rsidRDefault="00A23EA5" w:rsidP="00931AF3">
            <w:pPr>
              <w:spacing w:after="60" w:line="288" w:lineRule="auto"/>
              <w:rPr>
                <w:rFonts w:cs="Arial"/>
                <w:lang w:val="en-GB"/>
              </w:rPr>
            </w:pPr>
            <w:r w:rsidRPr="00756DA5">
              <w:rPr>
                <w:rFonts w:cs="Arial"/>
                <w:lang w:val="en-GB"/>
              </w:rPr>
              <w:t>Third Generation Partnership Project</w:t>
            </w:r>
          </w:p>
        </w:tc>
      </w:tr>
      <w:tr w:rsidR="00A23EA5" w:rsidRPr="00756DA5" w:rsidTr="00BB2F5F">
        <w:tc>
          <w:tcPr>
            <w:tcW w:w="2088" w:type="dxa"/>
          </w:tcPr>
          <w:p w:rsidR="00A23EA5" w:rsidRPr="00756DA5" w:rsidRDefault="00A23EA5" w:rsidP="00BB2F5F">
            <w:pPr>
              <w:spacing w:after="60" w:line="288" w:lineRule="auto"/>
              <w:rPr>
                <w:rFonts w:cs="Arial"/>
                <w:b/>
                <w:lang w:val="en-GB"/>
              </w:rPr>
            </w:pPr>
            <w:r>
              <w:rPr>
                <w:rFonts w:cs="Arial"/>
                <w:b/>
                <w:lang w:val="en-GB"/>
              </w:rPr>
              <w:t>BS</w:t>
            </w:r>
          </w:p>
        </w:tc>
        <w:tc>
          <w:tcPr>
            <w:tcW w:w="7767" w:type="dxa"/>
          </w:tcPr>
          <w:p w:rsidR="00A23EA5" w:rsidRPr="00BB2F5F" w:rsidRDefault="00A23EA5" w:rsidP="00BB2F5F">
            <w:pPr>
              <w:spacing w:after="60" w:line="288" w:lineRule="auto"/>
              <w:rPr>
                <w:rFonts w:cs="Arial"/>
                <w:lang w:val="en-GB"/>
              </w:rPr>
            </w:pPr>
            <w:r w:rsidRPr="00BB2F5F">
              <w:rPr>
                <w:rFonts w:cs="Arial"/>
                <w:lang w:val="en-GB"/>
              </w:rPr>
              <w:t>Base Station</w:t>
            </w:r>
          </w:p>
        </w:tc>
      </w:tr>
      <w:tr w:rsidR="00A23EA5" w:rsidRPr="00756DA5" w:rsidTr="00B775DD">
        <w:tc>
          <w:tcPr>
            <w:tcW w:w="2088" w:type="dxa"/>
          </w:tcPr>
          <w:p w:rsidR="00A23EA5" w:rsidRPr="00756DA5" w:rsidRDefault="00A23EA5" w:rsidP="00931AF3">
            <w:pPr>
              <w:spacing w:after="60" w:line="288" w:lineRule="auto"/>
              <w:rPr>
                <w:rFonts w:cs="Arial"/>
                <w:b/>
                <w:lang w:val="en-GB"/>
              </w:rPr>
            </w:pPr>
            <w:r w:rsidRPr="00756DA5">
              <w:rPr>
                <w:rFonts w:cs="Arial"/>
                <w:b/>
                <w:lang w:val="en-GB"/>
              </w:rPr>
              <w:t>CEPT</w:t>
            </w:r>
          </w:p>
        </w:tc>
        <w:tc>
          <w:tcPr>
            <w:tcW w:w="7767" w:type="dxa"/>
          </w:tcPr>
          <w:p w:rsidR="00A23EA5" w:rsidRPr="00756DA5" w:rsidRDefault="00A23EA5" w:rsidP="00931AF3">
            <w:pPr>
              <w:spacing w:after="60" w:line="288" w:lineRule="auto"/>
              <w:rPr>
                <w:rFonts w:cs="Arial"/>
                <w:szCs w:val="20"/>
                <w:lang w:val="en-GB"/>
              </w:rPr>
            </w:pPr>
            <w:r w:rsidRPr="00756DA5">
              <w:rPr>
                <w:rFonts w:cs="Arial"/>
                <w:szCs w:val="20"/>
                <w:lang w:val="en-GB"/>
              </w:rPr>
              <w:t>European Conference of Postal and Telecommunications Administrations</w:t>
            </w:r>
          </w:p>
        </w:tc>
      </w:tr>
      <w:tr w:rsidR="00A23EA5" w:rsidRPr="00756DA5" w:rsidTr="00B775DD">
        <w:tc>
          <w:tcPr>
            <w:tcW w:w="2088" w:type="dxa"/>
          </w:tcPr>
          <w:p w:rsidR="00A23EA5" w:rsidRPr="00756DA5" w:rsidRDefault="00A23EA5" w:rsidP="00931AF3">
            <w:pPr>
              <w:spacing w:after="60" w:line="288" w:lineRule="auto"/>
              <w:rPr>
                <w:rFonts w:cs="Arial"/>
                <w:b/>
                <w:lang w:val="en-GB"/>
              </w:rPr>
            </w:pPr>
            <w:r w:rsidRPr="00756DA5">
              <w:rPr>
                <w:rFonts w:cs="Arial"/>
                <w:b/>
                <w:lang w:val="en-GB"/>
              </w:rPr>
              <w:t>EC</w:t>
            </w:r>
          </w:p>
        </w:tc>
        <w:tc>
          <w:tcPr>
            <w:tcW w:w="7767" w:type="dxa"/>
          </w:tcPr>
          <w:p w:rsidR="00A23EA5" w:rsidRPr="00756DA5" w:rsidRDefault="00A23EA5" w:rsidP="00931AF3">
            <w:pPr>
              <w:pStyle w:val="ECCParagraph"/>
              <w:spacing w:after="60" w:line="288" w:lineRule="auto"/>
              <w:jc w:val="left"/>
              <w:rPr>
                <w:rFonts w:cs="Arial"/>
              </w:rPr>
            </w:pPr>
            <w:r w:rsidRPr="00756DA5">
              <w:rPr>
                <w:rFonts w:cs="Arial"/>
              </w:rPr>
              <w:t>European Commission</w:t>
            </w:r>
          </w:p>
        </w:tc>
      </w:tr>
      <w:tr w:rsidR="00A23EA5" w:rsidRPr="00756DA5" w:rsidTr="00B775DD">
        <w:tc>
          <w:tcPr>
            <w:tcW w:w="2088" w:type="dxa"/>
          </w:tcPr>
          <w:p w:rsidR="00A23EA5" w:rsidRPr="00756DA5" w:rsidRDefault="00A23EA5" w:rsidP="00931AF3">
            <w:pPr>
              <w:spacing w:after="60" w:line="288" w:lineRule="auto"/>
              <w:rPr>
                <w:rFonts w:cs="Arial"/>
                <w:b/>
                <w:lang w:val="en-GB"/>
              </w:rPr>
            </w:pPr>
            <w:r w:rsidRPr="00756DA5">
              <w:rPr>
                <w:rFonts w:cs="Arial"/>
                <w:b/>
                <w:lang w:val="en-GB"/>
              </w:rPr>
              <w:t>ECC</w:t>
            </w:r>
          </w:p>
        </w:tc>
        <w:tc>
          <w:tcPr>
            <w:tcW w:w="7767" w:type="dxa"/>
          </w:tcPr>
          <w:p w:rsidR="00A23EA5" w:rsidRPr="00756DA5" w:rsidRDefault="00A23EA5" w:rsidP="00931AF3">
            <w:pPr>
              <w:pStyle w:val="ECCParagraph"/>
              <w:spacing w:after="60" w:line="288" w:lineRule="auto"/>
              <w:jc w:val="left"/>
              <w:rPr>
                <w:rFonts w:cs="Arial"/>
                <w:szCs w:val="20"/>
              </w:rPr>
            </w:pPr>
            <w:r w:rsidRPr="00756DA5">
              <w:rPr>
                <w:rFonts w:cs="Arial"/>
              </w:rPr>
              <w:t>Electronic Communications Committee</w:t>
            </w:r>
          </w:p>
        </w:tc>
      </w:tr>
      <w:tr w:rsidR="00A23EA5" w:rsidRPr="00756DA5" w:rsidTr="00B775DD">
        <w:tc>
          <w:tcPr>
            <w:tcW w:w="2088" w:type="dxa"/>
          </w:tcPr>
          <w:p w:rsidR="00A23EA5" w:rsidRPr="00756DA5" w:rsidRDefault="00A23EA5" w:rsidP="00931AF3">
            <w:pPr>
              <w:spacing w:after="60" w:line="288" w:lineRule="auto"/>
              <w:rPr>
                <w:rStyle w:val="ECCHLbold"/>
                <w:rFonts w:cs="Arial"/>
                <w:lang w:val="en-GB"/>
              </w:rPr>
            </w:pPr>
            <w:r w:rsidRPr="00756DA5">
              <w:rPr>
                <w:rStyle w:val="ECCHLbold"/>
                <w:rFonts w:cs="Arial"/>
                <w:lang w:val="en-GB"/>
              </w:rPr>
              <w:t>EC-GSM-IoT</w:t>
            </w:r>
          </w:p>
        </w:tc>
        <w:tc>
          <w:tcPr>
            <w:tcW w:w="7767" w:type="dxa"/>
          </w:tcPr>
          <w:p w:rsidR="00A23EA5" w:rsidRPr="00756DA5" w:rsidRDefault="00A23EA5" w:rsidP="00931AF3">
            <w:pPr>
              <w:spacing w:after="60" w:line="288" w:lineRule="auto"/>
              <w:rPr>
                <w:rFonts w:cs="Arial"/>
                <w:lang w:val="en-GB"/>
              </w:rPr>
            </w:pPr>
            <w:r w:rsidRPr="00756DA5">
              <w:rPr>
                <w:rFonts w:cs="Arial"/>
                <w:lang w:val="en-GB"/>
              </w:rPr>
              <w:t>Extended Coverage GSM IoT</w:t>
            </w:r>
          </w:p>
        </w:tc>
      </w:tr>
      <w:tr w:rsidR="00A23EA5" w:rsidRPr="00756DA5" w:rsidTr="00B775DD">
        <w:tc>
          <w:tcPr>
            <w:tcW w:w="2088" w:type="dxa"/>
          </w:tcPr>
          <w:p w:rsidR="00A23EA5" w:rsidRPr="00756DA5" w:rsidRDefault="00A23EA5" w:rsidP="00931AF3">
            <w:pPr>
              <w:spacing w:after="60" w:line="288" w:lineRule="auto"/>
              <w:rPr>
                <w:rStyle w:val="ECCHLbold"/>
                <w:rFonts w:cs="Arial"/>
                <w:lang w:val="en-GB"/>
              </w:rPr>
            </w:pPr>
            <w:r w:rsidRPr="00756DA5">
              <w:rPr>
                <w:rStyle w:val="ECCHLbold"/>
                <w:rFonts w:cs="Arial"/>
                <w:lang w:val="en-GB"/>
              </w:rPr>
              <w:t>EU</w:t>
            </w:r>
          </w:p>
        </w:tc>
        <w:tc>
          <w:tcPr>
            <w:tcW w:w="7767" w:type="dxa"/>
          </w:tcPr>
          <w:p w:rsidR="00A23EA5" w:rsidRPr="00756DA5" w:rsidRDefault="00A23EA5" w:rsidP="00931AF3">
            <w:pPr>
              <w:spacing w:after="60" w:line="288" w:lineRule="auto"/>
              <w:rPr>
                <w:rFonts w:cs="Arial"/>
                <w:lang w:val="en-GB"/>
              </w:rPr>
            </w:pPr>
            <w:r w:rsidRPr="00756DA5">
              <w:rPr>
                <w:rFonts w:cs="Arial"/>
                <w:lang w:val="en-GB"/>
              </w:rPr>
              <w:t>European Union</w:t>
            </w:r>
          </w:p>
        </w:tc>
      </w:tr>
      <w:tr w:rsidR="00A23EA5" w:rsidRPr="00756DA5" w:rsidTr="00B775DD">
        <w:tc>
          <w:tcPr>
            <w:tcW w:w="2088" w:type="dxa"/>
          </w:tcPr>
          <w:p w:rsidR="00A23EA5" w:rsidRPr="00756DA5" w:rsidRDefault="00A23EA5" w:rsidP="00931AF3">
            <w:pPr>
              <w:spacing w:after="60" w:line="288" w:lineRule="auto"/>
              <w:rPr>
                <w:rStyle w:val="ECCHLbold"/>
                <w:rFonts w:cs="Arial"/>
                <w:lang w:val="en-GB"/>
              </w:rPr>
            </w:pPr>
            <w:r w:rsidRPr="00756DA5">
              <w:rPr>
                <w:rStyle w:val="ECCHLbold"/>
                <w:rFonts w:cs="Arial"/>
                <w:lang w:val="en-GB"/>
              </w:rPr>
              <w:t>GB</w:t>
            </w:r>
          </w:p>
        </w:tc>
        <w:tc>
          <w:tcPr>
            <w:tcW w:w="7767" w:type="dxa"/>
          </w:tcPr>
          <w:p w:rsidR="00A23EA5" w:rsidRPr="00756DA5" w:rsidRDefault="00A23EA5" w:rsidP="00931AF3">
            <w:pPr>
              <w:spacing w:after="60" w:line="288" w:lineRule="auto"/>
              <w:rPr>
                <w:rFonts w:cs="Arial"/>
                <w:lang w:val="en-GB"/>
              </w:rPr>
            </w:pPr>
            <w:r w:rsidRPr="00756DA5">
              <w:rPr>
                <w:rFonts w:cs="Arial"/>
                <w:lang w:val="en-GB"/>
              </w:rPr>
              <w:t>Guard Band</w:t>
            </w:r>
          </w:p>
        </w:tc>
      </w:tr>
      <w:tr w:rsidR="00A23EA5" w:rsidRPr="00756DA5" w:rsidTr="00B775DD">
        <w:tc>
          <w:tcPr>
            <w:tcW w:w="2088" w:type="dxa"/>
          </w:tcPr>
          <w:p w:rsidR="00A23EA5" w:rsidRPr="00756DA5" w:rsidRDefault="00A23EA5" w:rsidP="00931AF3">
            <w:pPr>
              <w:spacing w:after="60" w:line="288" w:lineRule="auto"/>
              <w:rPr>
                <w:rStyle w:val="ECCHLbold"/>
                <w:rFonts w:cs="Arial"/>
                <w:lang w:val="en-GB"/>
              </w:rPr>
            </w:pPr>
            <w:r w:rsidRPr="00756DA5">
              <w:rPr>
                <w:rStyle w:val="ECCHLbold"/>
                <w:rFonts w:cs="Arial"/>
                <w:lang w:val="en-GB"/>
              </w:rPr>
              <w:t>GSM</w:t>
            </w:r>
          </w:p>
        </w:tc>
        <w:tc>
          <w:tcPr>
            <w:tcW w:w="7767" w:type="dxa"/>
          </w:tcPr>
          <w:p w:rsidR="00A23EA5" w:rsidRPr="00756DA5" w:rsidRDefault="00A23EA5" w:rsidP="00931AF3">
            <w:pPr>
              <w:spacing w:after="60" w:line="288" w:lineRule="auto"/>
              <w:rPr>
                <w:rFonts w:cs="Arial"/>
                <w:lang w:val="en-GB"/>
              </w:rPr>
            </w:pPr>
            <w:r w:rsidRPr="00756DA5">
              <w:rPr>
                <w:rFonts w:cs="Arial"/>
                <w:lang w:val="en-GB"/>
              </w:rPr>
              <w:t>Global System for Mobile Communications</w:t>
            </w:r>
          </w:p>
        </w:tc>
      </w:tr>
      <w:tr w:rsidR="00A23EA5" w:rsidRPr="00756DA5" w:rsidTr="00B775DD">
        <w:tc>
          <w:tcPr>
            <w:tcW w:w="2088" w:type="dxa"/>
          </w:tcPr>
          <w:p w:rsidR="00A23EA5" w:rsidRPr="00756DA5" w:rsidRDefault="00A23EA5" w:rsidP="00931AF3">
            <w:pPr>
              <w:spacing w:after="60" w:line="288" w:lineRule="auto"/>
              <w:rPr>
                <w:rFonts w:cs="Arial"/>
                <w:b/>
                <w:lang w:val="en-GB"/>
              </w:rPr>
            </w:pPr>
            <w:r w:rsidRPr="00756DA5">
              <w:rPr>
                <w:rFonts w:cs="Arial"/>
                <w:b/>
                <w:lang w:val="en-GB"/>
              </w:rPr>
              <w:t>IoT</w:t>
            </w:r>
          </w:p>
        </w:tc>
        <w:tc>
          <w:tcPr>
            <w:tcW w:w="7767" w:type="dxa"/>
          </w:tcPr>
          <w:p w:rsidR="00A23EA5" w:rsidRPr="00756DA5" w:rsidRDefault="00A23EA5" w:rsidP="00931AF3">
            <w:pPr>
              <w:pStyle w:val="ECCParagraph"/>
              <w:spacing w:after="60" w:line="288" w:lineRule="auto"/>
              <w:jc w:val="left"/>
              <w:rPr>
                <w:rFonts w:cs="Arial"/>
              </w:rPr>
            </w:pPr>
            <w:r w:rsidRPr="00756DA5">
              <w:rPr>
                <w:rFonts w:cs="Arial"/>
              </w:rPr>
              <w:t>Internet of Things</w:t>
            </w:r>
          </w:p>
        </w:tc>
      </w:tr>
      <w:tr w:rsidR="00A23EA5" w:rsidRPr="00756DA5" w:rsidTr="00B775DD">
        <w:tc>
          <w:tcPr>
            <w:tcW w:w="2088" w:type="dxa"/>
          </w:tcPr>
          <w:p w:rsidR="00A23EA5" w:rsidRPr="00756DA5" w:rsidRDefault="00A23EA5" w:rsidP="00931AF3">
            <w:pPr>
              <w:spacing w:after="60" w:line="288" w:lineRule="auto"/>
              <w:rPr>
                <w:rStyle w:val="ECCHLbold"/>
                <w:rFonts w:cs="Arial"/>
                <w:lang w:val="en-GB"/>
              </w:rPr>
            </w:pPr>
            <w:r w:rsidRPr="00756DA5" w:rsidDel="00337627">
              <w:rPr>
                <w:rStyle w:val="ECCHLbold"/>
                <w:rFonts w:cs="Arial"/>
                <w:lang w:val="en-GB"/>
              </w:rPr>
              <w:t>LRTC</w:t>
            </w:r>
          </w:p>
        </w:tc>
        <w:tc>
          <w:tcPr>
            <w:tcW w:w="7767" w:type="dxa"/>
          </w:tcPr>
          <w:p w:rsidR="00A23EA5" w:rsidRPr="00756DA5" w:rsidRDefault="00A23EA5" w:rsidP="00931AF3">
            <w:pPr>
              <w:spacing w:after="60" w:line="288" w:lineRule="auto"/>
              <w:rPr>
                <w:rFonts w:cs="Arial"/>
                <w:lang w:val="en-GB"/>
              </w:rPr>
            </w:pPr>
            <w:r w:rsidRPr="00756DA5" w:rsidDel="00337627">
              <w:rPr>
                <w:rFonts w:cs="Arial"/>
                <w:lang w:val="en-GB"/>
              </w:rPr>
              <w:t>Least Restrictive Technical Conditions</w:t>
            </w:r>
          </w:p>
        </w:tc>
      </w:tr>
      <w:tr w:rsidR="00A23EA5" w:rsidRPr="00756DA5" w:rsidTr="00B775DD">
        <w:tc>
          <w:tcPr>
            <w:tcW w:w="2088" w:type="dxa"/>
          </w:tcPr>
          <w:p w:rsidR="00A23EA5" w:rsidRPr="00756DA5" w:rsidRDefault="00A23EA5" w:rsidP="00931AF3">
            <w:pPr>
              <w:spacing w:after="60" w:line="288" w:lineRule="auto"/>
              <w:rPr>
                <w:rStyle w:val="ECCHLbold"/>
                <w:rFonts w:cs="Arial"/>
                <w:lang w:val="en-GB"/>
              </w:rPr>
            </w:pPr>
            <w:r w:rsidRPr="00756DA5">
              <w:rPr>
                <w:rStyle w:val="ECCHLbold"/>
                <w:rFonts w:cs="Arial"/>
                <w:lang w:val="en-GB"/>
              </w:rPr>
              <w:t>LTE</w:t>
            </w:r>
          </w:p>
        </w:tc>
        <w:tc>
          <w:tcPr>
            <w:tcW w:w="7767" w:type="dxa"/>
          </w:tcPr>
          <w:p w:rsidR="00A23EA5" w:rsidRPr="00756DA5" w:rsidRDefault="00A23EA5" w:rsidP="00931AF3">
            <w:pPr>
              <w:spacing w:after="60" w:line="288" w:lineRule="auto"/>
              <w:rPr>
                <w:rFonts w:cs="Arial"/>
                <w:lang w:val="en-GB"/>
              </w:rPr>
            </w:pPr>
            <w:r w:rsidRPr="00756DA5">
              <w:rPr>
                <w:rFonts w:cs="Arial"/>
                <w:lang w:val="en-GB"/>
              </w:rPr>
              <w:t>Long Term Evolution</w:t>
            </w:r>
          </w:p>
        </w:tc>
      </w:tr>
      <w:tr w:rsidR="00A23EA5" w:rsidRPr="00756DA5" w:rsidTr="00B775DD">
        <w:tc>
          <w:tcPr>
            <w:tcW w:w="2088" w:type="dxa"/>
          </w:tcPr>
          <w:p w:rsidR="00A23EA5" w:rsidRPr="00756DA5" w:rsidRDefault="00A23EA5" w:rsidP="00931AF3">
            <w:pPr>
              <w:spacing w:after="60" w:line="288" w:lineRule="auto"/>
              <w:rPr>
                <w:rStyle w:val="ECCHLbold"/>
                <w:rFonts w:cs="Arial"/>
                <w:lang w:val="en-GB"/>
              </w:rPr>
            </w:pPr>
            <w:r w:rsidRPr="00756DA5">
              <w:rPr>
                <w:rStyle w:val="ECCHLbold"/>
                <w:rFonts w:cs="Arial"/>
                <w:lang w:val="en-GB"/>
              </w:rPr>
              <w:t>LTE-eMTC</w:t>
            </w:r>
          </w:p>
        </w:tc>
        <w:tc>
          <w:tcPr>
            <w:tcW w:w="7767" w:type="dxa"/>
          </w:tcPr>
          <w:p w:rsidR="00A23EA5" w:rsidRPr="00756DA5" w:rsidRDefault="00A23EA5" w:rsidP="00931AF3">
            <w:pPr>
              <w:spacing w:after="60" w:line="288" w:lineRule="auto"/>
              <w:rPr>
                <w:rFonts w:cs="Arial"/>
                <w:lang w:val="en-GB"/>
              </w:rPr>
            </w:pPr>
            <w:r w:rsidRPr="00756DA5">
              <w:rPr>
                <w:rFonts w:cs="Arial"/>
                <w:lang w:val="en-GB"/>
              </w:rPr>
              <w:t>LTE evolved Machine Type Communications</w:t>
            </w:r>
          </w:p>
        </w:tc>
      </w:tr>
      <w:tr w:rsidR="00A23EA5" w:rsidRPr="00756DA5" w:rsidTr="00B775DD">
        <w:tc>
          <w:tcPr>
            <w:tcW w:w="2088" w:type="dxa"/>
          </w:tcPr>
          <w:p w:rsidR="00A23EA5" w:rsidRPr="00756DA5" w:rsidRDefault="00A23EA5" w:rsidP="00931AF3">
            <w:pPr>
              <w:spacing w:after="60" w:line="288" w:lineRule="auto"/>
              <w:rPr>
                <w:rStyle w:val="ECCHLbold"/>
                <w:rFonts w:cs="Arial"/>
                <w:lang w:val="en-GB"/>
              </w:rPr>
            </w:pPr>
            <w:r w:rsidRPr="00756DA5">
              <w:rPr>
                <w:rStyle w:val="ECCHLbold"/>
                <w:rFonts w:cs="Arial"/>
                <w:lang w:val="en-GB"/>
              </w:rPr>
              <w:t>LTE-MTC</w:t>
            </w:r>
          </w:p>
        </w:tc>
        <w:tc>
          <w:tcPr>
            <w:tcW w:w="7767" w:type="dxa"/>
          </w:tcPr>
          <w:p w:rsidR="00A23EA5" w:rsidRPr="00756DA5" w:rsidRDefault="00A23EA5" w:rsidP="00931AF3">
            <w:pPr>
              <w:spacing w:after="60" w:line="288" w:lineRule="auto"/>
              <w:rPr>
                <w:rFonts w:cs="Arial"/>
                <w:lang w:val="en-GB"/>
              </w:rPr>
            </w:pPr>
            <w:r w:rsidRPr="00756DA5">
              <w:rPr>
                <w:rFonts w:cs="Arial"/>
                <w:lang w:val="en-GB"/>
              </w:rPr>
              <w:t>LTE Machine Type Communications</w:t>
            </w:r>
          </w:p>
        </w:tc>
      </w:tr>
      <w:tr w:rsidR="00A23EA5" w:rsidRPr="00756DA5" w:rsidTr="00B775DD">
        <w:tc>
          <w:tcPr>
            <w:tcW w:w="2088" w:type="dxa"/>
          </w:tcPr>
          <w:p w:rsidR="00A23EA5" w:rsidRPr="00756DA5" w:rsidRDefault="00A23EA5" w:rsidP="00931AF3">
            <w:pPr>
              <w:spacing w:after="60" w:line="288" w:lineRule="auto"/>
              <w:rPr>
                <w:rFonts w:cs="Arial"/>
                <w:b/>
                <w:lang w:val="en-GB"/>
              </w:rPr>
            </w:pPr>
            <w:r w:rsidRPr="00756DA5">
              <w:rPr>
                <w:rFonts w:cs="Arial"/>
                <w:b/>
                <w:lang w:val="en-GB"/>
              </w:rPr>
              <w:t>M2M</w:t>
            </w:r>
          </w:p>
        </w:tc>
        <w:tc>
          <w:tcPr>
            <w:tcW w:w="7767" w:type="dxa"/>
          </w:tcPr>
          <w:p w:rsidR="00A23EA5" w:rsidRPr="00756DA5" w:rsidRDefault="00A23EA5" w:rsidP="00A1047A">
            <w:pPr>
              <w:pStyle w:val="ECCParagraph"/>
              <w:spacing w:after="60" w:line="288" w:lineRule="auto"/>
              <w:jc w:val="left"/>
              <w:rPr>
                <w:rFonts w:cs="Arial"/>
              </w:rPr>
            </w:pPr>
            <w:r w:rsidRPr="00756DA5">
              <w:t>Machine</w:t>
            </w:r>
            <w:r>
              <w:t>-</w:t>
            </w:r>
            <w:r w:rsidRPr="00756DA5">
              <w:t>to</w:t>
            </w:r>
            <w:r>
              <w:t>-</w:t>
            </w:r>
            <w:r w:rsidRPr="00756DA5">
              <w:t>Machine</w:t>
            </w:r>
          </w:p>
        </w:tc>
      </w:tr>
      <w:tr w:rsidR="00A23EA5" w:rsidRPr="00756DA5" w:rsidTr="00B775DD">
        <w:tc>
          <w:tcPr>
            <w:tcW w:w="2088" w:type="dxa"/>
          </w:tcPr>
          <w:p w:rsidR="00A23EA5" w:rsidRPr="00756DA5" w:rsidRDefault="00A23EA5" w:rsidP="00931AF3">
            <w:pPr>
              <w:spacing w:after="60" w:line="288" w:lineRule="auto"/>
              <w:rPr>
                <w:rStyle w:val="ECCHLbold"/>
                <w:rFonts w:cs="Arial"/>
                <w:lang w:val="en-GB"/>
              </w:rPr>
            </w:pPr>
            <w:r w:rsidRPr="00756DA5">
              <w:rPr>
                <w:rStyle w:val="ECCHLbold"/>
                <w:rFonts w:cs="Arial"/>
                <w:lang w:val="en-GB"/>
              </w:rPr>
              <w:t>MNO</w:t>
            </w:r>
          </w:p>
        </w:tc>
        <w:tc>
          <w:tcPr>
            <w:tcW w:w="7767" w:type="dxa"/>
          </w:tcPr>
          <w:p w:rsidR="00A23EA5" w:rsidRPr="00756DA5" w:rsidRDefault="00A23EA5" w:rsidP="00931AF3">
            <w:pPr>
              <w:spacing w:after="60" w:line="288" w:lineRule="auto"/>
              <w:rPr>
                <w:rFonts w:cs="Arial"/>
                <w:lang w:val="en-GB"/>
              </w:rPr>
            </w:pPr>
            <w:r w:rsidRPr="00756DA5">
              <w:rPr>
                <w:rFonts w:cs="Arial"/>
                <w:lang w:val="en-GB"/>
              </w:rPr>
              <w:t>Mobile Network Operator</w:t>
            </w:r>
          </w:p>
        </w:tc>
      </w:tr>
      <w:tr w:rsidR="00A23EA5" w:rsidRPr="00756DA5" w:rsidTr="00B775DD">
        <w:tc>
          <w:tcPr>
            <w:tcW w:w="2088" w:type="dxa"/>
          </w:tcPr>
          <w:p w:rsidR="00A23EA5" w:rsidRPr="00756DA5" w:rsidRDefault="00A23EA5" w:rsidP="00931AF3">
            <w:pPr>
              <w:spacing w:after="60" w:line="288" w:lineRule="auto"/>
              <w:rPr>
                <w:rStyle w:val="ECCHLbold"/>
                <w:rFonts w:cs="Arial"/>
                <w:lang w:val="en-GB"/>
              </w:rPr>
            </w:pPr>
            <w:r w:rsidRPr="00756DA5">
              <w:rPr>
                <w:rStyle w:val="ECCHLbold"/>
                <w:rFonts w:cs="Arial"/>
                <w:lang w:val="en-GB"/>
              </w:rPr>
              <w:t>MTC</w:t>
            </w:r>
          </w:p>
        </w:tc>
        <w:tc>
          <w:tcPr>
            <w:tcW w:w="7767" w:type="dxa"/>
          </w:tcPr>
          <w:p w:rsidR="00A23EA5" w:rsidRPr="00756DA5" w:rsidRDefault="00A23EA5" w:rsidP="00931AF3">
            <w:pPr>
              <w:spacing w:after="60" w:line="288" w:lineRule="auto"/>
              <w:rPr>
                <w:rFonts w:cs="Arial"/>
                <w:lang w:val="en-GB"/>
              </w:rPr>
            </w:pPr>
            <w:r w:rsidRPr="00756DA5">
              <w:rPr>
                <w:rFonts w:cs="Arial"/>
                <w:lang w:val="en-GB"/>
              </w:rPr>
              <w:t>Machine Type Communications</w:t>
            </w:r>
          </w:p>
        </w:tc>
      </w:tr>
      <w:tr w:rsidR="00A23EA5" w:rsidRPr="00756DA5" w:rsidTr="00B775DD">
        <w:tc>
          <w:tcPr>
            <w:tcW w:w="2088" w:type="dxa"/>
          </w:tcPr>
          <w:p w:rsidR="00A23EA5" w:rsidRPr="00756DA5" w:rsidRDefault="00A23EA5" w:rsidP="00931AF3">
            <w:pPr>
              <w:spacing w:after="60" w:line="288" w:lineRule="auto"/>
              <w:rPr>
                <w:rStyle w:val="ECCHLbold"/>
                <w:rFonts w:cs="Arial"/>
                <w:lang w:val="en-GB"/>
              </w:rPr>
            </w:pPr>
            <w:r w:rsidRPr="00756DA5">
              <w:rPr>
                <w:rStyle w:val="ECCHLbold"/>
                <w:rFonts w:cs="Arial"/>
                <w:lang w:val="en-GB"/>
              </w:rPr>
              <w:t>NB-IoT</w:t>
            </w:r>
          </w:p>
        </w:tc>
        <w:tc>
          <w:tcPr>
            <w:tcW w:w="7767" w:type="dxa"/>
          </w:tcPr>
          <w:p w:rsidR="00A23EA5" w:rsidRPr="00756DA5" w:rsidRDefault="00A23EA5" w:rsidP="00931AF3">
            <w:pPr>
              <w:spacing w:after="60" w:line="288" w:lineRule="auto"/>
              <w:rPr>
                <w:rFonts w:cs="Arial"/>
                <w:lang w:val="en-GB"/>
              </w:rPr>
            </w:pPr>
            <w:r w:rsidRPr="00756DA5">
              <w:rPr>
                <w:rFonts w:cs="Arial"/>
                <w:lang w:val="en-GB"/>
              </w:rPr>
              <w:t>Narrowband IoT</w:t>
            </w:r>
          </w:p>
        </w:tc>
      </w:tr>
      <w:tr w:rsidR="00A23EA5" w:rsidRPr="00756DA5" w:rsidTr="00BB2F5F">
        <w:tc>
          <w:tcPr>
            <w:tcW w:w="2088" w:type="dxa"/>
          </w:tcPr>
          <w:p w:rsidR="00A23EA5" w:rsidRPr="00BB2F5F" w:rsidRDefault="00A23EA5" w:rsidP="00BB2F5F">
            <w:pPr>
              <w:spacing w:after="60" w:line="288" w:lineRule="auto"/>
              <w:rPr>
                <w:rStyle w:val="ECCHLbold"/>
                <w:rFonts w:cs="Arial"/>
                <w:lang w:val="en-GB"/>
              </w:rPr>
            </w:pPr>
            <w:r w:rsidRPr="00C15A03">
              <w:rPr>
                <w:rFonts w:cs="Arial"/>
                <w:b/>
                <w:lang w:val="en-GB"/>
              </w:rPr>
              <w:t>OFDMA</w:t>
            </w:r>
          </w:p>
        </w:tc>
        <w:tc>
          <w:tcPr>
            <w:tcW w:w="7767" w:type="dxa"/>
          </w:tcPr>
          <w:p w:rsidR="00A23EA5" w:rsidRPr="00756DA5" w:rsidRDefault="00A23EA5" w:rsidP="00BB2F5F">
            <w:pPr>
              <w:spacing w:after="60" w:line="288" w:lineRule="auto"/>
              <w:rPr>
                <w:rFonts w:cs="Arial"/>
                <w:lang w:val="en-GB"/>
              </w:rPr>
            </w:pPr>
            <w:r w:rsidRPr="00756DA5">
              <w:rPr>
                <w:rFonts w:cs="Arial"/>
                <w:lang w:val="en-GB"/>
              </w:rPr>
              <w:t>Orthogonal Freq</w:t>
            </w:r>
            <w:r>
              <w:rPr>
                <w:rFonts w:cs="Arial"/>
                <w:lang w:val="en-GB"/>
              </w:rPr>
              <w:t>uency Division Multiple Access</w:t>
            </w:r>
          </w:p>
        </w:tc>
      </w:tr>
      <w:tr w:rsidR="00A23EA5" w:rsidRPr="00756DA5" w:rsidTr="00B775DD">
        <w:tc>
          <w:tcPr>
            <w:tcW w:w="2088" w:type="dxa"/>
          </w:tcPr>
          <w:p w:rsidR="00A23EA5" w:rsidRPr="00756DA5" w:rsidRDefault="00A23EA5" w:rsidP="00931AF3">
            <w:pPr>
              <w:spacing w:after="60" w:line="288" w:lineRule="auto"/>
              <w:rPr>
                <w:rStyle w:val="ECCHLbold"/>
                <w:rFonts w:cs="Arial"/>
                <w:lang w:val="en-GB"/>
              </w:rPr>
            </w:pPr>
            <w:r w:rsidRPr="00756DA5">
              <w:rPr>
                <w:rStyle w:val="ECCHLbold"/>
                <w:rFonts w:cs="Arial"/>
                <w:lang w:val="en-GB"/>
              </w:rPr>
              <w:t>SA</w:t>
            </w:r>
          </w:p>
        </w:tc>
        <w:tc>
          <w:tcPr>
            <w:tcW w:w="7767" w:type="dxa"/>
          </w:tcPr>
          <w:p w:rsidR="00A23EA5" w:rsidRPr="00756DA5" w:rsidRDefault="00A23EA5" w:rsidP="00337627">
            <w:pPr>
              <w:spacing w:after="60" w:line="288" w:lineRule="auto"/>
              <w:rPr>
                <w:rFonts w:cs="Arial"/>
                <w:lang w:val="en-GB"/>
              </w:rPr>
            </w:pPr>
            <w:r w:rsidRPr="00756DA5">
              <w:rPr>
                <w:rFonts w:cs="Arial"/>
                <w:lang w:val="en-GB"/>
              </w:rPr>
              <w:t>Stand</w:t>
            </w:r>
            <w:r>
              <w:rPr>
                <w:rFonts w:cs="Arial"/>
                <w:lang w:val="en-GB"/>
              </w:rPr>
              <w:t>alone</w:t>
            </w:r>
            <w:r w:rsidRPr="00756DA5" w:rsidDel="00337627">
              <w:rPr>
                <w:rFonts w:cs="Arial"/>
                <w:lang w:val="en-GB"/>
              </w:rPr>
              <w:t xml:space="preserve"> Alone</w:t>
            </w:r>
          </w:p>
        </w:tc>
      </w:tr>
      <w:tr w:rsidR="00A23EA5" w:rsidRPr="00756DA5" w:rsidTr="00BB2F5F">
        <w:tc>
          <w:tcPr>
            <w:tcW w:w="2088" w:type="dxa"/>
          </w:tcPr>
          <w:p w:rsidR="00A23EA5" w:rsidRPr="00894A03" w:rsidRDefault="00A23EA5" w:rsidP="00BB2F5F">
            <w:pPr>
              <w:spacing w:after="60" w:line="288" w:lineRule="auto"/>
              <w:rPr>
                <w:rFonts w:cs="Arial"/>
                <w:b/>
                <w:lang w:val="en-GB"/>
              </w:rPr>
            </w:pPr>
            <w:r>
              <w:rPr>
                <w:rFonts w:cs="Arial"/>
                <w:b/>
                <w:lang w:val="en-GB"/>
              </w:rPr>
              <w:t>UE</w:t>
            </w:r>
          </w:p>
        </w:tc>
        <w:tc>
          <w:tcPr>
            <w:tcW w:w="7767" w:type="dxa"/>
          </w:tcPr>
          <w:p w:rsidR="00A23EA5" w:rsidRPr="00756DA5" w:rsidRDefault="00A23EA5" w:rsidP="00BB2F5F">
            <w:pPr>
              <w:spacing w:after="60" w:line="288" w:lineRule="auto"/>
              <w:rPr>
                <w:rFonts w:cs="Arial"/>
                <w:lang w:val="en-GB"/>
              </w:rPr>
            </w:pPr>
            <w:r>
              <w:rPr>
                <w:rFonts w:cs="Arial"/>
                <w:lang w:val="en-GB"/>
              </w:rPr>
              <w:t>User Equipment</w:t>
            </w:r>
          </w:p>
        </w:tc>
      </w:tr>
      <w:tr w:rsidR="00A23EA5" w:rsidTr="00BB2F5F">
        <w:tc>
          <w:tcPr>
            <w:tcW w:w="2088" w:type="dxa"/>
          </w:tcPr>
          <w:p w:rsidR="00A23EA5" w:rsidRDefault="00A23EA5" w:rsidP="00BB2F5F">
            <w:pPr>
              <w:spacing w:after="60" w:line="288" w:lineRule="auto"/>
              <w:rPr>
                <w:rFonts w:cs="Arial"/>
                <w:b/>
                <w:lang w:val="en-GB"/>
              </w:rPr>
            </w:pPr>
            <w:r>
              <w:rPr>
                <w:rFonts w:cs="Arial"/>
                <w:b/>
                <w:lang w:val="en-GB"/>
              </w:rPr>
              <w:t>WBB ECS</w:t>
            </w:r>
          </w:p>
        </w:tc>
        <w:tc>
          <w:tcPr>
            <w:tcW w:w="7767" w:type="dxa"/>
          </w:tcPr>
          <w:p w:rsidR="00A23EA5" w:rsidRDefault="00A23EA5" w:rsidP="00BB2F5F">
            <w:pPr>
              <w:spacing w:after="60" w:line="288" w:lineRule="auto"/>
              <w:rPr>
                <w:rFonts w:cs="Arial"/>
                <w:lang w:val="en-GB"/>
              </w:rPr>
            </w:pPr>
            <w:r>
              <w:rPr>
                <w:rFonts w:cs="Arial"/>
                <w:lang w:val="en-GB"/>
              </w:rPr>
              <w:t>Wireless Broadband Electronic Communication Services</w:t>
            </w:r>
          </w:p>
        </w:tc>
      </w:tr>
    </w:tbl>
    <w:p w:rsidR="00AB46DF" w:rsidRPr="00756DA5" w:rsidRDefault="00AB46DF" w:rsidP="00AB46DF">
      <w:pPr>
        <w:rPr>
          <w:rFonts w:cs="Arial"/>
          <w:lang w:val="en-GB"/>
        </w:rPr>
      </w:pPr>
    </w:p>
    <w:p w:rsidR="00AB46DF" w:rsidRPr="00756DA5" w:rsidRDefault="003C3EE4" w:rsidP="00AB46DF">
      <w:pPr>
        <w:pStyle w:val="Heading1"/>
      </w:pPr>
      <w:bookmarkStart w:id="4" w:name="_Toc508112832"/>
      <w:r w:rsidRPr="00756DA5">
        <w:lastRenderedPageBreak/>
        <w:t>Introduction</w:t>
      </w:r>
      <w:bookmarkEnd w:id="4"/>
    </w:p>
    <w:p w:rsidR="00DA360A" w:rsidRPr="00B76AEE" w:rsidRDefault="00DA360A" w:rsidP="00C67D2F">
      <w:pPr>
        <w:pStyle w:val="ECCParagraph"/>
      </w:pPr>
      <w:r w:rsidRPr="00C67D2F">
        <w:t>In July 2017 the European Commission (EC) issued a Mandate to CEPT to review the harmonised technical conditions for use of the 900 MHz and 1800 MHz freq</w:t>
      </w:r>
      <w:r w:rsidRPr="000B3DAE">
        <w:t>uency bands for terrestrial wireless broadband electronic communications services in support of the Internet of Things</w:t>
      </w:r>
      <w:r w:rsidR="000B3DAE">
        <w:t xml:space="preserve"> (I</w:t>
      </w:r>
      <w:r w:rsidR="000B3DAE">
        <w:tab/>
        <w:t>oT)</w:t>
      </w:r>
      <w:r w:rsidRPr="000B3DAE">
        <w:t xml:space="preserve"> in the Union. The Mandate is provided in </w:t>
      </w:r>
      <w:r w:rsidRPr="00C67D2F">
        <w:fldChar w:fldCharType="begin"/>
      </w:r>
      <w:r w:rsidRPr="000B3DAE">
        <w:instrText xml:space="preserve"> REF _Ref491271521 \r \h </w:instrText>
      </w:r>
      <w:r w:rsidR="00287E9E" w:rsidRPr="000B3DAE">
        <w:instrText xml:space="preserve"> \* MERGEFORMAT </w:instrText>
      </w:r>
      <w:r w:rsidRPr="00C67D2F">
        <w:fldChar w:fldCharType="separate"/>
      </w:r>
      <w:r w:rsidR="009D1B2D">
        <w:t>ANNEX 1:</w:t>
      </w:r>
      <w:r w:rsidRPr="00C67D2F">
        <w:fldChar w:fldCharType="end"/>
      </w:r>
      <w:r w:rsidRPr="00C67D2F">
        <w:t xml:space="preserve">. CEPT </w:t>
      </w:r>
      <w:r w:rsidR="00756DA5" w:rsidRPr="00C67D2F">
        <w:t xml:space="preserve">was </w:t>
      </w:r>
      <w:r w:rsidRPr="00B76AEE">
        <w:t>tasked in particular to:</w:t>
      </w:r>
    </w:p>
    <w:p w:rsidR="00DA360A" w:rsidRPr="00756DA5" w:rsidRDefault="00FD2F22" w:rsidP="00304FF6">
      <w:pPr>
        <w:pStyle w:val="ECCParagraph"/>
        <w:ind w:left="1440" w:hanging="720"/>
        <w:rPr>
          <w:rFonts w:cs="Arial"/>
        </w:rPr>
      </w:pPr>
      <w:r w:rsidRPr="00756DA5">
        <w:rPr>
          <w:rFonts w:cs="Arial"/>
        </w:rPr>
        <w:t>“</w:t>
      </w:r>
      <w:r w:rsidR="001F2CD7" w:rsidRPr="00756DA5">
        <w:rPr>
          <w:rFonts w:cs="Arial"/>
        </w:rPr>
        <w:t xml:space="preserve"> </w:t>
      </w:r>
      <w:r w:rsidR="00DA360A" w:rsidRPr="00756DA5">
        <w:rPr>
          <w:rFonts w:cs="Arial"/>
        </w:rPr>
        <w:t>1.</w:t>
      </w:r>
      <w:r w:rsidR="00DA360A" w:rsidRPr="00756DA5">
        <w:rPr>
          <w:rFonts w:cs="Arial"/>
        </w:rPr>
        <w:tab/>
        <w:t>Study and assess the harmonised technical conditions applicable to the 880-915 MHz / 925-960 MHz and 1710-1785 MHz / 1805-1880 MHz frequency bands with view to their suitability for IoT applications.</w:t>
      </w:r>
    </w:p>
    <w:p w:rsidR="00DA360A" w:rsidRPr="00756DA5" w:rsidRDefault="00DA360A" w:rsidP="001F2CD7">
      <w:pPr>
        <w:pStyle w:val="ECCParagraph"/>
        <w:ind w:left="1440" w:hanging="600"/>
        <w:rPr>
          <w:rFonts w:cs="Arial"/>
        </w:rPr>
      </w:pPr>
      <w:r w:rsidRPr="00756DA5">
        <w:rPr>
          <w:rFonts w:cs="Arial"/>
        </w:rPr>
        <w:t>2.</w:t>
      </w:r>
      <w:r w:rsidRPr="00756DA5">
        <w:rPr>
          <w:rFonts w:cs="Arial"/>
        </w:rPr>
        <w:tab/>
        <w:t xml:space="preserve">Based on the results under Task 1, amend, if necessary, the harmonised technical conditions applicable to both bands, with focus on applicable technology standards, for the provision of terrestrial wireless broadband electronic communications services, so as to ensure both, backward compatibility with existing use, and suitability for IoT applications. </w:t>
      </w:r>
    </w:p>
    <w:p w:rsidR="00DA360A" w:rsidRPr="00756DA5" w:rsidRDefault="00DA360A" w:rsidP="001406E6">
      <w:pPr>
        <w:pStyle w:val="ECCParagraph"/>
        <w:rPr>
          <w:rFonts w:cs="Arial"/>
        </w:rPr>
      </w:pPr>
      <w:r w:rsidRPr="00756DA5">
        <w:rPr>
          <w:rFonts w:cs="Arial"/>
        </w:rPr>
        <w:t>The amended technical conditions to address IoT use should also be sufficient to ensure co-existence with GSM and other incumbent services and services/applications in adjacent bands, in line with their regulatory status, including at the EU outer borders.</w:t>
      </w:r>
      <w:r w:rsidR="00FD2F22" w:rsidRPr="00756DA5">
        <w:rPr>
          <w:rFonts w:cs="Arial"/>
        </w:rPr>
        <w:t>”</w:t>
      </w:r>
    </w:p>
    <w:p w:rsidR="00AB46DF" w:rsidRPr="000B3DAE" w:rsidRDefault="00DA360A" w:rsidP="00C67D2F">
      <w:pPr>
        <w:pStyle w:val="ECCParagraph"/>
      </w:pPr>
      <w:r w:rsidRPr="00C67D2F">
        <w:t xml:space="preserve">This CEPT Report </w:t>
      </w:r>
      <w:r w:rsidR="00FD2F22" w:rsidRPr="00B76AEE">
        <w:t>is</w:t>
      </w:r>
      <w:r w:rsidRPr="00B76AEE">
        <w:t xml:space="preserve"> the response to the</w:t>
      </w:r>
      <w:r w:rsidR="00FD2F22" w:rsidRPr="000B3DAE">
        <w:t xml:space="preserve"> tasks of the</w:t>
      </w:r>
      <w:r w:rsidRPr="000B3DAE">
        <w:t xml:space="preserve"> EC Mandate</w:t>
      </w:r>
      <w:r w:rsidR="003C3EE4" w:rsidRPr="000B3DAE">
        <w:t>.</w:t>
      </w:r>
      <w:r w:rsidRPr="000B3DAE">
        <w:t xml:space="preserve"> </w:t>
      </w:r>
    </w:p>
    <w:p w:rsidR="00FD2F22" w:rsidRPr="00756DA5" w:rsidRDefault="00FD2F22" w:rsidP="00AB46DF">
      <w:pPr>
        <w:pStyle w:val="Heading1"/>
      </w:pPr>
      <w:bookmarkStart w:id="5" w:name="_Toc508112833"/>
      <w:bookmarkStart w:id="6" w:name="_Ref274743743"/>
      <w:r w:rsidRPr="00756DA5">
        <w:lastRenderedPageBreak/>
        <w:t>I</w:t>
      </w:r>
      <w:r w:rsidR="0097227A" w:rsidRPr="00756DA5">
        <w:rPr>
          <w:caps w:val="0"/>
        </w:rPr>
        <w:t>o</w:t>
      </w:r>
      <w:r w:rsidRPr="00756DA5">
        <w:t>T technology and deployment scenarios</w:t>
      </w:r>
      <w:bookmarkEnd w:id="5"/>
    </w:p>
    <w:p w:rsidR="005735C3" w:rsidRPr="00756DA5" w:rsidRDefault="005735C3" w:rsidP="005735C3">
      <w:pPr>
        <w:pStyle w:val="Heading2"/>
        <w:numPr>
          <w:ilvl w:val="1"/>
          <w:numId w:val="1"/>
        </w:numPr>
        <w:spacing w:after="60"/>
        <w:jc w:val="both"/>
        <w:rPr>
          <w:lang w:val="en-GB"/>
        </w:rPr>
      </w:pPr>
      <w:bookmarkStart w:id="7" w:name="_Toc508112834"/>
      <w:bookmarkStart w:id="8" w:name="_Ref474336910"/>
      <w:bookmarkStart w:id="9" w:name="_Toc476574132"/>
      <w:bookmarkStart w:id="10" w:name="_Toc486496636"/>
      <w:r w:rsidRPr="00756DA5">
        <w:rPr>
          <w:lang w:val="en-GB"/>
        </w:rPr>
        <w:t>Introduction to M2M I</w:t>
      </w:r>
      <w:r w:rsidRPr="00756DA5">
        <w:rPr>
          <w:caps w:val="0"/>
          <w:lang w:val="en-GB"/>
        </w:rPr>
        <w:t>o</w:t>
      </w:r>
      <w:r w:rsidRPr="00756DA5">
        <w:rPr>
          <w:lang w:val="en-GB"/>
        </w:rPr>
        <w:t>T</w:t>
      </w:r>
      <w:r>
        <w:rPr>
          <w:lang w:val="en-GB"/>
        </w:rPr>
        <w:t xml:space="preserve"> cellular systems</w:t>
      </w:r>
      <w:bookmarkEnd w:id="7"/>
    </w:p>
    <w:bookmarkEnd w:id="8"/>
    <w:bookmarkEnd w:id="9"/>
    <w:bookmarkEnd w:id="10"/>
    <w:p w:rsidR="00C67861" w:rsidRPr="00756DA5" w:rsidRDefault="005E7772" w:rsidP="00B84810">
      <w:pPr>
        <w:pStyle w:val="ECCParagraph"/>
      </w:pPr>
      <w:r w:rsidRPr="00756DA5">
        <w:t>Machine</w:t>
      </w:r>
      <w:r>
        <w:t>-</w:t>
      </w:r>
      <w:r w:rsidRPr="00756DA5">
        <w:t>to</w:t>
      </w:r>
      <w:r>
        <w:t>-</w:t>
      </w:r>
      <w:r w:rsidRPr="00756DA5">
        <w:t xml:space="preserve">Machine </w:t>
      </w:r>
      <w:r w:rsidR="00B922F1" w:rsidRPr="00756DA5">
        <w:t>(M2M) communication and the Internet of Things (IoT) are widely considered as applications with significant growth potential. Among IoT technologies, some are designed to operate in licenced spectrum, in the context of</w:t>
      </w:r>
      <w:r w:rsidR="00756DA5" w:rsidRPr="00756DA5">
        <w:t xml:space="preserve"> terrestrial wireless broadband electronic communications services</w:t>
      </w:r>
      <w:r w:rsidR="00756DA5">
        <w:t xml:space="preserve"> (WBB ECS)</w:t>
      </w:r>
      <w:r w:rsidR="00B922F1" w:rsidRPr="00756DA5">
        <w:t>.</w:t>
      </w:r>
    </w:p>
    <w:p w:rsidR="001F2CD7" w:rsidRPr="00756DA5" w:rsidRDefault="00C67861" w:rsidP="00B84810">
      <w:pPr>
        <w:pStyle w:val="ECCParagraph"/>
      </w:pPr>
      <w:r w:rsidRPr="00756DA5">
        <w:t xml:space="preserve">In the foreseen usage of these bands for M2M cellular IoT standardised by 3GPP and ETSI, ECC Report 266 </w:t>
      </w:r>
      <w:r w:rsidR="004235B6">
        <w:fldChar w:fldCharType="begin"/>
      </w:r>
      <w:r w:rsidR="004235B6">
        <w:instrText xml:space="preserve"> REF _Ref491272265 \r \h </w:instrText>
      </w:r>
      <w:r w:rsidR="004235B6">
        <w:fldChar w:fldCharType="separate"/>
      </w:r>
      <w:r w:rsidR="009D1B2D">
        <w:t>[1]</w:t>
      </w:r>
      <w:r w:rsidR="004235B6">
        <w:fldChar w:fldCharType="end"/>
      </w:r>
      <w:r w:rsidR="004235B6">
        <w:t xml:space="preserve"> </w:t>
      </w:r>
      <w:r w:rsidRPr="00756DA5">
        <w:t xml:space="preserve">provides and analyses the suitability of the current ECC framework for the usage of </w:t>
      </w:r>
      <w:r w:rsidR="005E7772" w:rsidRPr="00756DA5">
        <w:t>Machine</w:t>
      </w:r>
      <w:r w:rsidR="005E7772">
        <w:t>-</w:t>
      </w:r>
      <w:r w:rsidR="005E7772" w:rsidRPr="00756DA5">
        <w:t>to</w:t>
      </w:r>
      <w:r w:rsidR="005E7772">
        <w:t>-</w:t>
      </w:r>
      <w:r w:rsidR="005E7772" w:rsidRPr="00756DA5">
        <w:t>Machine</w:t>
      </w:r>
      <w:r w:rsidRPr="00756DA5">
        <w:t xml:space="preserve"> applications according to the following technologies: Extended Coverage GSM IoT (EC-GSM-IoT), LTE Machine Type Communication (LTE-MTC), evolved MTC (LTE-eMTC)</w:t>
      </w:r>
      <w:r w:rsidRPr="00756DA5">
        <w:rPr>
          <w:vertAlign w:val="superscript"/>
        </w:rPr>
        <w:footnoteReference w:id="1"/>
      </w:r>
      <w:r w:rsidRPr="00756DA5">
        <w:t xml:space="preserve"> and Narrowband IoT (NB-IoT). </w:t>
      </w:r>
    </w:p>
    <w:p w:rsidR="007F5EF6" w:rsidRPr="00756DA5" w:rsidRDefault="007F5EF6" w:rsidP="00B84810">
      <w:pPr>
        <w:pStyle w:val="ECCParagraph"/>
      </w:pPr>
      <w:r w:rsidRPr="00756DA5">
        <w:t xml:space="preserve">M2M IoT </w:t>
      </w:r>
      <w:r w:rsidR="00756DA5" w:rsidRPr="00756DA5">
        <w:t>cellular</w:t>
      </w:r>
      <w:r w:rsidR="00756DA5">
        <w:t xml:space="preserve"> systems</w:t>
      </w:r>
      <w:r w:rsidR="00756DA5" w:rsidRPr="00756DA5">
        <w:t xml:space="preserve"> </w:t>
      </w:r>
      <w:r w:rsidRPr="00756DA5">
        <w:t xml:space="preserve">are typically narrowband compared to the technologies leveraged in mobile broadband, due to the lower data rate requirements, the need for lower power requirements (operating for a number of years on a battery) and the requirement for a better link budget. </w:t>
      </w:r>
    </w:p>
    <w:p w:rsidR="005735C3" w:rsidRPr="00756DA5" w:rsidRDefault="005735C3" w:rsidP="005735C3">
      <w:pPr>
        <w:pStyle w:val="Heading2"/>
        <w:numPr>
          <w:ilvl w:val="1"/>
          <w:numId w:val="1"/>
        </w:numPr>
        <w:rPr>
          <w:lang w:val="en-GB"/>
        </w:rPr>
      </w:pPr>
      <w:bookmarkStart w:id="11" w:name="_Toc508112835"/>
      <w:r w:rsidRPr="00756DA5">
        <w:rPr>
          <w:lang w:val="en-GB"/>
        </w:rPr>
        <w:t>overview of M2M I</w:t>
      </w:r>
      <w:r w:rsidRPr="00756DA5">
        <w:rPr>
          <w:caps w:val="0"/>
          <w:lang w:val="en-GB"/>
        </w:rPr>
        <w:t>o</w:t>
      </w:r>
      <w:r w:rsidRPr="00756DA5">
        <w:rPr>
          <w:lang w:val="en-GB"/>
        </w:rPr>
        <w:t>T</w:t>
      </w:r>
      <w:r>
        <w:rPr>
          <w:lang w:val="en-GB"/>
        </w:rPr>
        <w:t xml:space="preserve"> </w:t>
      </w:r>
      <w:r w:rsidRPr="00756DA5">
        <w:rPr>
          <w:lang w:val="en-GB"/>
        </w:rPr>
        <w:t>cellular</w:t>
      </w:r>
      <w:r>
        <w:rPr>
          <w:lang w:val="en-GB"/>
        </w:rPr>
        <w:t xml:space="preserve"> systems</w:t>
      </w:r>
      <w:bookmarkEnd w:id="11"/>
    </w:p>
    <w:p w:rsidR="0034362A" w:rsidRPr="00756DA5" w:rsidRDefault="0034362A" w:rsidP="007735CA">
      <w:pPr>
        <w:pStyle w:val="Heading3"/>
        <w:rPr>
          <w:lang w:val="en-GB"/>
        </w:rPr>
      </w:pPr>
      <w:bookmarkStart w:id="12" w:name="_Toc508112836"/>
      <w:r w:rsidRPr="00756DA5">
        <w:rPr>
          <w:lang w:val="en-GB"/>
        </w:rPr>
        <w:t>EC-GSM-I</w:t>
      </w:r>
      <w:r w:rsidR="007F623A" w:rsidRPr="00756DA5">
        <w:rPr>
          <w:lang w:val="en-GB"/>
        </w:rPr>
        <w:t>o</w:t>
      </w:r>
      <w:r w:rsidRPr="00756DA5">
        <w:rPr>
          <w:lang w:val="en-GB"/>
        </w:rPr>
        <w:t>T</w:t>
      </w:r>
      <w:bookmarkEnd w:id="12"/>
    </w:p>
    <w:p w:rsidR="0034362A" w:rsidRPr="000B3DAE" w:rsidRDefault="0034362A" w:rsidP="00B84810">
      <w:pPr>
        <w:pStyle w:val="ECCParagraph"/>
      </w:pPr>
      <w:r w:rsidRPr="00C67D2F">
        <w:t>EC-GSM-IoT is an evolution of the existing GSM air interface with a channel bandwidth of 200 kHz. EC</w:t>
      </w:r>
      <w:r w:rsidR="00756DA5" w:rsidRPr="00C67D2F">
        <w:noBreakHyphen/>
      </w:r>
      <w:r w:rsidRPr="00C67D2F">
        <w:t xml:space="preserve">GSM-IoT is part of the GSM system for carrying IoT traffic. Since EC-GSM-IoT is part of the GSM system, the BS and UE spectrum masks are the same as a normal GSM system as referenced in </w:t>
      </w:r>
      <w:r w:rsidR="006378A7" w:rsidRPr="006378A7">
        <w:t>Directive</w:t>
      </w:r>
      <w:r w:rsidR="006378A7" w:rsidRPr="006378A7" w:rsidDel="006378A7">
        <w:t xml:space="preserve"> </w:t>
      </w:r>
      <w:r w:rsidR="006378A7">
        <w:t>2009</w:t>
      </w:r>
      <w:r w:rsidRPr="000B3DAE">
        <w:t>/114/EC</w:t>
      </w:r>
      <w:r w:rsidR="004235B6">
        <w:t xml:space="preserve"> </w:t>
      </w:r>
      <w:r w:rsidR="004235B6">
        <w:fldChar w:fldCharType="begin"/>
      </w:r>
      <w:r w:rsidR="004235B6">
        <w:instrText xml:space="preserve"> REF _Ref508109429 \r \h </w:instrText>
      </w:r>
      <w:r w:rsidR="004235B6">
        <w:fldChar w:fldCharType="separate"/>
      </w:r>
      <w:r w:rsidR="009D1B2D">
        <w:t>[2]</w:t>
      </w:r>
      <w:r w:rsidR="004235B6">
        <w:fldChar w:fldCharType="end"/>
      </w:r>
      <w:r w:rsidRPr="000B3DAE">
        <w:t xml:space="preserve">. </w:t>
      </w:r>
    </w:p>
    <w:p w:rsidR="0034362A" w:rsidRPr="00756DA5" w:rsidRDefault="0034362A" w:rsidP="007735CA">
      <w:pPr>
        <w:pStyle w:val="Heading3"/>
        <w:rPr>
          <w:lang w:val="en-GB"/>
        </w:rPr>
      </w:pPr>
      <w:bookmarkStart w:id="13" w:name="_Toc508112837"/>
      <w:r w:rsidRPr="00756DA5">
        <w:rPr>
          <w:lang w:val="en-GB"/>
        </w:rPr>
        <w:t>LTE MTC/eMTC</w:t>
      </w:r>
      <w:bookmarkEnd w:id="13"/>
    </w:p>
    <w:p w:rsidR="007735CA" w:rsidRPr="00756DA5" w:rsidRDefault="007735CA" w:rsidP="00B84810">
      <w:pPr>
        <w:pStyle w:val="ECCParagraph"/>
      </w:pPr>
      <w:r w:rsidRPr="00756DA5">
        <w:t xml:space="preserve">LTE MTC is a feature of the LTE standard to support </w:t>
      </w:r>
      <w:r w:rsidR="005E7772" w:rsidRPr="00756DA5">
        <w:t>Machine</w:t>
      </w:r>
      <w:r w:rsidR="005E7772">
        <w:t>-</w:t>
      </w:r>
      <w:r w:rsidR="005E7772" w:rsidRPr="00756DA5">
        <w:t>to</w:t>
      </w:r>
      <w:r w:rsidR="005E7772">
        <w:t>-</w:t>
      </w:r>
      <w:r w:rsidR="005E7772" w:rsidRPr="00756DA5">
        <w:t xml:space="preserve">Machine </w:t>
      </w:r>
      <w:r w:rsidRPr="00756DA5">
        <w:t>communication. LTE MTC use</w:t>
      </w:r>
      <w:r w:rsidR="00324AED">
        <w:t>s</w:t>
      </w:r>
      <w:r w:rsidRPr="00756DA5">
        <w:t xml:space="preserve"> some radio resources blocks of an LTE carrier for Machine Type Communication. LTE eMTC is an enhancement of LTE MTC.</w:t>
      </w:r>
    </w:p>
    <w:p w:rsidR="00DB4090" w:rsidRPr="00756DA5" w:rsidRDefault="00DB4090" w:rsidP="00B84810">
      <w:pPr>
        <w:pStyle w:val="ECCParagraph"/>
      </w:pPr>
      <w:r w:rsidRPr="00756DA5">
        <w:t>LTE-MTC and LTE-eMTC have been standardised in 3GPP's Releases 12 and 13 and beyond of the LTE standard respectively. The main transmitter and receiver technical characteristics are described in TS 36.101 for User Equipment (UE)</w:t>
      </w:r>
      <w:r w:rsidR="004235B6">
        <w:t xml:space="preserve"> </w:t>
      </w:r>
      <w:r w:rsidR="004235B6">
        <w:fldChar w:fldCharType="begin"/>
      </w:r>
      <w:r w:rsidR="004235B6">
        <w:instrText xml:space="preserve"> REF _Ref508109453 \r \h </w:instrText>
      </w:r>
      <w:r w:rsidR="004235B6">
        <w:fldChar w:fldCharType="separate"/>
      </w:r>
      <w:r w:rsidR="009D1B2D">
        <w:t>[3]</w:t>
      </w:r>
      <w:r w:rsidR="004235B6">
        <w:fldChar w:fldCharType="end"/>
      </w:r>
      <w:r w:rsidRPr="00756DA5">
        <w:t xml:space="preserve"> and TS 36.104 for Base Station (BS)</w:t>
      </w:r>
      <w:r w:rsidR="004235B6">
        <w:t xml:space="preserve"> </w:t>
      </w:r>
      <w:r w:rsidR="004235B6">
        <w:fldChar w:fldCharType="begin"/>
      </w:r>
      <w:r w:rsidR="004235B6">
        <w:instrText xml:space="preserve"> REF _Ref508109466 \r \h </w:instrText>
      </w:r>
      <w:r w:rsidR="004235B6">
        <w:fldChar w:fldCharType="separate"/>
      </w:r>
      <w:r w:rsidR="009D1B2D">
        <w:t>[4]</w:t>
      </w:r>
      <w:r w:rsidR="004235B6">
        <w:fldChar w:fldCharType="end"/>
      </w:r>
      <w:r w:rsidRPr="00756DA5">
        <w:t xml:space="preserve">. </w:t>
      </w:r>
    </w:p>
    <w:p w:rsidR="00DB4090" w:rsidRPr="00756DA5" w:rsidRDefault="00DB4090" w:rsidP="00B84810">
      <w:pPr>
        <w:pStyle w:val="ECCParagraph"/>
      </w:pPr>
      <w:r w:rsidRPr="00756DA5">
        <w:t xml:space="preserve">From the UE perspective, LTE-MTC corresponds to UEs fulfilling 3GPP category 0 while LTE-eMTC correspond to UEs fulfilling 3GPP category M1 specifications. It is worth noticing that a terminal supporting category 0 and category M1 needs to also support LTE general requirements. In case there is a difference in requirements between the general LTE requirements and the additional requirements, the tighter requirements are applicable. This implies that LTE-MTC and LTE-eMTC transmitter requirements are equal </w:t>
      </w:r>
      <w:r w:rsidR="00324AED">
        <w:t xml:space="preserve">to, </w:t>
      </w:r>
      <w:r w:rsidRPr="00756DA5">
        <w:t>or tighter than</w:t>
      </w:r>
      <w:r w:rsidR="00324AED">
        <w:t>,</w:t>
      </w:r>
      <w:r w:rsidRPr="00756DA5">
        <w:t xml:space="preserve"> legacy LTE requirements.</w:t>
      </w:r>
    </w:p>
    <w:p w:rsidR="0034362A" w:rsidRPr="00756DA5" w:rsidRDefault="00DB4090" w:rsidP="00B84810">
      <w:pPr>
        <w:pStyle w:val="ECCParagraph"/>
      </w:pPr>
      <w:r w:rsidRPr="00756DA5">
        <w:t xml:space="preserve">LTE eMTC </w:t>
      </w:r>
      <w:r w:rsidR="007735CA" w:rsidRPr="00756DA5">
        <w:t>has</w:t>
      </w:r>
      <w:r w:rsidRPr="00756DA5">
        <w:t xml:space="preserve"> extended coverage (155.7 dB vs. 140.7</w:t>
      </w:r>
      <w:r w:rsidR="007735CA" w:rsidRPr="00756DA5">
        <w:t xml:space="preserve"> dB</w:t>
      </w:r>
      <w:r w:rsidRPr="00756DA5">
        <w:t>) and adding the 20 dBm power class to the 23</w:t>
      </w:r>
      <w:r w:rsidR="00324AED">
        <w:t> </w:t>
      </w:r>
      <w:r w:rsidRPr="00756DA5">
        <w:t xml:space="preserve">dBm of LTE MTC. </w:t>
      </w:r>
      <w:r w:rsidR="0034362A" w:rsidRPr="00756DA5">
        <w:t xml:space="preserve">LTE-eMTC allows to use 6 contiguous resource blocks anywhere in a LTE channel for </w:t>
      </w:r>
      <w:r w:rsidR="0034362A" w:rsidRPr="00896FD5">
        <w:t>M2M applic</w:t>
      </w:r>
      <w:r w:rsidR="0034362A" w:rsidRPr="00B76AEE">
        <w:t>ations, each resource</w:t>
      </w:r>
      <w:r w:rsidR="0034362A" w:rsidRPr="00756DA5">
        <w:t xml:space="preserve"> block is 180 kHz, 6x180 =1080 kHz. The deployment model is in consequence ‘in-band’.</w:t>
      </w:r>
    </w:p>
    <w:p w:rsidR="00575C2A" w:rsidRPr="00756DA5" w:rsidRDefault="00575C2A" w:rsidP="00B84810">
      <w:pPr>
        <w:pStyle w:val="ECCParagraph"/>
        <w:keepNext/>
        <w:jc w:val="center"/>
      </w:pPr>
      <w:r w:rsidRPr="00756DA5">
        <w:rPr>
          <w:noProof/>
          <w:lang w:val="da-DK" w:eastAsia="da-DK"/>
        </w:rPr>
        <w:lastRenderedPageBreak/>
        <w:drawing>
          <wp:inline distT="0" distB="0" distL="0" distR="0" wp14:anchorId="6306106A" wp14:editId="7AB0AF56">
            <wp:extent cx="6120765" cy="3392805"/>
            <wp:effectExtent l="0" t="0" r="0" b="0"/>
            <wp:docPr id="5" name="Picture 5" descr="P:\PT1\PT1#55 Berlin 24-28 April 2017\ECO Inputs\PC ECC Report 266\fig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PT1\PT1#55 Berlin 24-28 April 2017\ECO Inputs\PC ECC Report 266\figure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3392805"/>
                    </a:xfrm>
                    <a:prstGeom prst="rect">
                      <a:avLst/>
                    </a:prstGeom>
                    <a:noFill/>
                    <a:ln>
                      <a:noFill/>
                    </a:ln>
                  </pic:spPr>
                </pic:pic>
              </a:graphicData>
            </a:graphic>
          </wp:inline>
        </w:drawing>
      </w:r>
    </w:p>
    <w:p w:rsidR="00575C2A" w:rsidRPr="00756DA5" w:rsidRDefault="00575C2A" w:rsidP="00094746">
      <w:pPr>
        <w:pStyle w:val="Caption"/>
        <w:rPr>
          <w:lang w:val="en-GB"/>
        </w:rPr>
      </w:pPr>
      <w:r w:rsidRPr="00756DA5">
        <w:rPr>
          <w:lang w:val="en-GB"/>
        </w:rPr>
        <w:t xml:space="preserve">Figure </w:t>
      </w:r>
      <w:r w:rsidRPr="00756DA5">
        <w:rPr>
          <w:lang w:val="en-GB"/>
        </w:rPr>
        <w:fldChar w:fldCharType="begin"/>
      </w:r>
      <w:r w:rsidRPr="00756DA5">
        <w:rPr>
          <w:lang w:val="en-GB"/>
        </w:rPr>
        <w:instrText xml:space="preserve"> SEQ Figure \* ARABIC </w:instrText>
      </w:r>
      <w:r w:rsidRPr="00756DA5">
        <w:rPr>
          <w:lang w:val="en-GB"/>
        </w:rPr>
        <w:fldChar w:fldCharType="separate"/>
      </w:r>
      <w:r w:rsidR="009D1B2D">
        <w:rPr>
          <w:noProof/>
          <w:lang w:val="en-GB"/>
        </w:rPr>
        <w:t>1</w:t>
      </w:r>
      <w:r w:rsidRPr="00756DA5">
        <w:rPr>
          <w:lang w:val="en-GB"/>
        </w:rPr>
        <w:fldChar w:fldCharType="end"/>
      </w:r>
      <w:r w:rsidRPr="00756DA5">
        <w:rPr>
          <w:lang w:val="en-GB"/>
        </w:rPr>
        <w:t>: In-band deployment of LTE (e)-MTC</w:t>
      </w:r>
    </w:p>
    <w:p w:rsidR="0034362A" w:rsidRPr="00756DA5" w:rsidRDefault="0034362A" w:rsidP="0034362A">
      <w:pPr>
        <w:pStyle w:val="ECCParagraph"/>
        <w:rPr>
          <w:rFonts w:cs="Arial"/>
        </w:rPr>
      </w:pPr>
    </w:p>
    <w:p w:rsidR="0034362A" w:rsidRPr="00756DA5" w:rsidRDefault="0034362A" w:rsidP="001F2CD7">
      <w:pPr>
        <w:pStyle w:val="Heading3"/>
        <w:rPr>
          <w:lang w:val="en-GB"/>
        </w:rPr>
      </w:pPr>
      <w:bookmarkStart w:id="14" w:name="_Toc508112838"/>
      <w:r w:rsidRPr="00756DA5">
        <w:rPr>
          <w:lang w:val="en-GB"/>
        </w:rPr>
        <w:t>NB-I</w:t>
      </w:r>
      <w:r w:rsidR="007F623A" w:rsidRPr="00756DA5">
        <w:rPr>
          <w:lang w:val="en-GB"/>
        </w:rPr>
        <w:t>o</w:t>
      </w:r>
      <w:r w:rsidRPr="00756DA5">
        <w:rPr>
          <w:lang w:val="en-GB"/>
        </w:rPr>
        <w:t>T</w:t>
      </w:r>
      <w:bookmarkEnd w:id="14"/>
    </w:p>
    <w:p w:rsidR="0034362A" w:rsidRPr="00756DA5" w:rsidRDefault="0034362A" w:rsidP="00B84810">
      <w:pPr>
        <w:pStyle w:val="ECCParagraph"/>
      </w:pPr>
      <w:r w:rsidRPr="00756DA5">
        <w:t xml:space="preserve">NB-IoT standalone is a narrowband system. </w:t>
      </w:r>
    </w:p>
    <w:p w:rsidR="0034362A" w:rsidRPr="00756DA5" w:rsidRDefault="0034362A" w:rsidP="00B84810">
      <w:pPr>
        <w:pStyle w:val="ECCParagraph"/>
      </w:pPr>
      <w:r w:rsidRPr="00756DA5">
        <w:t>NB-IoT UE only needs to support half duplex operations. NB-IoT is a new air interface using the Orthogonal Frequency Division Multiple Access (OFDMA) multiple access scheme in downlink and Single-Carrier Frequency Division Multiple Access (SC-FDMA) with a cyclic prefix in the uplink.</w:t>
      </w:r>
    </w:p>
    <w:p w:rsidR="0034362A" w:rsidRPr="00756DA5" w:rsidRDefault="0034362A" w:rsidP="00B84810">
      <w:pPr>
        <w:pStyle w:val="ECCParagraph"/>
      </w:pPr>
      <w:r w:rsidRPr="00756DA5">
        <w:t>A Half Duplex (for UE) and Frequency Division Duplex (for BS) scheme has been specified.</w:t>
      </w:r>
    </w:p>
    <w:p w:rsidR="0034362A" w:rsidRPr="00756DA5" w:rsidRDefault="0034362A" w:rsidP="00B84810">
      <w:pPr>
        <w:pStyle w:val="ECCParagraph"/>
      </w:pPr>
      <w:r w:rsidRPr="00756DA5">
        <w:t xml:space="preserve">The channel bandwidth is 200 kHz and the transmission bandwidth 180 kHz (leaving 10 kHz guard bands on each side from channel edges), equivalent to one LTE resource </w:t>
      </w:r>
      <w:r w:rsidR="000A6A95" w:rsidRPr="00756DA5">
        <w:t>block.</w:t>
      </w:r>
    </w:p>
    <w:p w:rsidR="0034362A" w:rsidRPr="00756DA5" w:rsidRDefault="0034362A" w:rsidP="00B84810">
      <w:pPr>
        <w:pStyle w:val="ECCParagraph"/>
      </w:pPr>
      <w:r w:rsidRPr="00756DA5">
        <w:t xml:space="preserve">The channel raster for NB-IoT in-band, </w:t>
      </w:r>
      <w:r w:rsidR="00F05652">
        <w:t xml:space="preserve">guard band </w:t>
      </w:r>
      <w:r w:rsidRPr="00756DA5">
        <w:t>and standalone operation is 100 kHz.</w:t>
      </w:r>
    </w:p>
    <w:p w:rsidR="0034362A" w:rsidRPr="00756DA5" w:rsidRDefault="0034362A" w:rsidP="00B84810">
      <w:pPr>
        <w:pStyle w:val="ECCParagraph"/>
      </w:pPr>
      <w:r w:rsidRPr="00756DA5">
        <w:t>NB-IoT uses in both downlink and uplink a fixed total carrier bandwidth of 180 kHz</w:t>
      </w:r>
      <w:r w:rsidR="000536B4">
        <w:t xml:space="preserve"> </w:t>
      </w:r>
      <w:r w:rsidRPr="00756DA5">
        <w:t>(stand</w:t>
      </w:r>
      <w:r w:rsidR="004413AF">
        <w:t>a</w:t>
      </w:r>
      <w:r w:rsidRPr="00756DA5">
        <w:t>lone)</w:t>
      </w:r>
      <w:r w:rsidR="004413AF">
        <w:t>.</w:t>
      </w:r>
      <w:r w:rsidRPr="00756DA5">
        <w:t xml:space="preserve">   </w:t>
      </w:r>
    </w:p>
    <w:p w:rsidR="0034362A" w:rsidRPr="00756DA5" w:rsidRDefault="0034362A" w:rsidP="00B84810">
      <w:pPr>
        <w:pStyle w:val="ECCParagraph"/>
      </w:pPr>
      <w:r w:rsidRPr="00756DA5">
        <w:t>Moreover</w:t>
      </w:r>
      <w:r w:rsidR="004413AF">
        <w:t>,</w:t>
      </w:r>
      <w:r w:rsidRPr="00756DA5">
        <w:t xml:space="preserve"> it can </w:t>
      </w:r>
      <w:r w:rsidR="00F648F4" w:rsidRPr="00756DA5">
        <w:t>utili</w:t>
      </w:r>
      <w:r w:rsidR="00F648F4">
        <w:t>s</w:t>
      </w:r>
      <w:r w:rsidR="00F648F4" w:rsidRPr="00756DA5">
        <w:t xml:space="preserve">e </w:t>
      </w:r>
      <w:r w:rsidRPr="00756DA5">
        <w:t>LTE resource blocks within a normal LTE carrier (in</w:t>
      </w:r>
      <w:r w:rsidR="00DC7EE2">
        <w:t>-</w:t>
      </w:r>
      <w:r w:rsidRPr="00756DA5">
        <w:t>band) or unused part of the MNO blocks in the guard</w:t>
      </w:r>
      <w:r w:rsidR="001C530B">
        <w:t xml:space="preserve"> </w:t>
      </w:r>
      <w:r w:rsidRPr="00756DA5">
        <w:t>band of an LTE carrier (guard band). Nevertheless</w:t>
      </w:r>
      <w:r w:rsidR="00CB2C1F">
        <w:t>,</w:t>
      </w:r>
      <w:r w:rsidRPr="00756DA5">
        <w:t xml:space="preserve"> it is not integrated dynamically into an LTE system.</w:t>
      </w:r>
    </w:p>
    <w:p w:rsidR="00575C2A" w:rsidRPr="00756DA5" w:rsidRDefault="00575C2A" w:rsidP="007735CA">
      <w:pPr>
        <w:pStyle w:val="Heading4"/>
        <w:rPr>
          <w:lang w:val="en-GB"/>
        </w:rPr>
      </w:pPr>
      <w:bookmarkStart w:id="15" w:name="_Toc508112839"/>
      <w:r w:rsidRPr="00756DA5">
        <w:rPr>
          <w:lang w:val="en-GB"/>
        </w:rPr>
        <w:t>NB-I</w:t>
      </w:r>
      <w:r w:rsidR="007F623A" w:rsidRPr="00756DA5">
        <w:rPr>
          <w:lang w:val="en-GB"/>
        </w:rPr>
        <w:t>o</w:t>
      </w:r>
      <w:r w:rsidRPr="00756DA5">
        <w:rPr>
          <w:lang w:val="en-GB"/>
        </w:rPr>
        <w:t>T In-band</w:t>
      </w:r>
      <w:bookmarkEnd w:id="15"/>
    </w:p>
    <w:p w:rsidR="00575C2A" w:rsidRPr="00756DA5" w:rsidRDefault="00575C2A" w:rsidP="00575C2A">
      <w:pPr>
        <w:rPr>
          <w:rStyle w:val="Emphasis"/>
          <w:rFonts w:cs="Arial"/>
          <w:i w:val="0"/>
          <w:lang w:val="en-GB"/>
        </w:rPr>
      </w:pPr>
      <w:r w:rsidRPr="00756DA5">
        <w:rPr>
          <w:lang w:val="en-GB"/>
        </w:rPr>
        <w:t xml:space="preserve">For an in-band deployment, the NB-IoT </w:t>
      </w:r>
      <w:r w:rsidR="00324AED">
        <w:rPr>
          <w:lang w:val="en-GB"/>
        </w:rPr>
        <w:t xml:space="preserve">cellular system </w:t>
      </w:r>
      <w:r w:rsidRPr="00756DA5">
        <w:rPr>
          <w:lang w:val="en-GB"/>
        </w:rPr>
        <w:t>will use some of the resources of an existing wideband carrier. This corresponds to a change of transmission mode on some subcarriers of a wideband signal. This is very similar to what happens when a specific modulation is selected by the BS to serve a specific terminal</w:t>
      </w:r>
      <w:r w:rsidR="00CB2C1F">
        <w:rPr>
          <w:lang w:val="en-GB"/>
        </w:rPr>
        <w:t>.</w:t>
      </w:r>
    </w:p>
    <w:p w:rsidR="00575C2A" w:rsidRPr="00756DA5" w:rsidRDefault="00575C2A" w:rsidP="00575C2A">
      <w:pPr>
        <w:pStyle w:val="ECCParagraph"/>
      </w:pPr>
    </w:p>
    <w:p w:rsidR="00575C2A" w:rsidRPr="00756DA5" w:rsidRDefault="00575C2A" w:rsidP="00B84810">
      <w:pPr>
        <w:pStyle w:val="ECCParagraph"/>
        <w:keepNext/>
        <w:jc w:val="center"/>
      </w:pPr>
      <w:r w:rsidRPr="00756DA5">
        <w:rPr>
          <w:noProof/>
          <w:lang w:val="da-DK" w:eastAsia="da-DK"/>
        </w:rPr>
        <w:lastRenderedPageBreak/>
        <w:drawing>
          <wp:inline distT="0" distB="0" distL="0" distR="0" wp14:anchorId="6743679B" wp14:editId="1FEA9EC5">
            <wp:extent cx="6120765" cy="3483712"/>
            <wp:effectExtent l="0" t="0" r="0" b="0"/>
            <wp:docPr id="1" name="Picture 1" descr="P:\PT1\PT1#55 Berlin 24-28 April 2017\ECO Inputs\PC ECC Report 266\fig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PT1\PT1#55 Berlin 24-28 April 2017\ECO Inputs\PC ECC Report 266\figure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3483712"/>
                    </a:xfrm>
                    <a:prstGeom prst="rect">
                      <a:avLst/>
                    </a:prstGeom>
                    <a:noFill/>
                    <a:ln>
                      <a:noFill/>
                    </a:ln>
                  </pic:spPr>
                </pic:pic>
              </a:graphicData>
            </a:graphic>
          </wp:inline>
        </w:drawing>
      </w:r>
    </w:p>
    <w:p w:rsidR="00575C2A" w:rsidRPr="00756DA5" w:rsidRDefault="00575C2A" w:rsidP="00575C2A">
      <w:pPr>
        <w:pStyle w:val="Caption"/>
        <w:rPr>
          <w:lang w:val="en-GB"/>
        </w:rPr>
      </w:pPr>
      <w:r w:rsidRPr="00756DA5">
        <w:rPr>
          <w:lang w:val="en-GB"/>
        </w:rPr>
        <w:t xml:space="preserve">Figure </w:t>
      </w:r>
      <w:r w:rsidRPr="00756DA5">
        <w:rPr>
          <w:lang w:val="en-GB"/>
        </w:rPr>
        <w:fldChar w:fldCharType="begin"/>
      </w:r>
      <w:r w:rsidRPr="00756DA5">
        <w:rPr>
          <w:lang w:val="en-GB"/>
        </w:rPr>
        <w:instrText xml:space="preserve"> SEQ Figure \* ARABIC </w:instrText>
      </w:r>
      <w:r w:rsidRPr="00756DA5">
        <w:rPr>
          <w:lang w:val="en-GB"/>
        </w:rPr>
        <w:fldChar w:fldCharType="separate"/>
      </w:r>
      <w:r w:rsidR="009D1B2D">
        <w:rPr>
          <w:noProof/>
          <w:lang w:val="en-GB"/>
        </w:rPr>
        <w:t>2</w:t>
      </w:r>
      <w:r w:rsidRPr="00756DA5">
        <w:rPr>
          <w:lang w:val="en-GB"/>
        </w:rPr>
        <w:fldChar w:fldCharType="end"/>
      </w:r>
      <w:r w:rsidRPr="00756DA5">
        <w:rPr>
          <w:lang w:val="en-GB"/>
        </w:rPr>
        <w:t>: In-band deployment of IoT</w:t>
      </w:r>
    </w:p>
    <w:p w:rsidR="00575C2A" w:rsidRPr="00756DA5" w:rsidRDefault="00F8235E" w:rsidP="001F2CD7">
      <w:pPr>
        <w:pStyle w:val="Heading4"/>
        <w:rPr>
          <w:lang w:val="en-GB"/>
        </w:rPr>
      </w:pPr>
      <w:bookmarkStart w:id="16" w:name="_Toc508112840"/>
      <w:r w:rsidRPr="00756DA5">
        <w:rPr>
          <w:lang w:val="en-GB"/>
        </w:rPr>
        <w:t>NB-IoT Standalone</w:t>
      </w:r>
      <w:bookmarkEnd w:id="16"/>
    </w:p>
    <w:p w:rsidR="00F8235E" w:rsidRPr="00756DA5" w:rsidRDefault="00F8235E" w:rsidP="00B84810">
      <w:pPr>
        <w:pStyle w:val="ECCParagraph"/>
      </w:pPr>
      <w:r w:rsidRPr="00756DA5">
        <w:t xml:space="preserve">NB-IoT is operating standalone when it utilises its own spectrum, for example the spectrum currently being used by GSM systems as a replacement of two GSM carriers, as well as scattered spectrum for potential IoT deployment. </w:t>
      </w:r>
    </w:p>
    <w:p w:rsidR="00F8235E" w:rsidRPr="00756DA5" w:rsidRDefault="00F8235E" w:rsidP="00F8235E">
      <w:pPr>
        <w:rPr>
          <w:rFonts w:cs="Arial"/>
          <w:lang w:val="en-GB" w:eastAsia="de-DE"/>
        </w:rPr>
      </w:pPr>
    </w:p>
    <w:p w:rsidR="00F8235E" w:rsidRPr="00756DA5" w:rsidRDefault="00F8235E" w:rsidP="00B84810">
      <w:pPr>
        <w:jc w:val="center"/>
        <w:rPr>
          <w:rFonts w:cs="Arial"/>
          <w:lang w:val="en-GB" w:eastAsia="de-DE"/>
        </w:rPr>
      </w:pPr>
      <w:r w:rsidRPr="00756DA5">
        <w:rPr>
          <w:noProof/>
          <w:lang w:val="da-DK" w:eastAsia="da-DK"/>
        </w:rPr>
        <w:drawing>
          <wp:inline distT="0" distB="0" distL="0" distR="0" wp14:anchorId="06D9AFE8" wp14:editId="683DFD91">
            <wp:extent cx="6038850" cy="3094400"/>
            <wp:effectExtent l="0" t="0" r="0" b="0"/>
            <wp:docPr id="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45674" cy="3097897"/>
                    </a:xfrm>
                    <a:prstGeom prst="rect">
                      <a:avLst/>
                    </a:prstGeom>
                    <a:noFill/>
                  </pic:spPr>
                </pic:pic>
              </a:graphicData>
            </a:graphic>
          </wp:inline>
        </w:drawing>
      </w:r>
    </w:p>
    <w:p w:rsidR="00F8235E" w:rsidRDefault="00F8235E" w:rsidP="00F8235E">
      <w:pPr>
        <w:pStyle w:val="Caption"/>
        <w:rPr>
          <w:lang w:val="en-GB"/>
        </w:rPr>
      </w:pPr>
      <w:r w:rsidRPr="00756DA5">
        <w:rPr>
          <w:lang w:val="en-GB"/>
        </w:rPr>
        <w:t xml:space="preserve">Figure </w:t>
      </w:r>
      <w:r w:rsidRPr="00756DA5">
        <w:rPr>
          <w:lang w:val="en-GB"/>
        </w:rPr>
        <w:fldChar w:fldCharType="begin"/>
      </w:r>
      <w:r w:rsidRPr="00756DA5">
        <w:rPr>
          <w:lang w:val="en-GB"/>
        </w:rPr>
        <w:instrText xml:space="preserve"> SEQ Figure \* ARABIC </w:instrText>
      </w:r>
      <w:r w:rsidRPr="00756DA5">
        <w:rPr>
          <w:lang w:val="en-GB"/>
        </w:rPr>
        <w:fldChar w:fldCharType="separate"/>
      </w:r>
      <w:r w:rsidR="009D1B2D">
        <w:rPr>
          <w:noProof/>
          <w:lang w:val="en-GB"/>
        </w:rPr>
        <w:t>3</w:t>
      </w:r>
      <w:r w:rsidRPr="00756DA5">
        <w:rPr>
          <w:lang w:val="en-GB"/>
        </w:rPr>
        <w:fldChar w:fldCharType="end"/>
      </w:r>
      <w:r w:rsidRPr="00756DA5">
        <w:rPr>
          <w:lang w:val="en-GB"/>
        </w:rPr>
        <w:t>:</w:t>
      </w:r>
      <w:r w:rsidR="00CB2C1F">
        <w:rPr>
          <w:lang w:val="en-GB"/>
        </w:rPr>
        <w:t xml:space="preserve"> </w:t>
      </w:r>
      <w:r w:rsidRPr="00756DA5">
        <w:rPr>
          <w:lang w:val="en-GB"/>
        </w:rPr>
        <w:t>Standalone deployment of IoT</w:t>
      </w:r>
    </w:p>
    <w:p w:rsidR="00094746" w:rsidRPr="00094746" w:rsidRDefault="00094746" w:rsidP="00094746">
      <w:pPr>
        <w:rPr>
          <w:lang w:val="en-GB"/>
        </w:rPr>
      </w:pPr>
    </w:p>
    <w:p w:rsidR="00F8235E" w:rsidRPr="00756DA5" w:rsidRDefault="00D32D85" w:rsidP="007735CA">
      <w:pPr>
        <w:pStyle w:val="Heading4"/>
        <w:rPr>
          <w:lang w:val="en-GB"/>
        </w:rPr>
      </w:pPr>
      <w:bookmarkStart w:id="17" w:name="_Toc508112841"/>
      <w:r w:rsidRPr="00756DA5">
        <w:rPr>
          <w:lang w:val="en-GB"/>
        </w:rPr>
        <w:lastRenderedPageBreak/>
        <w:t>NB-IoT Guard Band</w:t>
      </w:r>
      <w:bookmarkEnd w:id="17"/>
    </w:p>
    <w:p w:rsidR="00D32D85" w:rsidRPr="005E7772" w:rsidRDefault="00D32D85" w:rsidP="00475CFD">
      <w:pPr>
        <w:pStyle w:val="ECCParagraph"/>
      </w:pPr>
      <w:r w:rsidRPr="00896FD5">
        <w:t>A guard</w:t>
      </w:r>
      <w:r w:rsidR="001C530B">
        <w:t xml:space="preserve"> </w:t>
      </w:r>
      <w:r w:rsidRPr="00896FD5">
        <w:t>band deployment corresponds to the case where a narrowband transmission is added on the side of an exi</w:t>
      </w:r>
      <w:r w:rsidRPr="000B3DAE">
        <w:t>sting wideband carrier. This is made possible by the fact that wideband transmission technologies typically transmit a signal narrower than the channel bandwidth, i.e. they implement implicit guard</w:t>
      </w:r>
      <w:r w:rsidR="00F05652">
        <w:t xml:space="preserve"> </w:t>
      </w:r>
      <w:r w:rsidRPr="000B3DAE">
        <w:t>bands within their transmission channel.</w:t>
      </w:r>
    </w:p>
    <w:p w:rsidR="00D32D85" w:rsidRDefault="00D32D85" w:rsidP="00475CFD">
      <w:pPr>
        <w:pStyle w:val="ECCParagraph"/>
      </w:pPr>
      <w:r w:rsidRPr="00F05652">
        <w:t>With regard to interference with adjacent services/applications no additional interference from guard band NB-IoT is expected compared to a LTE 5 MHz channel. Moreover, the receiver characteristics of NB-IoT are similar to those of regular LTE receivers.</w:t>
      </w:r>
    </w:p>
    <w:p w:rsidR="00896FD5" w:rsidRPr="00896FD5" w:rsidRDefault="00896FD5" w:rsidP="00475CFD">
      <w:pPr>
        <w:pStyle w:val="ECCParagraph"/>
      </w:pPr>
    </w:p>
    <w:p w:rsidR="00F26674" w:rsidRDefault="00F26674" w:rsidP="00D32D85">
      <w:pPr>
        <w:pStyle w:val="ECCBulletsLv1"/>
        <w:numPr>
          <w:ilvl w:val="0"/>
          <w:numId w:val="0"/>
        </w:numPr>
        <w:rPr>
          <w:rFonts w:cs="Arial"/>
        </w:rPr>
        <w:sectPr w:rsidR="00F26674">
          <w:headerReference w:type="even" r:id="rId15"/>
          <w:headerReference w:type="default" r:id="rId16"/>
          <w:headerReference w:type="first" r:id="rId17"/>
          <w:pgSz w:w="11907" w:h="16840" w:code="9"/>
          <w:pgMar w:top="1440" w:right="1134" w:bottom="1440" w:left="1134" w:header="709" w:footer="709" w:gutter="0"/>
          <w:cols w:space="708"/>
          <w:docGrid w:linePitch="360"/>
        </w:sectPr>
      </w:pPr>
    </w:p>
    <w:p w:rsidR="001F2CD7" w:rsidRPr="00756DA5" w:rsidRDefault="001F2CD7" w:rsidP="001F2CD7">
      <w:pPr>
        <w:pStyle w:val="Caption"/>
        <w:keepNext/>
        <w:rPr>
          <w:lang w:val="en-GB"/>
        </w:rPr>
      </w:pPr>
      <w:r w:rsidRPr="00756DA5">
        <w:rPr>
          <w:lang w:val="en-GB"/>
        </w:rPr>
        <w:lastRenderedPageBreak/>
        <w:t xml:space="preserve">Table </w:t>
      </w:r>
      <w:r w:rsidRPr="00756DA5">
        <w:rPr>
          <w:lang w:val="en-GB"/>
        </w:rPr>
        <w:fldChar w:fldCharType="begin"/>
      </w:r>
      <w:r w:rsidRPr="00756DA5">
        <w:rPr>
          <w:lang w:val="en-GB"/>
        </w:rPr>
        <w:instrText xml:space="preserve"> SEQ Table \* ARABIC </w:instrText>
      </w:r>
      <w:r w:rsidRPr="00756DA5">
        <w:rPr>
          <w:lang w:val="en-GB"/>
        </w:rPr>
        <w:fldChar w:fldCharType="separate"/>
      </w:r>
      <w:r w:rsidR="009D1B2D">
        <w:rPr>
          <w:noProof/>
          <w:lang w:val="en-GB"/>
        </w:rPr>
        <w:t>1</w:t>
      </w:r>
      <w:r w:rsidRPr="00756DA5">
        <w:rPr>
          <w:lang w:val="en-GB"/>
        </w:rPr>
        <w:fldChar w:fldCharType="end"/>
      </w:r>
      <w:r w:rsidRPr="00756DA5">
        <w:rPr>
          <w:lang w:val="en-GB"/>
        </w:rPr>
        <w:t>: NB-IoT carrier placement within the LTE channel guard band</w:t>
      </w:r>
    </w:p>
    <w:tbl>
      <w:tblPr>
        <w:tblW w:w="12611" w:type="dxa"/>
        <w:jc w:val="center"/>
        <w:tblCellMar>
          <w:left w:w="0" w:type="dxa"/>
          <w:right w:w="0" w:type="dxa"/>
        </w:tblCellMar>
        <w:tblLook w:val="04A0" w:firstRow="1" w:lastRow="0" w:firstColumn="1" w:lastColumn="0" w:noHBand="0" w:noVBand="1"/>
      </w:tblPr>
      <w:tblGrid>
        <w:gridCol w:w="772"/>
        <w:gridCol w:w="728"/>
        <w:gridCol w:w="972"/>
        <w:gridCol w:w="1172"/>
        <w:gridCol w:w="1494"/>
        <w:gridCol w:w="1050"/>
        <w:gridCol w:w="1183"/>
        <w:gridCol w:w="761"/>
        <w:gridCol w:w="1172"/>
        <w:gridCol w:w="1139"/>
        <w:gridCol w:w="2168"/>
      </w:tblGrid>
      <w:tr w:rsidR="00D32D85" w:rsidRPr="00CB2C1F" w:rsidTr="00F26674">
        <w:trPr>
          <w:trHeight w:val="1142"/>
          <w:tblHeader/>
          <w:jc w:val="center"/>
        </w:trPr>
        <w:tc>
          <w:tcPr>
            <w:tcW w:w="772" w:type="dxa"/>
            <w:tcBorders>
              <w:top w:val="single" w:sz="8" w:space="0" w:color="D22A23"/>
              <w:left w:val="single" w:sz="8" w:space="0" w:color="D22A23"/>
              <w:bottom w:val="single" w:sz="8" w:space="0" w:color="D22A23"/>
              <w:right w:val="single" w:sz="8" w:space="0" w:color="FFFFFF"/>
            </w:tcBorders>
            <w:shd w:val="clear" w:color="auto" w:fill="D22A23"/>
            <w:tcMar>
              <w:top w:w="57" w:type="dxa"/>
              <w:left w:w="108" w:type="dxa"/>
              <w:bottom w:w="0" w:type="dxa"/>
              <w:right w:w="108" w:type="dxa"/>
            </w:tcMar>
            <w:vAlign w:val="center"/>
            <w:hideMark/>
          </w:tcPr>
          <w:p w:rsidR="00D32D85" w:rsidRPr="00CB2C1F" w:rsidRDefault="00D32D85" w:rsidP="001E6B01">
            <w:pPr>
              <w:keepNext/>
              <w:spacing w:before="60" w:after="60"/>
              <w:jc w:val="center"/>
              <w:rPr>
                <w:rFonts w:eastAsiaTheme="minorHAnsi" w:cs="Arial"/>
                <w:b/>
                <w:bCs/>
                <w:color w:val="FFFFFF"/>
                <w:szCs w:val="20"/>
                <w:lang w:val="en-GB" w:eastAsia="de-DE"/>
              </w:rPr>
            </w:pPr>
            <w:r w:rsidRPr="00CB2C1F">
              <w:rPr>
                <w:rFonts w:cs="Arial"/>
                <w:b/>
                <w:bCs/>
                <w:color w:val="FFFFFF"/>
                <w:szCs w:val="20"/>
                <w:lang w:val="en-GB" w:eastAsia="de-DE"/>
              </w:rPr>
              <w:t>LTE Chan. BW (MHz)</w:t>
            </w:r>
          </w:p>
        </w:tc>
        <w:tc>
          <w:tcPr>
            <w:tcW w:w="728" w:type="dxa"/>
            <w:tcBorders>
              <w:top w:val="single" w:sz="8" w:space="0" w:color="D22A23"/>
              <w:left w:val="nil"/>
              <w:bottom w:val="single" w:sz="8" w:space="0" w:color="D22A23"/>
              <w:right w:val="single" w:sz="8" w:space="0" w:color="FFFFFF"/>
            </w:tcBorders>
            <w:shd w:val="clear" w:color="auto" w:fill="D22A23"/>
            <w:tcMar>
              <w:top w:w="57" w:type="dxa"/>
              <w:left w:w="108" w:type="dxa"/>
              <w:bottom w:w="0" w:type="dxa"/>
              <w:right w:w="108" w:type="dxa"/>
            </w:tcMar>
            <w:vAlign w:val="center"/>
            <w:hideMark/>
          </w:tcPr>
          <w:p w:rsidR="00D32D85" w:rsidRPr="00CB2C1F" w:rsidRDefault="00D32D85" w:rsidP="001E6B01">
            <w:pPr>
              <w:keepNext/>
              <w:spacing w:before="60" w:after="60"/>
              <w:jc w:val="center"/>
              <w:rPr>
                <w:rFonts w:eastAsiaTheme="minorHAnsi" w:cs="Arial"/>
                <w:b/>
                <w:bCs/>
                <w:color w:val="FFFFFF"/>
                <w:szCs w:val="20"/>
                <w:lang w:val="en-GB" w:eastAsia="de-DE"/>
              </w:rPr>
            </w:pPr>
            <w:r w:rsidRPr="00CB2C1F">
              <w:rPr>
                <w:rFonts w:cs="Arial"/>
                <w:b/>
                <w:bCs/>
                <w:color w:val="FFFFFF"/>
                <w:szCs w:val="20"/>
                <w:lang w:val="en-GB" w:eastAsia="de-DE"/>
              </w:rPr>
              <w:t>#RBs</w:t>
            </w:r>
          </w:p>
        </w:tc>
        <w:tc>
          <w:tcPr>
            <w:tcW w:w="972" w:type="dxa"/>
            <w:tcBorders>
              <w:top w:val="single" w:sz="8" w:space="0" w:color="D22A23"/>
              <w:left w:val="nil"/>
              <w:bottom w:val="single" w:sz="8" w:space="0" w:color="D22A23"/>
              <w:right w:val="single" w:sz="8" w:space="0" w:color="FFFFFF"/>
            </w:tcBorders>
            <w:shd w:val="clear" w:color="auto" w:fill="D22A23"/>
            <w:tcMar>
              <w:top w:w="57" w:type="dxa"/>
              <w:left w:w="108" w:type="dxa"/>
              <w:bottom w:w="0" w:type="dxa"/>
              <w:right w:w="108" w:type="dxa"/>
            </w:tcMar>
            <w:vAlign w:val="center"/>
            <w:hideMark/>
          </w:tcPr>
          <w:p w:rsidR="00D32D85" w:rsidRPr="00CB2C1F" w:rsidRDefault="00D32D85" w:rsidP="001E6B01">
            <w:pPr>
              <w:keepNext/>
              <w:spacing w:before="60" w:after="60"/>
              <w:jc w:val="center"/>
              <w:rPr>
                <w:rFonts w:eastAsiaTheme="minorHAnsi" w:cs="Arial"/>
                <w:b/>
                <w:bCs/>
                <w:color w:val="FFFFFF"/>
                <w:szCs w:val="20"/>
                <w:lang w:val="en-GB" w:eastAsia="de-DE"/>
              </w:rPr>
            </w:pPr>
            <w:r w:rsidRPr="00CB2C1F">
              <w:rPr>
                <w:rFonts w:cs="Arial"/>
                <w:b/>
                <w:bCs/>
                <w:color w:val="FFFFFF"/>
                <w:szCs w:val="20"/>
                <w:lang w:val="en-GB" w:eastAsia="de-DE"/>
              </w:rPr>
              <w:t>Half LTE channel band width (kHz)</w:t>
            </w:r>
          </w:p>
        </w:tc>
        <w:tc>
          <w:tcPr>
            <w:tcW w:w="1172" w:type="dxa"/>
            <w:tcBorders>
              <w:top w:val="single" w:sz="8" w:space="0" w:color="D22A23"/>
              <w:left w:val="nil"/>
              <w:bottom w:val="single" w:sz="8" w:space="0" w:color="D22A23"/>
              <w:right w:val="single" w:sz="8" w:space="0" w:color="FFFFFF"/>
            </w:tcBorders>
            <w:shd w:val="clear" w:color="auto" w:fill="D22A23"/>
            <w:tcMar>
              <w:top w:w="57" w:type="dxa"/>
              <w:left w:w="108" w:type="dxa"/>
              <w:bottom w:w="0" w:type="dxa"/>
              <w:right w:w="108" w:type="dxa"/>
            </w:tcMar>
            <w:vAlign w:val="center"/>
            <w:hideMark/>
          </w:tcPr>
          <w:p w:rsidR="00D32D85" w:rsidRPr="00CB2C1F" w:rsidRDefault="00D32D85" w:rsidP="001E6B01">
            <w:pPr>
              <w:keepNext/>
              <w:spacing w:before="60" w:after="60"/>
              <w:jc w:val="center"/>
              <w:rPr>
                <w:rFonts w:eastAsiaTheme="minorHAnsi" w:cs="Arial"/>
                <w:b/>
                <w:bCs/>
                <w:color w:val="FFFFFF"/>
                <w:szCs w:val="20"/>
                <w:lang w:val="en-GB" w:eastAsia="de-DE"/>
              </w:rPr>
            </w:pPr>
            <w:r w:rsidRPr="00CB2C1F">
              <w:rPr>
                <w:rFonts w:cs="Arial"/>
                <w:b/>
                <w:bCs/>
                <w:color w:val="FFFFFF"/>
                <w:szCs w:val="20"/>
                <w:lang w:val="en-GB" w:eastAsia="de-DE"/>
              </w:rPr>
              <w:t>Last RB edge frequency (kHz)</w:t>
            </w:r>
          </w:p>
        </w:tc>
        <w:tc>
          <w:tcPr>
            <w:tcW w:w="1494" w:type="dxa"/>
            <w:tcBorders>
              <w:top w:val="single" w:sz="8" w:space="0" w:color="D22A23"/>
              <w:left w:val="nil"/>
              <w:bottom w:val="single" w:sz="8" w:space="0" w:color="D22A23"/>
              <w:right w:val="single" w:sz="8" w:space="0" w:color="FFFFFF"/>
            </w:tcBorders>
            <w:shd w:val="clear" w:color="auto" w:fill="D22A23"/>
            <w:tcMar>
              <w:top w:w="57" w:type="dxa"/>
              <w:left w:w="108" w:type="dxa"/>
              <w:bottom w:w="0" w:type="dxa"/>
              <w:right w:w="108" w:type="dxa"/>
            </w:tcMar>
            <w:vAlign w:val="center"/>
            <w:hideMark/>
          </w:tcPr>
          <w:p w:rsidR="00D32D85" w:rsidRPr="00CB2C1F" w:rsidRDefault="00D32D85" w:rsidP="001E6B01">
            <w:pPr>
              <w:keepNext/>
              <w:spacing w:before="60" w:after="60"/>
              <w:jc w:val="center"/>
              <w:rPr>
                <w:rFonts w:eastAsiaTheme="minorHAnsi" w:cs="Arial"/>
                <w:b/>
                <w:bCs/>
                <w:color w:val="FFFFFF"/>
                <w:szCs w:val="20"/>
                <w:lang w:val="en-GB" w:eastAsia="de-DE"/>
              </w:rPr>
            </w:pPr>
            <w:r w:rsidRPr="00CB2C1F">
              <w:rPr>
                <w:rFonts w:cs="Arial"/>
                <w:b/>
                <w:bCs/>
                <w:color w:val="FFFFFF"/>
                <w:szCs w:val="20"/>
                <w:lang w:val="en-GB" w:eastAsia="de-DE"/>
              </w:rPr>
              <w:t>Ideal NB-IoT centre frequency for OFDM orthogonality</w:t>
            </w:r>
          </w:p>
        </w:tc>
        <w:tc>
          <w:tcPr>
            <w:tcW w:w="1050" w:type="dxa"/>
            <w:tcBorders>
              <w:top w:val="single" w:sz="8" w:space="0" w:color="D22A23"/>
              <w:left w:val="nil"/>
              <w:bottom w:val="single" w:sz="8" w:space="0" w:color="D22A23"/>
              <w:right w:val="single" w:sz="8" w:space="0" w:color="FFFFFF"/>
            </w:tcBorders>
            <w:shd w:val="clear" w:color="auto" w:fill="D22A23"/>
            <w:tcMar>
              <w:top w:w="57" w:type="dxa"/>
              <w:left w:w="108" w:type="dxa"/>
              <w:bottom w:w="0" w:type="dxa"/>
              <w:right w:w="108" w:type="dxa"/>
            </w:tcMar>
            <w:vAlign w:val="center"/>
            <w:hideMark/>
          </w:tcPr>
          <w:p w:rsidR="00D32D85" w:rsidRPr="00CB2C1F" w:rsidRDefault="00D32D85" w:rsidP="001E6B01">
            <w:pPr>
              <w:keepNext/>
              <w:spacing w:before="60" w:after="60"/>
              <w:jc w:val="center"/>
              <w:rPr>
                <w:rFonts w:eastAsiaTheme="minorHAnsi" w:cs="Arial"/>
                <w:b/>
                <w:bCs/>
                <w:color w:val="FFFFFF"/>
                <w:szCs w:val="20"/>
                <w:lang w:val="en-GB" w:eastAsia="de-DE"/>
              </w:rPr>
            </w:pPr>
            <w:r w:rsidRPr="00CB2C1F">
              <w:rPr>
                <w:rFonts w:cs="Arial"/>
                <w:b/>
                <w:bCs/>
                <w:color w:val="FFFFFF"/>
                <w:szCs w:val="20"/>
                <w:lang w:val="en-GB" w:eastAsia="de-DE"/>
              </w:rPr>
              <w:t>Distance from a 100 kHz grid (kHz)</w:t>
            </w:r>
          </w:p>
        </w:tc>
        <w:tc>
          <w:tcPr>
            <w:tcW w:w="1183" w:type="dxa"/>
            <w:tcBorders>
              <w:top w:val="single" w:sz="8" w:space="0" w:color="D22A23"/>
              <w:left w:val="nil"/>
              <w:bottom w:val="single" w:sz="8" w:space="0" w:color="D22A23"/>
              <w:right w:val="single" w:sz="8" w:space="0" w:color="FFFFFF"/>
            </w:tcBorders>
            <w:shd w:val="clear" w:color="auto" w:fill="D22A23"/>
            <w:tcMar>
              <w:top w:w="57" w:type="dxa"/>
              <w:left w:w="108" w:type="dxa"/>
              <w:bottom w:w="0" w:type="dxa"/>
              <w:right w:w="108" w:type="dxa"/>
            </w:tcMar>
            <w:vAlign w:val="center"/>
            <w:hideMark/>
          </w:tcPr>
          <w:p w:rsidR="00D32D85" w:rsidRPr="00F26674" w:rsidRDefault="00D32D85" w:rsidP="001E6B01">
            <w:pPr>
              <w:keepNext/>
              <w:spacing w:before="60" w:after="60"/>
              <w:jc w:val="center"/>
              <w:rPr>
                <w:rFonts w:eastAsiaTheme="minorHAnsi" w:cs="Arial"/>
                <w:b/>
                <w:bCs/>
                <w:color w:val="FFFFFF"/>
                <w:szCs w:val="20"/>
                <w:lang w:val="da-DK" w:eastAsia="de-DE"/>
              </w:rPr>
            </w:pPr>
            <w:r w:rsidRPr="00F26674">
              <w:rPr>
                <w:rFonts w:cs="Arial"/>
                <w:b/>
                <w:bCs/>
                <w:color w:val="FFFFFF"/>
                <w:szCs w:val="20"/>
                <w:lang w:val="da-DK" w:eastAsia="de-DE"/>
              </w:rPr>
              <w:t>Offset from LTE (m*15kHz) m=0..4</w:t>
            </w:r>
          </w:p>
        </w:tc>
        <w:tc>
          <w:tcPr>
            <w:tcW w:w="761" w:type="dxa"/>
            <w:tcBorders>
              <w:top w:val="single" w:sz="8" w:space="0" w:color="D22A23"/>
              <w:left w:val="nil"/>
              <w:bottom w:val="single" w:sz="8" w:space="0" w:color="D22A23"/>
              <w:right w:val="single" w:sz="8" w:space="0" w:color="FFFFFF"/>
            </w:tcBorders>
            <w:shd w:val="clear" w:color="auto" w:fill="D22A23"/>
            <w:tcMar>
              <w:top w:w="57" w:type="dxa"/>
              <w:left w:w="108" w:type="dxa"/>
              <w:bottom w:w="0" w:type="dxa"/>
              <w:right w:w="108" w:type="dxa"/>
            </w:tcMar>
            <w:vAlign w:val="center"/>
            <w:hideMark/>
          </w:tcPr>
          <w:p w:rsidR="00D32D85" w:rsidRPr="00CB2C1F" w:rsidRDefault="00D32D85" w:rsidP="001E6B01">
            <w:pPr>
              <w:keepNext/>
              <w:spacing w:before="60" w:after="60"/>
              <w:jc w:val="center"/>
              <w:rPr>
                <w:rFonts w:eastAsiaTheme="minorHAnsi" w:cs="Arial"/>
                <w:b/>
                <w:bCs/>
                <w:color w:val="FFFFFF"/>
                <w:szCs w:val="20"/>
                <w:lang w:val="en-GB" w:eastAsia="de-DE"/>
              </w:rPr>
            </w:pPr>
            <w:r w:rsidRPr="00CB2C1F">
              <w:rPr>
                <w:rFonts w:cs="Arial"/>
                <w:b/>
                <w:bCs/>
                <w:color w:val="FFFFFF"/>
                <w:szCs w:val="20"/>
                <w:lang w:val="en-GB" w:eastAsia="de-DE"/>
              </w:rPr>
              <w:t>Gap after offset (kHz)</w:t>
            </w:r>
          </w:p>
        </w:tc>
        <w:tc>
          <w:tcPr>
            <w:tcW w:w="1172" w:type="dxa"/>
            <w:tcBorders>
              <w:top w:val="single" w:sz="8" w:space="0" w:color="D22A23"/>
              <w:left w:val="nil"/>
              <w:bottom w:val="single" w:sz="8" w:space="0" w:color="D22A23"/>
              <w:right w:val="single" w:sz="8" w:space="0" w:color="FFFFFF"/>
            </w:tcBorders>
            <w:shd w:val="clear" w:color="auto" w:fill="D22A23"/>
            <w:tcMar>
              <w:top w:w="57" w:type="dxa"/>
              <w:left w:w="108" w:type="dxa"/>
              <w:bottom w:w="0" w:type="dxa"/>
              <w:right w:w="108" w:type="dxa"/>
            </w:tcMar>
            <w:vAlign w:val="center"/>
            <w:hideMark/>
          </w:tcPr>
          <w:p w:rsidR="00D32D85" w:rsidRPr="00CB2C1F" w:rsidRDefault="00D32D85" w:rsidP="001E6B01">
            <w:pPr>
              <w:keepNext/>
              <w:spacing w:before="60" w:after="60"/>
              <w:jc w:val="center"/>
              <w:rPr>
                <w:rFonts w:eastAsiaTheme="minorHAnsi" w:cs="Arial"/>
                <w:b/>
                <w:bCs/>
                <w:color w:val="FFFFFF"/>
                <w:szCs w:val="20"/>
                <w:lang w:val="en-GB" w:eastAsia="de-DE"/>
              </w:rPr>
            </w:pPr>
            <w:r w:rsidRPr="00CB2C1F">
              <w:rPr>
                <w:rFonts w:cs="Arial"/>
                <w:b/>
                <w:bCs/>
                <w:color w:val="FFFFFF"/>
                <w:szCs w:val="20"/>
                <w:lang w:val="en-GB" w:eastAsia="de-DE"/>
              </w:rPr>
              <w:t>Final NB-IoT frequency (kHz)</w:t>
            </w:r>
          </w:p>
        </w:tc>
        <w:tc>
          <w:tcPr>
            <w:tcW w:w="1139" w:type="dxa"/>
            <w:tcBorders>
              <w:top w:val="single" w:sz="8" w:space="0" w:color="D22A23"/>
              <w:left w:val="nil"/>
              <w:bottom w:val="single" w:sz="8" w:space="0" w:color="D22A23"/>
              <w:right w:val="single" w:sz="8" w:space="0" w:color="FFFFFF"/>
            </w:tcBorders>
            <w:shd w:val="clear" w:color="auto" w:fill="D22A23"/>
            <w:tcMar>
              <w:top w:w="57" w:type="dxa"/>
              <w:left w:w="108" w:type="dxa"/>
              <w:bottom w:w="0" w:type="dxa"/>
              <w:right w:w="108" w:type="dxa"/>
            </w:tcMar>
            <w:vAlign w:val="center"/>
            <w:hideMark/>
          </w:tcPr>
          <w:p w:rsidR="00D32D85" w:rsidRPr="00CB2C1F" w:rsidRDefault="00D32D85" w:rsidP="001E6B01">
            <w:pPr>
              <w:keepNext/>
              <w:spacing w:before="60" w:after="60"/>
              <w:jc w:val="center"/>
              <w:rPr>
                <w:rFonts w:eastAsiaTheme="minorHAnsi" w:cs="Arial"/>
                <w:b/>
                <w:bCs/>
                <w:color w:val="FFFFFF"/>
                <w:szCs w:val="20"/>
                <w:lang w:val="en-GB" w:eastAsia="de-DE"/>
              </w:rPr>
            </w:pPr>
            <w:r w:rsidRPr="00CB2C1F">
              <w:rPr>
                <w:rFonts w:cs="Arial"/>
                <w:b/>
                <w:bCs/>
                <w:color w:val="FFFFFF"/>
                <w:szCs w:val="20"/>
                <w:lang w:val="en-GB" w:eastAsia="de-DE"/>
              </w:rPr>
              <w:t>Maximum NB-IoT RB edge to LTE edge</w:t>
            </w:r>
          </w:p>
        </w:tc>
        <w:tc>
          <w:tcPr>
            <w:tcW w:w="2168" w:type="dxa"/>
            <w:tcBorders>
              <w:top w:val="single" w:sz="8" w:space="0" w:color="D22A23"/>
              <w:left w:val="nil"/>
              <w:bottom w:val="single" w:sz="8" w:space="0" w:color="D22A23"/>
              <w:right w:val="single" w:sz="8" w:space="0" w:color="D22A23"/>
            </w:tcBorders>
            <w:shd w:val="clear" w:color="auto" w:fill="D22A23"/>
            <w:tcMar>
              <w:top w:w="57" w:type="dxa"/>
              <w:left w:w="108" w:type="dxa"/>
              <w:bottom w:w="0" w:type="dxa"/>
              <w:right w:w="108" w:type="dxa"/>
            </w:tcMar>
            <w:vAlign w:val="center"/>
            <w:hideMark/>
          </w:tcPr>
          <w:p w:rsidR="00D32D85" w:rsidRPr="00CB2C1F" w:rsidRDefault="00D32D85" w:rsidP="001E6B01">
            <w:pPr>
              <w:keepNext/>
              <w:spacing w:before="60" w:after="60"/>
              <w:jc w:val="center"/>
              <w:rPr>
                <w:rFonts w:eastAsiaTheme="minorHAnsi" w:cs="Arial"/>
                <w:b/>
                <w:bCs/>
                <w:color w:val="FFFFFF"/>
                <w:szCs w:val="20"/>
                <w:lang w:val="en-GB" w:eastAsia="de-DE"/>
              </w:rPr>
            </w:pPr>
            <w:r w:rsidRPr="00CB2C1F">
              <w:rPr>
                <w:rFonts w:cs="Arial"/>
                <w:b/>
                <w:bCs/>
                <w:color w:val="FFFFFF"/>
                <w:szCs w:val="20"/>
                <w:lang w:val="en-GB" w:eastAsia="de-DE"/>
              </w:rPr>
              <w:t>NB-IoT GB</w:t>
            </w:r>
            <w:r w:rsidRPr="00CB2C1F">
              <w:rPr>
                <w:rFonts w:cs="Arial"/>
                <w:b/>
                <w:bCs/>
                <w:color w:val="FFFFFF"/>
                <w:szCs w:val="20"/>
                <w:lang w:val="en-GB" w:eastAsia="de-DE"/>
              </w:rPr>
              <w:br/>
              <w:t>centre frequency offset to  the lower/</w:t>
            </w:r>
            <w:r w:rsidRPr="00CB2C1F">
              <w:rPr>
                <w:rFonts w:cs="Arial"/>
                <w:b/>
                <w:bCs/>
                <w:color w:val="FFFFFF"/>
                <w:szCs w:val="20"/>
                <w:lang w:val="en-GB" w:eastAsia="de-DE"/>
              </w:rPr>
              <w:br/>
              <w:t xml:space="preserve">upper Base Station RF Bandwidth </w:t>
            </w:r>
            <w:r w:rsidRPr="00CB2C1F">
              <w:rPr>
                <w:rFonts w:cs="Arial"/>
                <w:b/>
                <w:bCs/>
                <w:color w:val="FFFFFF"/>
                <w:szCs w:val="20"/>
                <w:lang w:val="en-GB" w:eastAsia="de-DE"/>
              </w:rPr>
              <w:br/>
              <w:t>(kHz)</w:t>
            </w:r>
          </w:p>
        </w:tc>
      </w:tr>
      <w:tr w:rsidR="00D32D85" w:rsidRPr="00756DA5" w:rsidTr="00F26674">
        <w:trPr>
          <w:trHeight w:val="518"/>
          <w:jc w:val="center"/>
        </w:trPr>
        <w:tc>
          <w:tcPr>
            <w:tcW w:w="772" w:type="dxa"/>
            <w:tcBorders>
              <w:top w:val="nil"/>
              <w:left w:val="single" w:sz="8" w:space="0" w:color="D22A23"/>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1.4</w:t>
            </w:r>
          </w:p>
        </w:tc>
        <w:tc>
          <w:tcPr>
            <w:tcW w:w="728"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6</w:t>
            </w:r>
          </w:p>
        </w:tc>
        <w:tc>
          <w:tcPr>
            <w:tcW w:w="972"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700</w:t>
            </w:r>
          </w:p>
        </w:tc>
        <w:tc>
          <w:tcPr>
            <w:tcW w:w="1172"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547.5</w:t>
            </w:r>
          </w:p>
        </w:tc>
        <w:tc>
          <w:tcPr>
            <w:tcW w:w="1494"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637.5</w:t>
            </w:r>
          </w:p>
        </w:tc>
        <w:tc>
          <w:tcPr>
            <w:tcW w:w="1050"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62.5</w:t>
            </w:r>
          </w:p>
        </w:tc>
        <w:tc>
          <w:tcPr>
            <w:tcW w:w="1183"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60</w:t>
            </w:r>
          </w:p>
        </w:tc>
        <w:tc>
          <w:tcPr>
            <w:tcW w:w="761"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2,5</w:t>
            </w:r>
          </w:p>
        </w:tc>
        <w:tc>
          <w:tcPr>
            <w:tcW w:w="1172"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697.5</w:t>
            </w:r>
          </w:p>
        </w:tc>
        <w:tc>
          <w:tcPr>
            <w:tcW w:w="1139"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-87.5</w:t>
            </w:r>
          </w:p>
        </w:tc>
        <w:tc>
          <w:tcPr>
            <w:tcW w:w="2168"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No NB-IoT GB (exceeds LTE channel edge)</w:t>
            </w:r>
          </w:p>
        </w:tc>
      </w:tr>
      <w:tr w:rsidR="00D32D85" w:rsidRPr="00756DA5" w:rsidTr="00F26674">
        <w:trPr>
          <w:trHeight w:val="518"/>
          <w:jc w:val="center"/>
        </w:trPr>
        <w:tc>
          <w:tcPr>
            <w:tcW w:w="772" w:type="dxa"/>
            <w:tcBorders>
              <w:top w:val="nil"/>
              <w:left w:val="single" w:sz="8" w:space="0" w:color="D22A23"/>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3</w:t>
            </w:r>
          </w:p>
        </w:tc>
        <w:tc>
          <w:tcPr>
            <w:tcW w:w="728"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15</w:t>
            </w:r>
          </w:p>
        </w:tc>
        <w:tc>
          <w:tcPr>
            <w:tcW w:w="972"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1500</w:t>
            </w:r>
          </w:p>
        </w:tc>
        <w:tc>
          <w:tcPr>
            <w:tcW w:w="1172"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1357.5</w:t>
            </w:r>
          </w:p>
        </w:tc>
        <w:tc>
          <w:tcPr>
            <w:tcW w:w="1494"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1447.5</w:t>
            </w:r>
          </w:p>
        </w:tc>
        <w:tc>
          <w:tcPr>
            <w:tcW w:w="1050"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52.5</w:t>
            </w:r>
          </w:p>
        </w:tc>
        <w:tc>
          <w:tcPr>
            <w:tcW w:w="1183"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45</w:t>
            </w:r>
          </w:p>
        </w:tc>
        <w:tc>
          <w:tcPr>
            <w:tcW w:w="761"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7.5</w:t>
            </w:r>
          </w:p>
        </w:tc>
        <w:tc>
          <w:tcPr>
            <w:tcW w:w="1172"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1492.5</w:t>
            </w:r>
          </w:p>
        </w:tc>
        <w:tc>
          <w:tcPr>
            <w:tcW w:w="1139"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-82.5</w:t>
            </w:r>
          </w:p>
        </w:tc>
        <w:tc>
          <w:tcPr>
            <w:tcW w:w="2168"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No NB-IoT GB (exceeds LTE channel edge)</w:t>
            </w:r>
          </w:p>
        </w:tc>
      </w:tr>
      <w:tr w:rsidR="00D32D85" w:rsidRPr="00756DA5" w:rsidTr="00F26674">
        <w:trPr>
          <w:trHeight w:val="518"/>
          <w:jc w:val="center"/>
        </w:trPr>
        <w:tc>
          <w:tcPr>
            <w:tcW w:w="772" w:type="dxa"/>
            <w:tcBorders>
              <w:top w:val="nil"/>
              <w:left w:val="single" w:sz="8" w:space="0" w:color="D22A23"/>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5</w:t>
            </w:r>
          </w:p>
        </w:tc>
        <w:tc>
          <w:tcPr>
            <w:tcW w:w="728"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25</w:t>
            </w:r>
          </w:p>
        </w:tc>
        <w:tc>
          <w:tcPr>
            <w:tcW w:w="972"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2500</w:t>
            </w:r>
          </w:p>
        </w:tc>
        <w:tc>
          <w:tcPr>
            <w:tcW w:w="1172"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2257.5</w:t>
            </w:r>
          </w:p>
        </w:tc>
        <w:tc>
          <w:tcPr>
            <w:tcW w:w="1494"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2347.5</w:t>
            </w:r>
          </w:p>
        </w:tc>
        <w:tc>
          <w:tcPr>
            <w:tcW w:w="1050"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52.5</w:t>
            </w:r>
          </w:p>
        </w:tc>
        <w:tc>
          <w:tcPr>
            <w:tcW w:w="1183"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45</w:t>
            </w:r>
          </w:p>
        </w:tc>
        <w:tc>
          <w:tcPr>
            <w:tcW w:w="761"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7.5</w:t>
            </w:r>
          </w:p>
        </w:tc>
        <w:tc>
          <w:tcPr>
            <w:tcW w:w="1172"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2392.5</w:t>
            </w:r>
          </w:p>
        </w:tc>
        <w:tc>
          <w:tcPr>
            <w:tcW w:w="1139"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17.5</w:t>
            </w:r>
          </w:p>
        </w:tc>
        <w:tc>
          <w:tcPr>
            <w:tcW w:w="2168"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NB-IoT carrier close to LTE channel edge</w:t>
            </w:r>
          </w:p>
        </w:tc>
      </w:tr>
      <w:tr w:rsidR="00D32D85" w:rsidRPr="00756DA5" w:rsidTr="00F26674">
        <w:trPr>
          <w:trHeight w:val="518"/>
          <w:jc w:val="center"/>
        </w:trPr>
        <w:tc>
          <w:tcPr>
            <w:tcW w:w="772" w:type="dxa"/>
            <w:tcBorders>
              <w:top w:val="nil"/>
              <w:left w:val="single" w:sz="8" w:space="0" w:color="D22A23"/>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10</w:t>
            </w:r>
          </w:p>
        </w:tc>
        <w:tc>
          <w:tcPr>
            <w:tcW w:w="728"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50</w:t>
            </w:r>
          </w:p>
        </w:tc>
        <w:tc>
          <w:tcPr>
            <w:tcW w:w="972"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5000</w:t>
            </w:r>
          </w:p>
        </w:tc>
        <w:tc>
          <w:tcPr>
            <w:tcW w:w="1172"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4507.5</w:t>
            </w:r>
          </w:p>
        </w:tc>
        <w:tc>
          <w:tcPr>
            <w:tcW w:w="1494"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4597.5</w:t>
            </w:r>
          </w:p>
        </w:tc>
        <w:tc>
          <w:tcPr>
            <w:tcW w:w="1050"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2.5</w:t>
            </w:r>
          </w:p>
        </w:tc>
        <w:tc>
          <w:tcPr>
            <w:tcW w:w="1183"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0</w:t>
            </w:r>
          </w:p>
        </w:tc>
        <w:tc>
          <w:tcPr>
            <w:tcW w:w="761"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2.5</w:t>
            </w:r>
          </w:p>
        </w:tc>
        <w:tc>
          <w:tcPr>
            <w:tcW w:w="1172"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4597.5</w:t>
            </w:r>
          </w:p>
        </w:tc>
        <w:tc>
          <w:tcPr>
            <w:tcW w:w="1139"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312.5</w:t>
            </w:r>
          </w:p>
        </w:tc>
        <w:tc>
          <w:tcPr>
            <w:tcW w:w="2168"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402.5</w:t>
            </w:r>
          </w:p>
        </w:tc>
      </w:tr>
      <w:tr w:rsidR="00D32D85" w:rsidRPr="00756DA5" w:rsidTr="00F26674">
        <w:trPr>
          <w:trHeight w:val="518"/>
          <w:jc w:val="center"/>
        </w:trPr>
        <w:tc>
          <w:tcPr>
            <w:tcW w:w="772" w:type="dxa"/>
            <w:tcBorders>
              <w:top w:val="nil"/>
              <w:left w:val="single" w:sz="8" w:space="0" w:color="D22A23"/>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15</w:t>
            </w:r>
          </w:p>
        </w:tc>
        <w:tc>
          <w:tcPr>
            <w:tcW w:w="728"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75</w:t>
            </w:r>
          </w:p>
        </w:tc>
        <w:tc>
          <w:tcPr>
            <w:tcW w:w="972"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7500</w:t>
            </w:r>
          </w:p>
        </w:tc>
        <w:tc>
          <w:tcPr>
            <w:tcW w:w="1172"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6757.5</w:t>
            </w:r>
          </w:p>
        </w:tc>
        <w:tc>
          <w:tcPr>
            <w:tcW w:w="1494"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6847.5</w:t>
            </w:r>
          </w:p>
        </w:tc>
        <w:tc>
          <w:tcPr>
            <w:tcW w:w="1050"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52.5</w:t>
            </w:r>
          </w:p>
        </w:tc>
        <w:tc>
          <w:tcPr>
            <w:tcW w:w="1183"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45</w:t>
            </w:r>
          </w:p>
        </w:tc>
        <w:tc>
          <w:tcPr>
            <w:tcW w:w="761"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7.5</w:t>
            </w:r>
          </w:p>
        </w:tc>
        <w:tc>
          <w:tcPr>
            <w:tcW w:w="1172"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6892.5</w:t>
            </w:r>
          </w:p>
        </w:tc>
        <w:tc>
          <w:tcPr>
            <w:tcW w:w="1139"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517.5</w:t>
            </w:r>
          </w:p>
        </w:tc>
        <w:tc>
          <w:tcPr>
            <w:tcW w:w="2168"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607.5</w:t>
            </w:r>
          </w:p>
        </w:tc>
      </w:tr>
      <w:tr w:rsidR="00D32D85" w:rsidRPr="00756DA5" w:rsidTr="00F26674">
        <w:trPr>
          <w:trHeight w:val="518"/>
          <w:jc w:val="center"/>
        </w:trPr>
        <w:tc>
          <w:tcPr>
            <w:tcW w:w="772" w:type="dxa"/>
            <w:tcBorders>
              <w:top w:val="nil"/>
              <w:left w:val="single" w:sz="8" w:space="0" w:color="D22A23"/>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20</w:t>
            </w:r>
          </w:p>
        </w:tc>
        <w:tc>
          <w:tcPr>
            <w:tcW w:w="728"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100</w:t>
            </w:r>
          </w:p>
        </w:tc>
        <w:tc>
          <w:tcPr>
            <w:tcW w:w="972"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10000</w:t>
            </w:r>
          </w:p>
        </w:tc>
        <w:tc>
          <w:tcPr>
            <w:tcW w:w="1172"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9007.5</w:t>
            </w:r>
          </w:p>
        </w:tc>
        <w:tc>
          <w:tcPr>
            <w:tcW w:w="1494"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9097.5</w:t>
            </w:r>
          </w:p>
        </w:tc>
        <w:tc>
          <w:tcPr>
            <w:tcW w:w="1050"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2.5</w:t>
            </w:r>
          </w:p>
        </w:tc>
        <w:tc>
          <w:tcPr>
            <w:tcW w:w="1183"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0</w:t>
            </w:r>
          </w:p>
        </w:tc>
        <w:tc>
          <w:tcPr>
            <w:tcW w:w="761"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2.5</w:t>
            </w:r>
          </w:p>
        </w:tc>
        <w:tc>
          <w:tcPr>
            <w:tcW w:w="1172"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9097.5</w:t>
            </w:r>
          </w:p>
        </w:tc>
        <w:tc>
          <w:tcPr>
            <w:tcW w:w="1139"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812.5</w:t>
            </w:r>
          </w:p>
        </w:tc>
        <w:tc>
          <w:tcPr>
            <w:tcW w:w="2168" w:type="dxa"/>
            <w:tcBorders>
              <w:top w:val="nil"/>
              <w:left w:val="nil"/>
              <w:bottom w:val="single" w:sz="8" w:space="0" w:color="D22A23"/>
              <w:right w:val="single" w:sz="8" w:space="0" w:color="D22A23"/>
            </w:tcBorders>
            <w:tcMar>
              <w:top w:w="57" w:type="dxa"/>
              <w:left w:w="108" w:type="dxa"/>
              <w:bottom w:w="0" w:type="dxa"/>
              <w:right w:w="108" w:type="dxa"/>
            </w:tcMar>
            <w:vAlign w:val="center"/>
            <w:hideMark/>
          </w:tcPr>
          <w:p w:rsidR="00D32D85" w:rsidRPr="00756DA5" w:rsidRDefault="00D32D85" w:rsidP="001E6B01">
            <w:pPr>
              <w:keepNext/>
              <w:spacing w:before="60" w:after="60"/>
              <w:rPr>
                <w:rFonts w:eastAsiaTheme="minorHAnsi" w:cs="Arial"/>
                <w:szCs w:val="20"/>
                <w:lang w:val="en-GB" w:eastAsia="de-DE"/>
              </w:rPr>
            </w:pPr>
            <w:r w:rsidRPr="00756DA5">
              <w:rPr>
                <w:rFonts w:cs="Arial"/>
                <w:szCs w:val="20"/>
                <w:lang w:val="en-GB" w:eastAsia="de-DE"/>
              </w:rPr>
              <w:t>902.5</w:t>
            </w:r>
          </w:p>
        </w:tc>
      </w:tr>
    </w:tbl>
    <w:p w:rsidR="00F26674" w:rsidRDefault="00F26674" w:rsidP="00D32D85">
      <w:pPr>
        <w:pStyle w:val="ECCParagraph"/>
        <w:sectPr w:rsidR="00F26674" w:rsidSect="00F26674">
          <w:pgSz w:w="16840" w:h="11907" w:orient="landscape" w:code="9"/>
          <w:pgMar w:top="1134" w:right="1440" w:bottom="1134" w:left="1440" w:header="709" w:footer="709" w:gutter="0"/>
          <w:cols w:space="708"/>
          <w:docGrid w:linePitch="360"/>
        </w:sectPr>
      </w:pPr>
    </w:p>
    <w:p w:rsidR="007F5EF6" w:rsidRPr="00756DA5" w:rsidRDefault="00961ECA" w:rsidP="00961ECA">
      <w:pPr>
        <w:pStyle w:val="Heading2"/>
        <w:rPr>
          <w:lang w:val="en-GB"/>
        </w:rPr>
      </w:pPr>
      <w:bookmarkStart w:id="18" w:name="_Toc480443517"/>
      <w:bookmarkStart w:id="19" w:name="_Toc480444812"/>
      <w:bookmarkStart w:id="20" w:name="_Toc476574133"/>
      <w:bookmarkStart w:id="21" w:name="_Toc486496637"/>
      <w:bookmarkStart w:id="22" w:name="_Toc508112842"/>
      <w:r>
        <w:rPr>
          <w:lang w:val="en-GB"/>
        </w:rPr>
        <w:lastRenderedPageBreak/>
        <w:t>2.3</w:t>
      </w:r>
      <w:r>
        <w:rPr>
          <w:lang w:val="en-GB"/>
        </w:rPr>
        <w:tab/>
      </w:r>
      <w:r w:rsidR="007F5EF6" w:rsidRPr="00756DA5">
        <w:rPr>
          <w:lang w:val="en-GB"/>
        </w:rPr>
        <w:t>Deployment models</w:t>
      </w:r>
      <w:bookmarkEnd w:id="18"/>
      <w:bookmarkEnd w:id="19"/>
      <w:bookmarkEnd w:id="20"/>
      <w:bookmarkEnd w:id="21"/>
      <w:bookmarkEnd w:id="22"/>
    </w:p>
    <w:p w:rsidR="00435736" w:rsidRPr="00896FD5" w:rsidRDefault="00435736" w:rsidP="00896FD5">
      <w:pPr>
        <w:pStyle w:val="ECCParagraph"/>
      </w:pPr>
      <w:r w:rsidRPr="00896FD5">
        <w:t>There are 3 possible deployment modes where:</w:t>
      </w:r>
    </w:p>
    <w:p w:rsidR="00435736" w:rsidRPr="00756DA5" w:rsidRDefault="00435736" w:rsidP="00896FD5">
      <w:pPr>
        <w:pStyle w:val="ECCBulletsLv1"/>
        <w:rPr>
          <w:rFonts w:cs="Arial"/>
        </w:rPr>
      </w:pPr>
      <w:r w:rsidRPr="00756DA5">
        <w:t>the standalone (SA) operation mode is a fully independent deployment mode</w:t>
      </w:r>
      <w:r w:rsidR="00475CFD">
        <w:t>;</w:t>
      </w:r>
    </w:p>
    <w:p w:rsidR="00435736" w:rsidRPr="00756DA5" w:rsidRDefault="00435736" w:rsidP="00896FD5">
      <w:pPr>
        <w:pStyle w:val="ECCBulletsLv1"/>
        <w:rPr>
          <w:rFonts w:cs="Arial"/>
        </w:rPr>
      </w:pPr>
      <w:r w:rsidRPr="00756DA5">
        <w:t xml:space="preserve"> the ‘in</w:t>
      </w:r>
      <w:r w:rsidR="00DC7EE2">
        <w:t>-</w:t>
      </w:r>
      <w:r w:rsidRPr="00756DA5">
        <w:t>band’ operation mode pre-empts some of the resources of an existing carrier (in-band deployment)</w:t>
      </w:r>
      <w:r w:rsidR="00CB2C1F">
        <w:t>;</w:t>
      </w:r>
    </w:p>
    <w:p w:rsidR="007F5EF6" w:rsidRPr="00324AED" w:rsidRDefault="00435736" w:rsidP="00896FD5">
      <w:pPr>
        <w:pStyle w:val="ECCBulletsLv1"/>
      </w:pPr>
      <w:r w:rsidRPr="00756DA5">
        <w:t>the ‘guard band’ operational mode refers to a deployment of the NB IoT system on the side of an existing carrier (guard</w:t>
      </w:r>
      <w:r w:rsidR="00B84810">
        <w:t xml:space="preserve"> </w:t>
      </w:r>
      <w:r w:rsidRPr="00756DA5">
        <w:t>band (GB) deployment)</w:t>
      </w:r>
      <w:r w:rsidR="00CB2C1F">
        <w:t>.</w:t>
      </w:r>
    </w:p>
    <w:p w:rsidR="007F5EF6" w:rsidRPr="00756DA5" w:rsidRDefault="007F5EF6" w:rsidP="00896FD5">
      <w:pPr>
        <w:pStyle w:val="ECCParagraph"/>
      </w:pPr>
    </w:p>
    <w:p w:rsidR="007F5EF6" w:rsidRPr="00756DA5" w:rsidRDefault="007F5EF6" w:rsidP="00896FD5">
      <w:pPr>
        <w:pStyle w:val="ECCParagraph"/>
      </w:pPr>
      <w:r w:rsidRPr="00756DA5">
        <w:t>It has to be noted that EC-GSM-IoT is considered to be deployed in standalone mode and in</w:t>
      </w:r>
      <w:r w:rsidR="00324AED">
        <w:t>-</w:t>
      </w:r>
      <w:r w:rsidRPr="00756DA5">
        <w:t>band mode, LTE-MTC/eMTC is considered to be deployed in</w:t>
      </w:r>
      <w:r w:rsidR="00324AED">
        <w:t>-</w:t>
      </w:r>
      <w:r w:rsidRPr="00756DA5">
        <w:t>band mode and NB-IoT encompasses all the three modes referred above.</w:t>
      </w:r>
    </w:p>
    <w:p w:rsidR="007F5EF6" w:rsidRPr="00756DA5" w:rsidRDefault="007F5EF6" w:rsidP="007F5EF6">
      <w:pPr>
        <w:pStyle w:val="Caption"/>
        <w:keepNext/>
        <w:rPr>
          <w:rFonts w:cs="Arial"/>
          <w:lang w:val="en-GB"/>
        </w:rPr>
      </w:pPr>
      <w:bookmarkStart w:id="23" w:name="_Ref474319191"/>
      <w:bookmarkStart w:id="24" w:name="_Ref474319186"/>
      <w:r w:rsidRPr="00756DA5">
        <w:rPr>
          <w:rFonts w:cs="Arial"/>
          <w:lang w:val="en-GB"/>
        </w:rPr>
        <w:t xml:space="preserve">Table </w:t>
      </w:r>
      <w:r w:rsidR="001F2CD7" w:rsidRPr="00756DA5">
        <w:rPr>
          <w:rFonts w:cs="Arial"/>
          <w:lang w:val="en-GB"/>
        </w:rPr>
        <w:fldChar w:fldCharType="begin"/>
      </w:r>
      <w:r w:rsidR="001F2CD7" w:rsidRPr="00756DA5">
        <w:rPr>
          <w:rFonts w:cs="Arial"/>
          <w:lang w:val="en-GB"/>
        </w:rPr>
        <w:instrText xml:space="preserve"> SEQ Table \* ARABIC </w:instrText>
      </w:r>
      <w:r w:rsidR="001F2CD7" w:rsidRPr="00756DA5">
        <w:rPr>
          <w:rFonts w:cs="Arial"/>
          <w:lang w:val="en-GB"/>
        </w:rPr>
        <w:fldChar w:fldCharType="separate"/>
      </w:r>
      <w:r w:rsidR="009D1B2D">
        <w:rPr>
          <w:rFonts w:cs="Arial"/>
          <w:noProof/>
          <w:lang w:val="en-GB"/>
        </w:rPr>
        <w:t>2</w:t>
      </w:r>
      <w:r w:rsidR="001F2CD7" w:rsidRPr="00756DA5">
        <w:rPr>
          <w:rFonts w:cs="Arial"/>
          <w:lang w:val="en-GB"/>
        </w:rPr>
        <w:fldChar w:fldCharType="end"/>
      </w:r>
      <w:bookmarkEnd w:id="23"/>
      <w:r w:rsidRPr="00756DA5">
        <w:rPr>
          <w:rFonts w:cs="Arial"/>
          <w:lang w:val="en-GB"/>
        </w:rPr>
        <w:t xml:space="preserve">: M2M </w:t>
      </w:r>
      <w:r w:rsidR="00A02E7F">
        <w:rPr>
          <w:rFonts w:cs="Arial"/>
          <w:lang w:val="en-GB"/>
        </w:rPr>
        <w:t xml:space="preserve">IoT </w:t>
      </w:r>
      <w:r w:rsidRPr="00756DA5">
        <w:rPr>
          <w:rFonts w:cs="Arial"/>
          <w:lang w:val="en-GB"/>
        </w:rPr>
        <w:t xml:space="preserve">cellular </w:t>
      </w:r>
      <w:r w:rsidR="00A02E7F">
        <w:rPr>
          <w:rFonts w:cs="Arial"/>
          <w:lang w:val="en-GB"/>
        </w:rPr>
        <w:t>systems</w:t>
      </w:r>
      <w:r w:rsidRPr="00756DA5">
        <w:rPr>
          <w:rFonts w:cs="Arial"/>
          <w:lang w:val="en-GB"/>
        </w:rPr>
        <w:t xml:space="preserve"> references</w:t>
      </w:r>
      <w:bookmarkEnd w:id="24"/>
    </w:p>
    <w:tbl>
      <w:tblPr>
        <w:tblStyle w:val="ECCTable-redheader"/>
        <w:tblpPr w:leftFromText="180" w:rightFromText="180" w:vertAnchor="text" w:tblpXSpec="center" w:tblpY="1"/>
        <w:tblOverlap w:val="never"/>
        <w:tblW w:w="0" w:type="auto"/>
        <w:jc w:val="left"/>
        <w:tblInd w:w="0" w:type="dxa"/>
        <w:tblLayout w:type="fixed"/>
        <w:tblLook w:val="04A0" w:firstRow="1" w:lastRow="0" w:firstColumn="1" w:lastColumn="0" w:noHBand="0" w:noVBand="1"/>
      </w:tblPr>
      <w:tblGrid>
        <w:gridCol w:w="1384"/>
        <w:gridCol w:w="3119"/>
        <w:gridCol w:w="566"/>
        <w:gridCol w:w="851"/>
        <w:gridCol w:w="850"/>
        <w:gridCol w:w="1560"/>
      </w:tblGrid>
      <w:tr w:rsidR="001E4CAF" w:rsidRPr="00756DA5" w:rsidTr="007327D1">
        <w:trPr>
          <w:cnfStyle w:val="100000000000" w:firstRow="1" w:lastRow="0" w:firstColumn="0" w:lastColumn="0" w:oddVBand="0" w:evenVBand="0" w:oddHBand="0" w:evenHBand="0" w:firstRowFirstColumn="0" w:firstRowLastColumn="0" w:lastRowFirstColumn="0" w:lastRowLastColumn="0"/>
          <w:trHeight w:val="124"/>
          <w:jc w:val="left"/>
        </w:trPr>
        <w:tc>
          <w:tcPr>
            <w:tcW w:w="1384" w:type="dxa"/>
            <w:vMerge w:val="restart"/>
            <w:tcBorders>
              <w:top w:val="single" w:sz="4" w:space="0" w:color="FFFFFF" w:themeColor="background1"/>
              <w:bottom w:val="single" w:sz="4" w:space="0" w:color="FFFFFF" w:themeColor="background1"/>
            </w:tcBorders>
          </w:tcPr>
          <w:p w:rsidR="001E4CAF" w:rsidRPr="00756DA5" w:rsidRDefault="00A02E7F" w:rsidP="00506286">
            <w:pPr>
              <w:rPr>
                <w:rFonts w:cs="Arial"/>
                <w:lang w:val="en-GB"/>
              </w:rPr>
            </w:pPr>
            <w:r>
              <w:rPr>
                <w:rFonts w:cs="Arial"/>
                <w:lang w:val="en-GB"/>
              </w:rPr>
              <w:t>IoT cellular systems</w:t>
            </w:r>
          </w:p>
        </w:tc>
        <w:tc>
          <w:tcPr>
            <w:tcW w:w="3119" w:type="dxa"/>
            <w:vMerge w:val="restart"/>
            <w:tcBorders>
              <w:top w:val="single" w:sz="4" w:space="0" w:color="FFFFFF" w:themeColor="background1"/>
              <w:bottom w:val="single" w:sz="4" w:space="0" w:color="FFFFFF" w:themeColor="background1"/>
            </w:tcBorders>
          </w:tcPr>
          <w:p w:rsidR="001E4CAF" w:rsidRPr="00756DA5" w:rsidRDefault="001E4CAF" w:rsidP="00506286">
            <w:pPr>
              <w:rPr>
                <w:rFonts w:cs="Arial"/>
                <w:lang w:val="en-GB"/>
              </w:rPr>
            </w:pPr>
            <w:r w:rsidRPr="00756DA5">
              <w:rPr>
                <w:rFonts w:cs="Arial"/>
                <w:lang w:val="en-GB"/>
              </w:rPr>
              <w:t>Harmonised standard</w:t>
            </w:r>
          </w:p>
        </w:tc>
        <w:tc>
          <w:tcPr>
            <w:tcW w:w="2267" w:type="dxa"/>
            <w:gridSpan w:val="3"/>
            <w:tcBorders>
              <w:top w:val="single" w:sz="4" w:space="0" w:color="FFFFFF" w:themeColor="background1"/>
              <w:bottom w:val="single" w:sz="4" w:space="0" w:color="FFFFFF" w:themeColor="background1"/>
            </w:tcBorders>
          </w:tcPr>
          <w:p w:rsidR="001E4CAF" w:rsidRPr="00756DA5" w:rsidRDefault="001E4CAF" w:rsidP="00506286">
            <w:pPr>
              <w:rPr>
                <w:rFonts w:cs="Arial"/>
                <w:lang w:val="en-GB"/>
              </w:rPr>
            </w:pPr>
            <w:r w:rsidRPr="00756DA5">
              <w:rPr>
                <w:rFonts w:cs="Arial"/>
                <w:lang w:val="en-GB"/>
              </w:rPr>
              <w:t>Deployment</w:t>
            </w:r>
          </w:p>
        </w:tc>
        <w:tc>
          <w:tcPr>
            <w:tcW w:w="1560" w:type="dxa"/>
            <w:vMerge w:val="restart"/>
            <w:tcBorders>
              <w:top w:val="single" w:sz="4" w:space="0" w:color="FFFFFF" w:themeColor="background1"/>
            </w:tcBorders>
          </w:tcPr>
          <w:p w:rsidR="001E4CAF" w:rsidRPr="00756DA5" w:rsidRDefault="001E4CAF" w:rsidP="00506286">
            <w:pPr>
              <w:rPr>
                <w:rFonts w:cs="Arial"/>
                <w:lang w:val="en-GB"/>
              </w:rPr>
            </w:pPr>
            <w:r w:rsidRPr="00756DA5">
              <w:rPr>
                <w:rFonts w:cs="Arial"/>
                <w:lang w:val="en-GB"/>
              </w:rPr>
              <w:t>Bandwidth (kHz)</w:t>
            </w:r>
          </w:p>
        </w:tc>
      </w:tr>
      <w:tr w:rsidR="001E4CAF" w:rsidRPr="00756DA5" w:rsidTr="007327D1">
        <w:trPr>
          <w:trHeight w:val="123"/>
          <w:jc w:val="left"/>
        </w:trPr>
        <w:tc>
          <w:tcPr>
            <w:tcW w:w="1384" w:type="dxa"/>
            <w:vMerge/>
            <w:tcBorders>
              <w:top w:val="single" w:sz="4" w:space="0" w:color="FFFFFF" w:themeColor="background1"/>
              <w:right w:val="single" w:sz="4" w:space="0" w:color="FFFFFF" w:themeColor="background1"/>
            </w:tcBorders>
          </w:tcPr>
          <w:p w:rsidR="001E4CAF" w:rsidRPr="00756DA5" w:rsidRDefault="001E4CAF" w:rsidP="00506286">
            <w:pPr>
              <w:rPr>
                <w:rFonts w:cs="Arial"/>
                <w:lang w:val="en-GB"/>
              </w:rPr>
            </w:pPr>
          </w:p>
        </w:tc>
        <w:tc>
          <w:tcPr>
            <w:tcW w:w="3119" w:type="dxa"/>
            <w:vMerge/>
            <w:tcBorders>
              <w:top w:val="single" w:sz="4" w:space="0" w:color="FFFFFF" w:themeColor="background1"/>
              <w:left w:val="single" w:sz="4" w:space="0" w:color="FFFFFF" w:themeColor="background1"/>
              <w:right w:val="single" w:sz="4" w:space="0" w:color="FFFFFF" w:themeColor="background1"/>
            </w:tcBorders>
          </w:tcPr>
          <w:p w:rsidR="001E4CAF" w:rsidRPr="00756DA5" w:rsidRDefault="001E4CAF" w:rsidP="00506286">
            <w:pPr>
              <w:rPr>
                <w:rFonts w:cs="Arial"/>
                <w:lang w:val="en-GB"/>
              </w:rPr>
            </w:pPr>
          </w:p>
        </w:tc>
        <w:tc>
          <w:tcPr>
            <w:tcW w:w="566" w:type="dxa"/>
            <w:tcBorders>
              <w:top w:val="single" w:sz="4" w:space="0" w:color="FFFFFF" w:themeColor="background1"/>
              <w:left w:val="single" w:sz="4" w:space="0" w:color="FFFFFF" w:themeColor="background1"/>
              <w:bottom w:val="single" w:sz="4" w:space="0" w:color="D22A23"/>
              <w:right w:val="single" w:sz="4" w:space="0" w:color="FFFFFF" w:themeColor="background1"/>
            </w:tcBorders>
            <w:shd w:val="clear" w:color="auto" w:fill="D22A23"/>
          </w:tcPr>
          <w:p w:rsidR="001E4CAF" w:rsidRPr="00756DA5" w:rsidRDefault="001E4CAF" w:rsidP="00506286">
            <w:pPr>
              <w:rPr>
                <w:rFonts w:cs="Arial"/>
                <w:b/>
                <w:color w:val="FFFFFF" w:themeColor="background1"/>
                <w:lang w:val="en-GB"/>
              </w:rPr>
            </w:pPr>
            <w:r w:rsidRPr="00756DA5">
              <w:rPr>
                <w:rFonts w:cs="Arial"/>
                <w:b/>
                <w:color w:val="FFFFFF" w:themeColor="background1"/>
                <w:lang w:val="en-GB"/>
              </w:rPr>
              <w:t>Standalone</w:t>
            </w:r>
          </w:p>
        </w:tc>
        <w:tc>
          <w:tcPr>
            <w:tcW w:w="851" w:type="dxa"/>
            <w:tcBorders>
              <w:top w:val="single" w:sz="4" w:space="0" w:color="FFFFFF" w:themeColor="background1"/>
              <w:left w:val="single" w:sz="4" w:space="0" w:color="FFFFFF" w:themeColor="background1"/>
              <w:bottom w:val="single" w:sz="4" w:space="0" w:color="D22A23"/>
              <w:right w:val="single" w:sz="4" w:space="0" w:color="FFFFFF" w:themeColor="background1"/>
            </w:tcBorders>
            <w:shd w:val="clear" w:color="auto" w:fill="D22A23"/>
          </w:tcPr>
          <w:p w:rsidR="001E4CAF" w:rsidRPr="00756DA5" w:rsidRDefault="001E4CAF" w:rsidP="00506286">
            <w:pPr>
              <w:rPr>
                <w:rFonts w:cs="Arial"/>
                <w:b/>
                <w:color w:val="FFFFFF" w:themeColor="background1"/>
                <w:lang w:val="en-GB"/>
              </w:rPr>
            </w:pPr>
            <w:r w:rsidRPr="00756DA5">
              <w:rPr>
                <w:rFonts w:cs="Arial"/>
                <w:b/>
                <w:color w:val="FFFFFF" w:themeColor="background1"/>
                <w:lang w:val="en-GB"/>
              </w:rPr>
              <w:t>In-band</w:t>
            </w:r>
          </w:p>
        </w:tc>
        <w:tc>
          <w:tcPr>
            <w:tcW w:w="850" w:type="dxa"/>
            <w:tcBorders>
              <w:top w:val="single" w:sz="4" w:space="0" w:color="FFFFFF" w:themeColor="background1"/>
              <w:left w:val="single" w:sz="4" w:space="0" w:color="FFFFFF" w:themeColor="background1"/>
              <w:bottom w:val="single" w:sz="4" w:space="0" w:color="D22A23"/>
              <w:right w:val="single" w:sz="4" w:space="0" w:color="FFFFFF" w:themeColor="background1"/>
            </w:tcBorders>
            <w:shd w:val="clear" w:color="auto" w:fill="D22A23"/>
          </w:tcPr>
          <w:p w:rsidR="001E4CAF" w:rsidRPr="00756DA5" w:rsidRDefault="001E4CAF" w:rsidP="00B84810">
            <w:pPr>
              <w:rPr>
                <w:rFonts w:cs="Arial"/>
                <w:b/>
                <w:color w:val="FFFFFF" w:themeColor="background1"/>
                <w:lang w:val="en-GB"/>
              </w:rPr>
            </w:pPr>
            <w:r w:rsidRPr="00756DA5">
              <w:rPr>
                <w:rFonts w:cs="Arial"/>
                <w:b/>
                <w:color w:val="FFFFFF" w:themeColor="background1"/>
                <w:lang w:val="en-GB"/>
              </w:rPr>
              <w:t>Guard</w:t>
            </w:r>
            <w:r w:rsidR="00B84810">
              <w:rPr>
                <w:rFonts w:cs="Arial"/>
                <w:b/>
                <w:color w:val="FFFFFF" w:themeColor="background1"/>
                <w:lang w:val="en-GB"/>
              </w:rPr>
              <w:t xml:space="preserve"> </w:t>
            </w:r>
            <w:r w:rsidRPr="00756DA5">
              <w:rPr>
                <w:rFonts w:cs="Arial"/>
                <w:b/>
                <w:color w:val="FFFFFF" w:themeColor="background1"/>
                <w:lang w:val="en-GB"/>
              </w:rPr>
              <w:t>band</w:t>
            </w:r>
          </w:p>
        </w:tc>
        <w:tc>
          <w:tcPr>
            <w:tcW w:w="1560" w:type="dxa"/>
            <w:vMerge/>
            <w:tcBorders>
              <w:top w:val="single" w:sz="4" w:space="0" w:color="FFFFFF" w:themeColor="background1"/>
              <w:left w:val="single" w:sz="4" w:space="0" w:color="FFFFFF" w:themeColor="background1"/>
            </w:tcBorders>
          </w:tcPr>
          <w:p w:rsidR="001E4CAF" w:rsidRPr="00756DA5" w:rsidRDefault="001E4CAF" w:rsidP="00506286">
            <w:pPr>
              <w:rPr>
                <w:rFonts w:cs="Arial"/>
                <w:lang w:val="en-GB"/>
              </w:rPr>
            </w:pPr>
          </w:p>
        </w:tc>
      </w:tr>
      <w:tr w:rsidR="001E4CAF" w:rsidRPr="00756DA5" w:rsidTr="007327D1">
        <w:trPr>
          <w:jc w:val="left"/>
        </w:trPr>
        <w:tc>
          <w:tcPr>
            <w:tcW w:w="1384" w:type="dxa"/>
          </w:tcPr>
          <w:p w:rsidR="001E4CAF" w:rsidRPr="00756DA5" w:rsidRDefault="001E4CAF" w:rsidP="00506286">
            <w:pPr>
              <w:rPr>
                <w:rFonts w:cs="Arial"/>
                <w:lang w:val="en-GB"/>
              </w:rPr>
            </w:pPr>
            <w:r w:rsidRPr="00756DA5">
              <w:rPr>
                <w:rFonts w:cs="Arial"/>
                <w:lang w:val="en-GB"/>
              </w:rPr>
              <w:t>EC-GSM-IoT</w:t>
            </w:r>
          </w:p>
        </w:tc>
        <w:tc>
          <w:tcPr>
            <w:tcW w:w="3119" w:type="dxa"/>
          </w:tcPr>
          <w:p w:rsidR="001E4CAF" w:rsidRPr="00D86675" w:rsidRDefault="001E4CAF" w:rsidP="00506286">
            <w:pPr>
              <w:rPr>
                <w:rFonts w:cs="Arial"/>
                <w:lang w:val="da-DK"/>
              </w:rPr>
            </w:pPr>
            <w:r w:rsidRPr="00363B2D">
              <w:rPr>
                <w:rFonts w:cs="Arial"/>
                <w:lang w:val="fr-FR"/>
              </w:rPr>
              <w:t xml:space="preserve">ETSI EN 301 502 </w:t>
            </w:r>
            <w:r w:rsidR="002B565D">
              <w:rPr>
                <w:rFonts w:cs="Arial"/>
                <w:lang w:val="fr-FR"/>
              </w:rPr>
              <w:fldChar w:fldCharType="begin"/>
            </w:r>
            <w:r w:rsidR="002B565D">
              <w:rPr>
                <w:rFonts w:cs="Arial"/>
                <w:lang w:val="fr-FR"/>
              </w:rPr>
              <w:instrText xml:space="preserve"> REF _Ref508110523 \r \h </w:instrText>
            </w:r>
            <w:r w:rsidR="002B565D">
              <w:rPr>
                <w:rFonts w:cs="Arial"/>
                <w:lang w:val="fr-FR"/>
              </w:rPr>
            </w:r>
            <w:r w:rsidR="002B565D">
              <w:rPr>
                <w:rFonts w:cs="Arial"/>
                <w:lang w:val="fr-FR"/>
              </w:rPr>
              <w:fldChar w:fldCharType="separate"/>
            </w:r>
            <w:r w:rsidR="009D1B2D">
              <w:rPr>
                <w:rFonts w:cs="Arial"/>
                <w:lang w:val="fr-FR"/>
              </w:rPr>
              <w:t>[8]</w:t>
            </w:r>
            <w:r w:rsidR="002B565D">
              <w:rPr>
                <w:rFonts w:cs="Arial"/>
                <w:lang w:val="fr-FR"/>
              </w:rPr>
              <w:fldChar w:fldCharType="end"/>
            </w:r>
            <w:r w:rsidR="00363B2D" w:rsidRPr="00D86675">
              <w:rPr>
                <w:rFonts w:cs="Arial"/>
                <w:lang w:val="da-DK"/>
              </w:rPr>
              <w:t xml:space="preserve"> </w:t>
            </w:r>
            <w:r w:rsidRPr="00D86675">
              <w:rPr>
                <w:rFonts w:cs="Arial"/>
                <w:lang w:val="da-DK"/>
              </w:rPr>
              <w:t>(BS)</w:t>
            </w:r>
          </w:p>
          <w:p w:rsidR="001E4CAF" w:rsidRPr="00CB2C1F" w:rsidRDefault="001E4CAF" w:rsidP="00506286">
            <w:pPr>
              <w:rPr>
                <w:rFonts w:cs="Arial"/>
                <w:lang w:val="fr-FR"/>
              </w:rPr>
            </w:pPr>
            <w:r w:rsidRPr="00D86675">
              <w:rPr>
                <w:rFonts w:cs="Arial"/>
                <w:lang w:val="da-DK"/>
              </w:rPr>
              <w:t xml:space="preserve">ETSI EN 301 511 </w:t>
            </w:r>
            <w:r w:rsidR="002B565D">
              <w:rPr>
                <w:rFonts w:cs="Arial"/>
                <w:lang w:val="da-DK"/>
              </w:rPr>
              <w:fldChar w:fldCharType="begin"/>
            </w:r>
            <w:r w:rsidR="002B565D">
              <w:rPr>
                <w:rFonts w:cs="Arial"/>
                <w:lang w:val="da-DK"/>
              </w:rPr>
              <w:instrText xml:space="preserve"> REF _Ref508110588 \r \h </w:instrText>
            </w:r>
            <w:r w:rsidR="002B565D">
              <w:rPr>
                <w:rFonts w:cs="Arial"/>
                <w:lang w:val="da-DK"/>
              </w:rPr>
            </w:r>
            <w:r w:rsidR="002B565D">
              <w:rPr>
                <w:rFonts w:cs="Arial"/>
                <w:lang w:val="da-DK"/>
              </w:rPr>
              <w:fldChar w:fldCharType="separate"/>
            </w:r>
            <w:r w:rsidR="009D1B2D">
              <w:rPr>
                <w:rFonts w:cs="Arial"/>
                <w:lang w:val="da-DK"/>
              </w:rPr>
              <w:t>[9]</w:t>
            </w:r>
            <w:r w:rsidR="002B565D">
              <w:rPr>
                <w:rFonts w:cs="Arial"/>
                <w:lang w:val="da-DK"/>
              </w:rPr>
              <w:fldChar w:fldCharType="end"/>
            </w:r>
            <w:r w:rsidRPr="00CB2C1F">
              <w:rPr>
                <w:rFonts w:cs="Arial"/>
                <w:lang w:val="fr-FR"/>
              </w:rPr>
              <w:t xml:space="preserve"> (UE)</w:t>
            </w:r>
          </w:p>
          <w:p w:rsidR="001E4CAF" w:rsidRPr="00257791" w:rsidRDefault="001E4CAF" w:rsidP="00C93A9D">
            <w:pPr>
              <w:rPr>
                <w:rFonts w:cs="Arial"/>
                <w:lang w:val="en-GB"/>
              </w:rPr>
            </w:pPr>
            <w:r w:rsidRPr="00363B2D">
              <w:rPr>
                <w:rFonts w:cs="Arial"/>
                <w:lang w:val="da-DK"/>
              </w:rPr>
              <w:t xml:space="preserve">ETSI EN 301 908-18 </w:t>
            </w:r>
            <w:r w:rsidR="00C93A9D">
              <w:rPr>
                <w:rFonts w:cs="Arial"/>
                <w:szCs w:val="20"/>
                <w:lang w:val="da-DK"/>
              </w:rPr>
              <w:fldChar w:fldCharType="begin"/>
            </w:r>
            <w:r w:rsidR="00C93A9D">
              <w:rPr>
                <w:rFonts w:cs="Arial"/>
                <w:szCs w:val="20"/>
                <w:lang w:val="da-DK"/>
              </w:rPr>
              <w:instrText xml:space="preserve"> REF _Ref508110624 \r \h </w:instrText>
            </w:r>
            <w:r w:rsidR="00C93A9D">
              <w:rPr>
                <w:rFonts w:cs="Arial"/>
                <w:szCs w:val="20"/>
                <w:lang w:val="da-DK"/>
              </w:rPr>
            </w:r>
            <w:r w:rsidR="00C93A9D">
              <w:rPr>
                <w:rFonts w:cs="Arial"/>
                <w:szCs w:val="20"/>
                <w:lang w:val="da-DK"/>
              </w:rPr>
              <w:fldChar w:fldCharType="separate"/>
            </w:r>
            <w:r w:rsidR="009D1B2D">
              <w:rPr>
                <w:rFonts w:cs="Arial"/>
                <w:szCs w:val="20"/>
                <w:lang w:val="da-DK"/>
              </w:rPr>
              <w:t>[7]</w:t>
            </w:r>
            <w:r w:rsidR="00C93A9D">
              <w:rPr>
                <w:rFonts w:cs="Arial"/>
                <w:szCs w:val="20"/>
                <w:lang w:val="da-DK"/>
              </w:rPr>
              <w:fldChar w:fldCharType="end"/>
            </w:r>
            <w:r w:rsidRPr="00363B2D">
              <w:rPr>
                <w:rFonts w:cs="Arial"/>
                <w:lang w:val="da-DK"/>
              </w:rPr>
              <w:t xml:space="preserve"> (BS)</w:t>
            </w:r>
          </w:p>
        </w:tc>
        <w:tc>
          <w:tcPr>
            <w:tcW w:w="566" w:type="dxa"/>
            <w:tcBorders>
              <w:top w:val="single" w:sz="4" w:space="0" w:color="D22A23"/>
            </w:tcBorders>
          </w:tcPr>
          <w:p w:rsidR="001E4CAF" w:rsidRPr="00756DA5" w:rsidRDefault="001E4CAF" w:rsidP="00506286">
            <w:pPr>
              <w:jc w:val="center"/>
              <w:rPr>
                <w:rFonts w:cs="Arial"/>
                <w:b/>
                <w:sz w:val="16"/>
                <w:lang w:val="en-GB"/>
              </w:rPr>
            </w:pPr>
            <w:r w:rsidRPr="00756DA5">
              <w:rPr>
                <w:rFonts w:cs="Arial"/>
                <w:lang w:val="en-GB"/>
              </w:rPr>
              <w:t>X</w:t>
            </w:r>
          </w:p>
        </w:tc>
        <w:tc>
          <w:tcPr>
            <w:tcW w:w="851" w:type="dxa"/>
            <w:tcBorders>
              <w:top w:val="single" w:sz="4" w:space="0" w:color="D22A23"/>
            </w:tcBorders>
          </w:tcPr>
          <w:p w:rsidR="001E4CAF" w:rsidRPr="00756DA5" w:rsidRDefault="001E4CAF" w:rsidP="00506286">
            <w:pPr>
              <w:jc w:val="center"/>
              <w:rPr>
                <w:rFonts w:cs="Arial"/>
                <w:lang w:val="en-GB" w:eastAsia="en-US"/>
              </w:rPr>
            </w:pPr>
            <w:r w:rsidRPr="00756DA5">
              <w:rPr>
                <w:rFonts w:cs="Arial"/>
                <w:lang w:val="en-GB"/>
              </w:rPr>
              <w:t>X</w:t>
            </w:r>
          </w:p>
        </w:tc>
        <w:tc>
          <w:tcPr>
            <w:tcW w:w="850" w:type="dxa"/>
            <w:tcBorders>
              <w:top w:val="single" w:sz="4" w:space="0" w:color="D22A23"/>
            </w:tcBorders>
          </w:tcPr>
          <w:p w:rsidR="001E4CAF" w:rsidRPr="00756DA5" w:rsidRDefault="001E4CAF" w:rsidP="00506286">
            <w:pPr>
              <w:jc w:val="center"/>
              <w:rPr>
                <w:rFonts w:cs="Arial"/>
                <w:lang w:val="en-GB"/>
              </w:rPr>
            </w:pPr>
          </w:p>
        </w:tc>
        <w:tc>
          <w:tcPr>
            <w:tcW w:w="1560" w:type="dxa"/>
          </w:tcPr>
          <w:p w:rsidR="001E4CAF" w:rsidRPr="00756DA5" w:rsidRDefault="001E4CAF" w:rsidP="00506286">
            <w:pPr>
              <w:rPr>
                <w:rFonts w:cs="Arial"/>
                <w:lang w:val="en-GB"/>
              </w:rPr>
            </w:pPr>
            <w:r w:rsidRPr="00756DA5">
              <w:rPr>
                <w:rFonts w:cs="Arial"/>
                <w:lang w:val="en-GB"/>
              </w:rPr>
              <w:t>200</w:t>
            </w:r>
          </w:p>
        </w:tc>
      </w:tr>
      <w:tr w:rsidR="001E4CAF" w:rsidRPr="00756DA5" w:rsidTr="007327D1">
        <w:trPr>
          <w:jc w:val="left"/>
        </w:trPr>
        <w:tc>
          <w:tcPr>
            <w:tcW w:w="1384" w:type="dxa"/>
          </w:tcPr>
          <w:p w:rsidR="001E4CAF" w:rsidRPr="00756DA5" w:rsidRDefault="001E4CAF" w:rsidP="00506286">
            <w:pPr>
              <w:rPr>
                <w:rFonts w:cs="Arial"/>
                <w:lang w:val="en-GB"/>
              </w:rPr>
            </w:pPr>
            <w:r w:rsidRPr="00756DA5">
              <w:rPr>
                <w:rFonts w:cs="Arial"/>
                <w:lang w:val="en-GB"/>
              </w:rPr>
              <w:t>LTE-MTC</w:t>
            </w:r>
          </w:p>
        </w:tc>
        <w:tc>
          <w:tcPr>
            <w:tcW w:w="3119" w:type="dxa"/>
          </w:tcPr>
          <w:p w:rsidR="001E4CAF" w:rsidRPr="00CB2C1F" w:rsidRDefault="001E4CAF" w:rsidP="00475CFD">
            <w:pPr>
              <w:jc w:val="left"/>
              <w:rPr>
                <w:rFonts w:cs="Arial"/>
                <w:lang w:val="fr-FR"/>
              </w:rPr>
            </w:pPr>
            <w:r w:rsidRPr="00CB2C1F">
              <w:rPr>
                <w:rFonts w:cs="Arial"/>
                <w:lang w:val="fr-FR"/>
              </w:rPr>
              <w:t xml:space="preserve">ETSI EN 301 908-1 </w:t>
            </w:r>
            <w:r w:rsidR="002B565D">
              <w:rPr>
                <w:rFonts w:cs="Arial"/>
                <w:lang w:val="fr-FR"/>
              </w:rPr>
              <w:fldChar w:fldCharType="begin"/>
            </w:r>
            <w:r w:rsidR="002B565D">
              <w:rPr>
                <w:rFonts w:cs="Arial"/>
                <w:lang w:val="fr-FR"/>
              </w:rPr>
              <w:instrText xml:space="preserve"> REF _Ref508109767 \r \h </w:instrText>
            </w:r>
            <w:r w:rsidR="002B565D">
              <w:rPr>
                <w:rFonts w:cs="Arial"/>
                <w:lang w:val="fr-FR"/>
              </w:rPr>
            </w:r>
            <w:r w:rsidR="002B565D">
              <w:rPr>
                <w:rFonts w:cs="Arial"/>
                <w:lang w:val="fr-FR"/>
              </w:rPr>
              <w:fldChar w:fldCharType="separate"/>
            </w:r>
            <w:r w:rsidR="009D1B2D">
              <w:rPr>
                <w:rFonts w:cs="Arial"/>
                <w:lang w:val="fr-FR"/>
              </w:rPr>
              <w:t>[11]</w:t>
            </w:r>
            <w:r w:rsidR="002B565D">
              <w:rPr>
                <w:rFonts w:cs="Arial"/>
                <w:lang w:val="fr-FR"/>
              </w:rPr>
              <w:fldChar w:fldCharType="end"/>
            </w:r>
            <w:r w:rsidR="002B565D" w:rsidRPr="009C5C1D" w:rsidDel="002B565D">
              <w:rPr>
                <w:rFonts w:cs="Arial"/>
                <w:lang w:val="da-DK"/>
              </w:rPr>
              <w:t xml:space="preserve"> </w:t>
            </w:r>
          </w:p>
          <w:p w:rsidR="001E4CAF" w:rsidRPr="00CB2C1F" w:rsidRDefault="001E4CAF" w:rsidP="00475CFD">
            <w:pPr>
              <w:jc w:val="left"/>
              <w:rPr>
                <w:rFonts w:cs="Arial"/>
                <w:lang w:val="fr-FR"/>
              </w:rPr>
            </w:pPr>
            <w:r w:rsidRPr="00CB2C1F">
              <w:rPr>
                <w:rFonts w:cs="Arial"/>
                <w:lang w:val="fr-FR"/>
              </w:rPr>
              <w:t xml:space="preserve">ETSI EN 301 908-13 </w:t>
            </w:r>
            <w:r w:rsidR="002B565D">
              <w:rPr>
                <w:rFonts w:cs="Arial"/>
                <w:szCs w:val="20"/>
                <w:lang w:val="da-DK"/>
              </w:rPr>
              <w:fldChar w:fldCharType="begin"/>
            </w:r>
            <w:r w:rsidR="002B565D">
              <w:rPr>
                <w:rFonts w:cs="Arial"/>
                <w:szCs w:val="20"/>
                <w:lang w:val="da-DK"/>
              </w:rPr>
              <w:instrText xml:space="preserve"> REF _Ref508109734 \r \h </w:instrText>
            </w:r>
            <w:r w:rsidR="002B565D">
              <w:rPr>
                <w:rFonts w:cs="Arial"/>
                <w:szCs w:val="20"/>
                <w:lang w:val="da-DK"/>
              </w:rPr>
            </w:r>
            <w:r w:rsidR="002B565D">
              <w:rPr>
                <w:rFonts w:cs="Arial"/>
                <w:szCs w:val="20"/>
                <w:lang w:val="da-DK"/>
              </w:rPr>
              <w:fldChar w:fldCharType="separate"/>
            </w:r>
            <w:r w:rsidR="009D1B2D">
              <w:rPr>
                <w:rFonts w:cs="Arial"/>
                <w:szCs w:val="20"/>
                <w:lang w:val="da-DK"/>
              </w:rPr>
              <w:t>[6]</w:t>
            </w:r>
            <w:r w:rsidR="002B565D">
              <w:rPr>
                <w:rFonts w:cs="Arial"/>
                <w:szCs w:val="20"/>
                <w:lang w:val="da-DK"/>
              </w:rPr>
              <w:fldChar w:fldCharType="end"/>
            </w:r>
            <w:r w:rsidR="002B565D" w:rsidDel="002B565D">
              <w:rPr>
                <w:rFonts w:cs="Arial"/>
                <w:szCs w:val="20"/>
                <w:lang w:val="da-DK"/>
              </w:rPr>
              <w:t xml:space="preserve"> </w:t>
            </w:r>
            <w:r w:rsidRPr="00CB2C1F">
              <w:rPr>
                <w:rFonts w:cs="Arial"/>
                <w:lang w:val="fr-FR"/>
              </w:rPr>
              <w:t>(UE)</w:t>
            </w:r>
          </w:p>
          <w:p w:rsidR="001E4CAF" w:rsidRDefault="001E4CAF" w:rsidP="00475CFD">
            <w:pPr>
              <w:jc w:val="left"/>
              <w:rPr>
                <w:rFonts w:cs="Arial"/>
                <w:lang w:val="fr-FR"/>
              </w:rPr>
            </w:pPr>
            <w:r w:rsidRPr="00CB2C1F">
              <w:rPr>
                <w:rFonts w:cs="Arial"/>
                <w:lang w:val="fr-FR"/>
              </w:rPr>
              <w:t xml:space="preserve">ETSI EN 301 908-14 </w:t>
            </w:r>
            <w:r w:rsidR="002B565D">
              <w:rPr>
                <w:rFonts w:cs="Arial"/>
                <w:lang w:val="fr-FR"/>
              </w:rPr>
              <w:fldChar w:fldCharType="begin"/>
            </w:r>
            <w:r w:rsidR="002B565D">
              <w:rPr>
                <w:rFonts w:cs="Arial"/>
                <w:lang w:val="fr-FR"/>
              </w:rPr>
              <w:instrText xml:space="preserve"> REF _Ref508109778 \r \h </w:instrText>
            </w:r>
            <w:r w:rsidR="002B565D">
              <w:rPr>
                <w:rFonts w:cs="Arial"/>
                <w:lang w:val="fr-FR"/>
              </w:rPr>
            </w:r>
            <w:r w:rsidR="002B565D">
              <w:rPr>
                <w:rFonts w:cs="Arial"/>
                <w:lang w:val="fr-FR"/>
              </w:rPr>
              <w:fldChar w:fldCharType="separate"/>
            </w:r>
            <w:r w:rsidR="009D1B2D">
              <w:rPr>
                <w:rFonts w:cs="Arial"/>
                <w:lang w:val="fr-FR"/>
              </w:rPr>
              <w:t>[10]</w:t>
            </w:r>
            <w:r w:rsidR="002B565D">
              <w:rPr>
                <w:rFonts w:cs="Arial"/>
                <w:lang w:val="fr-FR"/>
              </w:rPr>
              <w:fldChar w:fldCharType="end"/>
            </w:r>
            <w:r w:rsidRPr="00CB2C1F">
              <w:rPr>
                <w:rFonts w:cs="Arial"/>
                <w:lang w:val="fr-FR"/>
              </w:rPr>
              <w:t xml:space="preserve"> (BS)</w:t>
            </w:r>
          </w:p>
          <w:p w:rsidR="002A449F" w:rsidRPr="00CB2C1F" w:rsidRDefault="002A449F" w:rsidP="00475CFD">
            <w:pPr>
              <w:jc w:val="left"/>
              <w:rPr>
                <w:rFonts w:cs="Arial"/>
                <w:lang w:val="fr-FR"/>
              </w:rPr>
            </w:pPr>
            <w:r w:rsidRPr="00490738">
              <w:rPr>
                <w:rFonts w:cs="Arial"/>
                <w:lang w:val="fr-FR"/>
              </w:rPr>
              <w:t>ETSI EN 301 908-1</w:t>
            </w:r>
            <w:r w:rsidR="009E37E3" w:rsidRPr="00490738">
              <w:rPr>
                <w:rFonts w:cs="Arial"/>
                <w:lang w:val="fr-FR"/>
              </w:rPr>
              <w:t xml:space="preserve">5 </w:t>
            </w:r>
            <w:r w:rsidR="00E74A63">
              <w:rPr>
                <w:rFonts w:cs="Arial"/>
                <w:lang w:val="fr-FR"/>
              </w:rPr>
              <w:fldChar w:fldCharType="begin"/>
            </w:r>
            <w:r w:rsidR="00E74A63">
              <w:rPr>
                <w:rFonts w:cs="Arial"/>
                <w:lang w:val="fr-FR"/>
              </w:rPr>
              <w:instrText xml:space="preserve"> REF _Ref508110020 \r \h </w:instrText>
            </w:r>
            <w:r w:rsidR="00E74A63">
              <w:rPr>
                <w:rFonts w:cs="Arial"/>
                <w:lang w:val="fr-FR"/>
              </w:rPr>
            </w:r>
            <w:r w:rsidR="00E74A63">
              <w:rPr>
                <w:rFonts w:cs="Arial"/>
                <w:lang w:val="fr-FR"/>
              </w:rPr>
              <w:fldChar w:fldCharType="separate"/>
            </w:r>
            <w:r w:rsidR="009D1B2D">
              <w:rPr>
                <w:rFonts w:cs="Arial"/>
                <w:lang w:val="fr-FR"/>
              </w:rPr>
              <w:t>[12]</w:t>
            </w:r>
            <w:r w:rsidR="00E74A63">
              <w:rPr>
                <w:rFonts w:cs="Arial"/>
                <w:lang w:val="fr-FR"/>
              </w:rPr>
              <w:fldChar w:fldCharType="end"/>
            </w:r>
            <w:r w:rsidR="009E37E3" w:rsidRPr="00490738">
              <w:rPr>
                <w:rFonts w:cs="Arial"/>
                <w:lang w:val="fr-FR"/>
              </w:rPr>
              <w:t xml:space="preserve">  (Repeater)</w:t>
            </w:r>
          </w:p>
          <w:p w:rsidR="001E4CAF" w:rsidRPr="00CB2C1F" w:rsidRDefault="001E4CAF" w:rsidP="00C93A9D">
            <w:pPr>
              <w:jc w:val="left"/>
              <w:rPr>
                <w:rFonts w:cs="Arial"/>
                <w:lang w:val="fr-FR"/>
              </w:rPr>
            </w:pPr>
            <w:r w:rsidRPr="00CB2C1F">
              <w:rPr>
                <w:rFonts w:cs="Arial"/>
                <w:lang w:val="fr-FR"/>
              </w:rPr>
              <w:t xml:space="preserve">ETSI EN 301 908-18 </w:t>
            </w:r>
            <w:r w:rsidR="00C93A9D">
              <w:rPr>
                <w:rFonts w:cs="Arial"/>
                <w:lang w:val="fr-FR"/>
              </w:rPr>
              <w:fldChar w:fldCharType="begin"/>
            </w:r>
            <w:r w:rsidR="00C93A9D">
              <w:rPr>
                <w:rFonts w:cs="Arial"/>
                <w:lang w:val="fr-FR"/>
              </w:rPr>
              <w:instrText xml:space="preserve"> REF _Ref508110624 \r \h </w:instrText>
            </w:r>
            <w:r w:rsidR="00C93A9D">
              <w:rPr>
                <w:rFonts w:cs="Arial"/>
                <w:lang w:val="fr-FR"/>
              </w:rPr>
            </w:r>
            <w:r w:rsidR="00C93A9D">
              <w:rPr>
                <w:rFonts w:cs="Arial"/>
                <w:lang w:val="fr-FR"/>
              </w:rPr>
              <w:fldChar w:fldCharType="separate"/>
            </w:r>
            <w:r w:rsidR="009D1B2D">
              <w:rPr>
                <w:rFonts w:cs="Arial"/>
                <w:lang w:val="fr-FR"/>
              </w:rPr>
              <w:t>[7]</w:t>
            </w:r>
            <w:r w:rsidR="00C93A9D">
              <w:rPr>
                <w:rFonts w:cs="Arial"/>
                <w:lang w:val="fr-FR"/>
              </w:rPr>
              <w:fldChar w:fldCharType="end"/>
            </w:r>
            <w:r w:rsidRPr="00CB2C1F">
              <w:rPr>
                <w:rFonts w:cs="Arial"/>
                <w:lang w:val="fr-FR"/>
              </w:rPr>
              <w:t>(BS)</w:t>
            </w:r>
          </w:p>
        </w:tc>
        <w:tc>
          <w:tcPr>
            <w:tcW w:w="566" w:type="dxa"/>
          </w:tcPr>
          <w:p w:rsidR="001E4CAF" w:rsidRPr="00CB2C1F" w:rsidRDefault="001E4CAF" w:rsidP="00506286">
            <w:pPr>
              <w:jc w:val="center"/>
              <w:rPr>
                <w:rFonts w:cs="Arial"/>
                <w:lang w:val="fr-FR"/>
              </w:rPr>
            </w:pPr>
          </w:p>
        </w:tc>
        <w:tc>
          <w:tcPr>
            <w:tcW w:w="851" w:type="dxa"/>
          </w:tcPr>
          <w:p w:rsidR="001E4CAF" w:rsidRPr="00756DA5" w:rsidRDefault="001E4CAF" w:rsidP="00506286">
            <w:pPr>
              <w:jc w:val="center"/>
              <w:rPr>
                <w:rFonts w:cs="Arial"/>
                <w:b/>
                <w:sz w:val="16"/>
                <w:lang w:val="en-GB"/>
              </w:rPr>
            </w:pPr>
            <w:r w:rsidRPr="00756DA5">
              <w:rPr>
                <w:rFonts w:cs="Arial"/>
                <w:lang w:val="en-GB"/>
              </w:rPr>
              <w:t>X</w:t>
            </w:r>
          </w:p>
        </w:tc>
        <w:tc>
          <w:tcPr>
            <w:tcW w:w="850" w:type="dxa"/>
          </w:tcPr>
          <w:p w:rsidR="001E4CAF" w:rsidRPr="00756DA5" w:rsidRDefault="001E4CAF" w:rsidP="00506286">
            <w:pPr>
              <w:jc w:val="center"/>
              <w:rPr>
                <w:rFonts w:cs="Arial"/>
                <w:lang w:val="en-GB"/>
              </w:rPr>
            </w:pPr>
          </w:p>
        </w:tc>
        <w:tc>
          <w:tcPr>
            <w:tcW w:w="1560" w:type="dxa"/>
          </w:tcPr>
          <w:p w:rsidR="001E4CAF" w:rsidRPr="00756DA5" w:rsidRDefault="001E4CAF" w:rsidP="00506286">
            <w:pPr>
              <w:rPr>
                <w:rFonts w:cs="Arial"/>
                <w:lang w:val="en-GB"/>
              </w:rPr>
            </w:pPr>
            <w:r w:rsidRPr="00756DA5">
              <w:rPr>
                <w:rFonts w:cs="Arial"/>
                <w:lang w:val="en-GB"/>
              </w:rPr>
              <w:t>1080 - 18000</w:t>
            </w:r>
          </w:p>
        </w:tc>
      </w:tr>
      <w:tr w:rsidR="001E4CAF" w:rsidRPr="00756DA5" w:rsidTr="007327D1">
        <w:trPr>
          <w:jc w:val="left"/>
        </w:trPr>
        <w:tc>
          <w:tcPr>
            <w:tcW w:w="1384" w:type="dxa"/>
          </w:tcPr>
          <w:p w:rsidR="001E4CAF" w:rsidRPr="00756DA5" w:rsidRDefault="001E4CAF" w:rsidP="00506286">
            <w:pPr>
              <w:rPr>
                <w:rFonts w:cs="Arial"/>
                <w:lang w:val="en-GB"/>
              </w:rPr>
            </w:pPr>
            <w:r w:rsidRPr="00756DA5">
              <w:rPr>
                <w:rFonts w:cs="Arial"/>
                <w:lang w:val="en-GB"/>
              </w:rPr>
              <w:t>LTE-eMTC</w:t>
            </w:r>
          </w:p>
        </w:tc>
        <w:tc>
          <w:tcPr>
            <w:tcW w:w="3119" w:type="dxa"/>
          </w:tcPr>
          <w:p w:rsidR="001E4CAF" w:rsidRPr="00490738" w:rsidRDefault="001E4CAF" w:rsidP="00506286">
            <w:pPr>
              <w:rPr>
                <w:rFonts w:cs="Arial"/>
                <w:lang w:val="da-DK"/>
              </w:rPr>
            </w:pPr>
            <w:r w:rsidRPr="00490738">
              <w:rPr>
                <w:rFonts w:cs="Arial"/>
                <w:lang w:val="fr-FR"/>
              </w:rPr>
              <w:t xml:space="preserve">ETSI EN 301 908-1 </w:t>
            </w:r>
            <w:r w:rsidR="002B565D">
              <w:rPr>
                <w:rFonts w:cs="Arial"/>
                <w:lang w:val="en-GB"/>
              </w:rPr>
              <w:fldChar w:fldCharType="begin"/>
            </w:r>
            <w:r w:rsidR="002B565D" w:rsidRPr="00796B7C">
              <w:rPr>
                <w:rFonts w:cs="Arial"/>
                <w:lang w:val="da-DK"/>
              </w:rPr>
              <w:instrText xml:space="preserve"> REF _Ref508109767 \r \h </w:instrText>
            </w:r>
            <w:r w:rsidR="002B565D">
              <w:rPr>
                <w:rFonts w:cs="Arial"/>
                <w:lang w:val="en-GB"/>
              </w:rPr>
            </w:r>
            <w:r w:rsidR="002B565D">
              <w:rPr>
                <w:rFonts w:cs="Arial"/>
                <w:lang w:val="en-GB"/>
              </w:rPr>
              <w:fldChar w:fldCharType="separate"/>
            </w:r>
            <w:r w:rsidR="009D1B2D">
              <w:rPr>
                <w:rFonts w:cs="Arial"/>
                <w:lang w:val="da-DK"/>
              </w:rPr>
              <w:t>[11]</w:t>
            </w:r>
            <w:r w:rsidR="002B565D">
              <w:rPr>
                <w:rFonts w:cs="Arial"/>
                <w:lang w:val="en-GB"/>
              </w:rPr>
              <w:fldChar w:fldCharType="end"/>
            </w:r>
          </w:p>
          <w:p w:rsidR="001E4CAF" w:rsidRPr="00490738" w:rsidRDefault="001E4CAF" w:rsidP="00506286">
            <w:pPr>
              <w:rPr>
                <w:rFonts w:cs="Arial"/>
                <w:lang w:val="da-DK"/>
              </w:rPr>
            </w:pPr>
            <w:r w:rsidRPr="00490738">
              <w:rPr>
                <w:rFonts w:cs="Arial"/>
                <w:lang w:val="da-DK"/>
              </w:rPr>
              <w:t xml:space="preserve">ETSI EN 301 908-13 </w:t>
            </w:r>
            <w:r w:rsidR="002B565D">
              <w:rPr>
                <w:rFonts w:cs="Arial"/>
                <w:szCs w:val="20"/>
                <w:lang w:val="da-DK"/>
              </w:rPr>
              <w:fldChar w:fldCharType="begin"/>
            </w:r>
            <w:r w:rsidR="002B565D">
              <w:rPr>
                <w:rFonts w:cs="Arial"/>
                <w:szCs w:val="20"/>
                <w:lang w:val="da-DK"/>
              </w:rPr>
              <w:instrText xml:space="preserve"> REF _Ref508109734 \r \h </w:instrText>
            </w:r>
            <w:r w:rsidR="002B565D">
              <w:rPr>
                <w:rFonts w:cs="Arial"/>
                <w:szCs w:val="20"/>
                <w:lang w:val="da-DK"/>
              </w:rPr>
            </w:r>
            <w:r w:rsidR="002B565D">
              <w:rPr>
                <w:rFonts w:cs="Arial"/>
                <w:szCs w:val="20"/>
                <w:lang w:val="da-DK"/>
              </w:rPr>
              <w:fldChar w:fldCharType="separate"/>
            </w:r>
            <w:r w:rsidR="009D1B2D">
              <w:rPr>
                <w:rFonts w:cs="Arial"/>
                <w:szCs w:val="20"/>
                <w:lang w:val="da-DK"/>
              </w:rPr>
              <w:t>[6]</w:t>
            </w:r>
            <w:r w:rsidR="002B565D">
              <w:rPr>
                <w:rFonts w:cs="Arial"/>
                <w:szCs w:val="20"/>
                <w:lang w:val="da-DK"/>
              </w:rPr>
              <w:fldChar w:fldCharType="end"/>
            </w:r>
            <w:r w:rsidR="002B565D" w:rsidDel="002B565D">
              <w:rPr>
                <w:rFonts w:cs="Arial"/>
                <w:szCs w:val="20"/>
                <w:lang w:val="da-DK"/>
              </w:rPr>
              <w:t xml:space="preserve"> </w:t>
            </w:r>
            <w:r w:rsidRPr="00490738">
              <w:rPr>
                <w:rFonts w:cs="Arial"/>
                <w:lang w:val="da-DK"/>
              </w:rPr>
              <w:t>(UE)</w:t>
            </w:r>
          </w:p>
          <w:p w:rsidR="001E4CAF" w:rsidRPr="00490738" w:rsidRDefault="001E4CAF" w:rsidP="00506286">
            <w:pPr>
              <w:rPr>
                <w:rFonts w:cs="Arial"/>
                <w:lang w:val="da-DK"/>
              </w:rPr>
            </w:pPr>
            <w:r w:rsidRPr="00490738">
              <w:rPr>
                <w:rFonts w:cs="Arial"/>
                <w:lang w:val="da-DK"/>
              </w:rPr>
              <w:t xml:space="preserve">ETSI EN 301 908-14 </w:t>
            </w:r>
            <w:r w:rsidR="002B565D">
              <w:rPr>
                <w:rFonts w:cs="Arial"/>
                <w:lang w:val="da-DK"/>
              </w:rPr>
              <w:fldChar w:fldCharType="begin"/>
            </w:r>
            <w:r w:rsidR="002B565D">
              <w:rPr>
                <w:rFonts w:cs="Arial"/>
                <w:lang w:val="da-DK"/>
              </w:rPr>
              <w:instrText xml:space="preserve"> REF _Ref508109778 \r \h </w:instrText>
            </w:r>
            <w:r w:rsidR="002B565D">
              <w:rPr>
                <w:rFonts w:cs="Arial"/>
                <w:lang w:val="da-DK"/>
              </w:rPr>
            </w:r>
            <w:r w:rsidR="002B565D">
              <w:rPr>
                <w:rFonts w:cs="Arial"/>
                <w:lang w:val="da-DK"/>
              </w:rPr>
              <w:fldChar w:fldCharType="separate"/>
            </w:r>
            <w:r w:rsidR="009D1B2D">
              <w:rPr>
                <w:rFonts w:cs="Arial"/>
                <w:lang w:val="da-DK"/>
              </w:rPr>
              <w:t>[10]</w:t>
            </w:r>
            <w:r w:rsidR="002B565D">
              <w:rPr>
                <w:rFonts w:cs="Arial"/>
                <w:lang w:val="da-DK"/>
              </w:rPr>
              <w:fldChar w:fldCharType="end"/>
            </w:r>
            <w:r w:rsidRPr="00490738">
              <w:rPr>
                <w:rFonts w:cs="Arial"/>
                <w:lang w:val="da-DK"/>
              </w:rPr>
              <w:t xml:space="preserve"> (BS)</w:t>
            </w:r>
          </w:p>
          <w:p w:rsidR="009E37E3" w:rsidRPr="00490738" w:rsidRDefault="009E37E3" w:rsidP="009E37E3">
            <w:pPr>
              <w:rPr>
                <w:rFonts w:cs="Arial"/>
                <w:lang w:val="fr-FR"/>
              </w:rPr>
            </w:pPr>
            <w:r w:rsidRPr="00490738">
              <w:rPr>
                <w:rFonts w:cs="Arial"/>
                <w:lang w:val="fr-FR"/>
              </w:rPr>
              <w:t xml:space="preserve">ETSI EN 301 908-15 </w:t>
            </w:r>
            <w:r w:rsidR="002B565D">
              <w:rPr>
                <w:rFonts w:cs="Arial"/>
                <w:lang w:val="fr-FR"/>
              </w:rPr>
              <w:fldChar w:fldCharType="begin"/>
            </w:r>
            <w:r w:rsidR="002B565D">
              <w:rPr>
                <w:rFonts w:cs="Arial"/>
                <w:lang w:val="fr-FR"/>
              </w:rPr>
              <w:instrText xml:space="preserve"> REF _Ref508110020 \r \h </w:instrText>
            </w:r>
            <w:r w:rsidR="002B565D">
              <w:rPr>
                <w:rFonts w:cs="Arial"/>
                <w:lang w:val="fr-FR"/>
              </w:rPr>
            </w:r>
            <w:r w:rsidR="002B565D">
              <w:rPr>
                <w:rFonts w:cs="Arial"/>
                <w:lang w:val="fr-FR"/>
              </w:rPr>
              <w:fldChar w:fldCharType="separate"/>
            </w:r>
            <w:r w:rsidR="009D1B2D">
              <w:rPr>
                <w:rFonts w:cs="Arial"/>
                <w:lang w:val="fr-FR"/>
              </w:rPr>
              <w:t>[12]</w:t>
            </w:r>
            <w:r w:rsidR="002B565D">
              <w:rPr>
                <w:rFonts w:cs="Arial"/>
                <w:lang w:val="fr-FR"/>
              </w:rPr>
              <w:fldChar w:fldCharType="end"/>
            </w:r>
            <w:r w:rsidRPr="00490738">
              <w:rPr>
                <w:rFonts w:cs="Arial"/>
                <w:lang w:val="fr-FR"/>
              </w:rPr>
              <w:t xml:space="preserve">  (Repeater)</w:t>
            </w:r>
          </w:p>
          <w:p w:rsidR="001E4CAF" w:rsidRPr="00490738" w:rsidRDefault="001E4CAF" w:rsidP="00C93A9D">
            <w:pPr>
              <w:rPr>
                <w:rFonts w:cs="Arial"/>
                <w:lang w:val="fr-FR"/>
              </w:rPr>
            </w:pPr>
            <w:r w:rsidRPr="00490738">
              <w:rPr>
                <w:rFonts w:cs="Arial"/>
                <w:lang w:val="fr-FR"/>
              </w:rPr>
              <w:t xml:space="preserve">ETSI EN 301 908-18 </w:t>
            </w:r>
            <w:r w:rsidR="00C93A9D">
              <w:rPr>
                <w:rFonts w:cs="Arial"/>
                <w:lang w:val="fr-FR"/>
              </w:rPr>
              <w:fldChar w:fldCharType="begin"/>
            </w:r>
            <w:r w:rsidR="00C93A9D">
              <w:rPr>
                <w:rFonts w:cs="Arial"/>
                <w:lang w:val="fr-FR"/>
              </w:rPr>
              <w:instrText xml:space="preserve"> REF _Ref508110624 \r \h </w:instrText>
            </w:r>
            <w:r w:rsidR="00C93A9D">
              <w:rPr>
                <w:rFonts w:cs="Arial"/>
                <w:lang w:val="fr-FR"/>
              </w:rPr>
            </w:r>
            <w:r w:rsidR="00C93A9D">
              <w:rPr>
                <w:rFonts w:cs="Arial"/>
                <w:lang w:val="fr-FR"/>
              </w:rPr>
              <w:fldChar w:fldCharType="separate"/>
            </w:r>
            <w:r w:rsidR="009D1B2D">
              <w:rPr>
                <w:rFonts w:cs="Arial"/>
                <w:lang w:val="fr-FR"/>
              </w:rPr>
              <w:t>[7]</w:t>
            </w:r>
            <w:r w:rsidR="00C93A9D">
              <w:rPr>
                <w:rFonts w:cs="Arial"/>
                <w:lang w:val="fr-FR"/>
              </w:rPr>
              <w:fldChar w:fldCharType="end"/>
            </w:r>
            <w:r w:rsidR="00C93A9D">
              <w:rPr>
                <w:rFonts w:cs="Arial"/>
                <w:lang w:val="fr-FR"/>
              </w:rPr>
              <w:t xml:space="preserve"> </w:t>
            </w:r>
            <w:r w:rsidRPr="00490738">
              <w:rPr>
                <w:rFonts w:cs="Arial"/>
                <w:lang w:val="fr-FR"/>
              </w:rPr>
              <w:t>(BS)</w:t>
            </w:r>
          </w:p>
        </w:tc>
        <w:tc>
          <w:tcPr>
            <w:tcW w:w="566" w:type="dxa"/>
          </w:tcPr>
          <w:p w:rsidR="001E4CAF" w:rsidRPr="00CB2C1F" w:rsidRDefault="001E4CAF" w:rsidP="00506286">
            <w:pPr>
              <w:jc w:val="center"/>
              <w:rPr>
                <w:rFonts w:cs="Arial"/>
                <w:lang w:val="fr-FR"/>
              </w:rPr>
            </w:pPr>
          </w:p>
        </w:tc>
        <w:tc>
          <w:tcPr>
            <w:tcW w:w="851" w:type="dxa"/>
          </w:tcPr>
          <w:p w:rsidR="001E4CAF" w:rsidRPr="00756DA5" w:rsidRDefault="001E4CAF" w:rsidP="00506286">
            <w:pPr>
              <w:jc w:val="center"/>
              <w:rPr>
                <w:rFonts w:cs="Arial"/>
                <w:b/>
                <w:sz w:val="16"/>
                <w:lang w:val="en-GB"/>
              </w:rPr>
            </w:pPr>
            <w:r w:rsidRPr="00756DA5">
              <w:rPr>
                <w:rFonts w:cs="Arial"/>
                <w:lang w:val="en-GB"/>
              </w:rPr>
              <w:t>X</w:t>
            </w:r>
          </w:p>
        </w:tc>
        <w:tc>
          <w:tcPr>
            <w:tcW w:w="850" w:type="dxa"/>
          </w:tcPr>
          <w:p w:rsidR="001E4CAF" w:rsidRPr="00756DA5" w:rsidRDefault="001E4CAF" w:rsidP="00506286">
            <w:pPr>
              <w:jc w:val="center"/>
              <w:rPr>
                <w:rFonts w:cs="Arial"/>
                <w:lang w:val="en-GB"/>
              </w:rPr>
            </w:pPr>
          </w:p>
        </w:tc>
        <w:tc>
          <w:tcPr>
            <w:tcW w:w="1560" w:type="dxa"/>
          </w:tcPr>
          <w:p w:rsidR="001E4CAF" w:rsidRPr="00756DA5" w:rsidRDefault="001E4CAF" w:rsidP="00506286">
            <w:pPr>
              <w:rPr>
                <w:rFonts w:cs="Arial"/>
                <w:lang w:val="en-GB"/>
              </w:rPr>
            </w:pPr>
            <w:r w:rsidRPr="00756DA5">
              <w:rPr>
                <w:rFonts w:cs="Arial"/>
                <w:lang w:val="en-GB"/>
              </w:rPr>
              <w:t>1080</w:t>
            </w:r>
          </w:p>
        </w:tc>
      </w:tr>
      <w:tr w:rsidR="001E4CAF" w:rsidRPr="00756DA5" w:rsidTr="007327D1">
        <w:trPr>
          <w:jc w:val="left"/>
        </w:trPr>
        <w:tc>
          <w:tcPr>
            <w:tcW w:w="1384" w:type="dxa"/>
          </w:tcPr>
          <w:p w:rsidR="001E4CAF" w:rsidRPr="00756DA5" w:rsidRDefault="001E4CAF" w:rsidP="00506286">
            <w:pPr>
              <w:rPr>
                <w:rFonts w:cs="Arial"/>
                <w:lang w:val="en-GB"/>
              </w:rPr>
            </w:pPr>
            <w:r w:rsidRPr="00756DA5">
              <w:rPr>
                <w:rFonts w:cs="Arial"/>
                <w:lang w:val="en-GB"/>
              </w:rPr>
              <w:t>NB-IoT</w:t>
            </w:r>
          </w:p>
        </w:tc>
        <w:tc>
          <w:tcPr>
            <w:tcW w:w="3119" w:type="dxa"/>
          </w:tcPr>
          <w:p w:rsidR="00490738" w:rsidRPr="00D86675" w:rsidRDefault="001E4CAF" w:rsidP="00CB2C1F">
            <w:pPr>
              <w:rPr>
                <w:rFonts w:cs="Arial"/>
                <w:lang w:val="da-DK"/>
              </w:rPr>
            </w:pPr>
            <w:r w:rsidRPr="00490738">
              <w:rPr>
                <w:rFonts w:cs="Arial"/>
                <w:lang w:val="fr-FR"/>
              </w:rPr>
              <w:t xml:space="preserve">ETSI EN 301 908-1 </w:t>
            </w:r>
            <w:r w:rsidR="002B565D">
              <w:rPr>
                <w:rFonts w:cs="Arial"/>
                <w:lang w:val="fr-FR"/>
              </w:rPr>
              <w:fldChar w:fldCharType="begin"/>
            </w:r>
            <w:r w:rsidR="002B565D">
              <w:rPr>
                <w:rFonts w:cs="Arial"/>
                <w:lang w:val="fr-FR"/>
              </w:rPr>
              <w:instrText xml:space="preserve"> REF _Ref508109767 \r \h </w:instrText>
            </w:r>
            <w:r w:rsidR="002B565D">
              <w:rPr>
                <w:rFonts w:cs="Arial"/>
                <w:lang w:val="fr-FR"/>
              </w:rPr>
            </w:r>
            <w:r w:rsidR="002B565D">
              <w:rPr>
                <w:rFonts w:cs="Arial"/>
                <w:lang w:val="fr-FR"/>
              </w:rPr>
              <w:fldChar w:fldCharType="separate"/>
            </w:r>
            <w:r w:rsidR="009D1B2D">
              <w:rPr>
                <w:rFonts w:cs="Arial"/>
                <w:lang w:val="fr-FR"/>
              </w:rPr>
              <w:t>[11]</w:t>
            </w:r>
            <w:r w:rsidR="002B565D">
              <w:rPr>
                <w:rFonts w:cs="Arial"/>
                <w:lang w:val="fr-FR"/>
              </w:rPr>
              <w:fldChar w:fldCharType="end"/>
            </w:r>
            <w:r w:rsidR="002B565D" w:rsidRPr="009C5C1D" w:rsidDel="002B565D">
              <w:rPr>
                <w:rFonts w:cs="Arial"/>
                <w:lang w:val="da-DK"/>
              </w:rPr>
              <w:t xml:space="preserve"> </w:t>
            </w:r>
          </w:p>
          <w:p w:rsidR="001E4CAF" w:rsidRPr="00490738" w:rsidRDefault="001E4CAF" w:rsidP="00CB2C1F">
            <w:pPr>
              <w:rPr>
                <w:rFonts w:cs="Arial"/>
                <w:lang w:val="fr-FR"/>
              </w:rPr>
            </w:pPr>
            <w:r w:rsidRPr="00490738">
              <w:rPr>
                <w:rFonts w:cs="Arial"/>
                <w:lang w:val="fr-FR"/>
              </w:rPr>
              <w:t xml:space="preserve">ETSI EN 301 908-13 </w:t>
            </w:r>
            <w:r w:rsidR="002B565D">
              <w:rPr>
                <w:rFonts w:cs="Arial"/>
                <w:szCs w:val="20"/>
                <w:lang w:val="da-DK"/>
              </w:rPr>
              <w:fldChar w:fldCharType="begin"/>
            </w:r>
            <w:r w:rsidR="002B565D">
              <w:rPr>
                <w:rFonts w:cs="Arial"/>
                <w:szCs w:val="20"/>
                <w:lang w:val="da-DK"/>
              </w:rPr>
              <w:instrText xml:space="preserve"> REF _Ref508109734 \r \h </w:instrText>
            </w:r>
            <w:r w:rsidR="002B565D">
              <w:rPr>
                <w:rFonts w:cs="Arial"/>
                <w:szCs w:val="20"/>
                <w:lang w:val="da-DK"/>
              </w:rPr>
            </w:r>
            <w:r w:rsidR="002B565D">
              <w:rPr>
                <w:rFonts w:cs="Arial"/>
                <w:szCs w:val="20"/>
                <w:lang w:val="da-DK"/>
              </w:rPr>
              <w:fldChar w:fldCharType="separate"/>
            </w:r>
            <w:r w:rsidR="009D1B2D">
              <w:rPr>
                <w:rFonts w:cs="Arial"/>
                <w:szCs w:val="20"/>
                <w:lang w:val="da-DK"/>
              </w:rPr>
              <w:t>[6]</w:t>
            </w:r>
            <w:r w:rsidR="002B565D">
              <w:rPr>
                <w:rFonts w:cs="Arial"/>
                <w:szCs w:val="20"/>
                <w:lang w:val="da-DK"/>
              </w:rPr>
              <w:fldChar w:fldCharType="end"/>
            </w:r>
            <w:r w:rsidR="002B565D" w:rsidDel="002B565D">
              <w:rPr>
                <w:rFonts w:cs="Arial"/>
                <w:szCs w:val="20"/>
                <w:lang w:val="da-DK"/>
              </w:rPr>
              <w:t xml:space="preserve"> </w:t>
            </w:r>
            <w:r w:rsidRPr="00490738">
              <w:rPr>
                <w:rFonts w:cs="Arial"/>
                <w:lang w:val="fr-FR"/>
              </w:rPr>
              <w:t>(UE)</w:t>
            </w:r>
          </w:p>
          <w:p w:rsidR="001E4CAF" w:rsidRPr="00490738" w:rsidRDefault="001E4CAF" w:rsidP="00506286">
            <w:pPr>
              <w:rPr>
                <w:rFonts w:cs="Arial"/>
                <w:lang w:val="fr-FR"/>
              </w:rPr>
            </w:pPr>
            <w:r w:rsidRPr="00490738">
              <w:rPr>
                <w:rFonts w:cs="Arial"/>
                <w:lang w:val="fr-FR"/>
              </w:rPr>
              <w:t xml:space="preserve">ETSI EN 301 908-14 </w:t>
            </w:r>
            <w:r w:rsidR="002B565D">
              <w:rPr>
                <w:rFonts w:cs="Arial"/>
                <w:lang w:val="fr-FR"/>
              </w:rPr>
              <w:fldChar w:fldCharType="begin"/>
            </w:r>
            <w:r w:rsidR="002B565D">
              <w:rPr>
                <w:rFonts w:cs="Arial"/>
                <w:lang w:val="fr-FR"/>
              </w:rPr>
              <w:instrText xml:space="preserve"> REF _Ref508109778 \r \h </w:instrText>
            </w:r>
            <w:r w:rsidR="002B565D">
              <w:rPr>
                <w:rFonts w:cs="Arial"/>
                <w:lang w:val="fr-FR"/>
              </w:rPr>
            </w:r>
            <w:r w:rsidR="002B565D">
              <w:rPr>
                <w:rFonts w:cs="Arial"/>
                <w:lang w:val="fr-FR"/>
              </w:rPr>
              <w:fldChar w:fldCharType="separate"/>
            </w:r>
            <w:r w:rsidR="009D1B2D">
              <w:rPr>
                <w:rFonts w:cs="Arial"/>
                <w:lang w:val="fr-FR"/>
              </w:rPr>
              <w:t>[10]</w:t>
            </w:r>
            <w:r w:rsidR="002B565D">
              <w:rPr>
                <w:rFonts w:cs="Arial"/>
                <w:lang w:val="fr-FR"/>
              </w:rPr>
              <w:fldChar w:fldCharType="end"/>
            </w:r>
            <w:r w:rsidRPr="00490738">
              <w:rPr>
                <w:rFonts w:cs="Arial"/>
                <w:lang w:val="fr-FR"/>
              </w:rPr>
              <w:t xml:space="preserve"> (BS)</w:t>
            </w:r>
          </w:p>
          <w:p w:rsidR="009E37E3" w:rsidRPr="00490738" w:rsidRDefault="009E37E3" w:rsidP="009E37E3">
            <w:pPr>
              <w:rPr>
                <w:rFonts w:cs="Arial"/>
                <w:lang w:val="fr-FR"/>
              </w:rPr>
            </w:pPr>
            <w:r w:rsidRPr="00490738">
              <w:rPr>
                <w:rFonts w:cs="Arial"/>
                <w:lang w:val="fr-FR"/>
              </w:rPr>
              <w:t xml:space="preserve">ETSI EN 301 908-15 </w:t>
            </w:r>
            <w:r w:rsidR="002B565D">
              <w:rPr>
                <w:rFonts w:cs="Arial"/>
                <w:lang w:val="fr-FR"/>
              </w:rPr>
              <w:fldChar w:fldCharType="begin"/>
            </w:r>
            <w:r w:rsidR="002B565D">
              <w:rPr>
                <w:rFonts w:cs="Arial"/>
                <w:lang w:val="fr-FR"/>
              </w:rPr>
              <w:instrText xml:space="preserve"> REF _Ref508110020 \r \h </w:instrText>
            </w:r>
            <w:r w:rsidR="002B565D">
              <w:rPr>
                <w:rFonts w:cs="Arial"/>
                <w:lang w:val="fr-FR"/>
              </w:rPr>
            </w:r>
            <w:r w:rsidR="002B565D">
              <w:rPr>
                <w:rFonts w:cs="Arial"/>
                <w:lang w:val="fr-FR"/>
              </w:rPr>
              <w:fldChar w:fldCharType="separate"/>
            </w:r>
            <w:r w:rsidR="009D1B2D">
              <w:rPr>
                <w:rFonts w:cs="Arial"/>
                <w:lang w:val="fr-FR"/>
              </w:rPr>
              <w:t>[12]</w:t>
            </w:r>
            <w:r w:rsidR="002B565D">
              <w:rPr>
                <w:rFonts w:cs="Arial"/>
                <w:lang w:val="fr-FR"/>
              </w:rPr>
              <w:fldChar w:fldCharType="end"/>
            </w:r>
            <w:r w:rsidRPr="00490738">
              <w:rPr>
                <w:rFonts w:cs="Arial"/>
                <w:lang w:val="fr-FR"/>
              </w:rPr>
              <w:t xml:space="preserve">  (Repeater)</w:t>
            </w:r>
          </w:p>
          <w:p w:rsidR="001E4CAF" w:rsidRPr="00490738" w:rsidRDefault="001E4CAF" w:rsidP="00C93A9D">
            <w:pPr>
              <w:rPr>
                <w:rFonts w:cs="Arial"/>
                <w:lang w:val="fr-FR"/>
              </w:rPr>
            </w:pPr>
            <w:r w:rsidRPr="00490738">
              <w:rPr>
                <w:rFonts w:cs="Arial"/>
                <w:lang w:val="fr-FR"/>
              </w:rPr>
              <w:t xml:space="preserve">ETSI EN 301 908-18 </w:t>
            </w:r>
            <w:r w:rsidR="00C93A9D">
              <w:rPr>
                <w:rFonts w:cs="Arial"/>
                <w:lang w:val="en-GB"/>
              </w:rPr>
              <w:fldChar w:fldCharType="begin"/>
            </w:r>
            <w:r w:rsidR="00C93A9D">
              <w:rPr>
                <w:rFonts w:cs="Arial"/>
                <w:lang w:val="en-GB"/>
              </w:rPr>
              <w:instrText xml:space="preserve"> REF _Ref508110624 \r \h </w:instrText>
            </w:r>
            <w:r w:rsidR="00C93A9D">
              <w:rPr>
                <w:rFonts w:cs="Arial"/>
                <w:lang w:val="en-GB"/>
              </w:rPr>
            </w:r>
            <w:r w:rsidR="00C93A9D">
              <w:rPr>
                <w:rFonts w:cs="Arial"/>
                <w:lang w:val="en-GB"/>
              </w:rPr>
              <w:fldChar w:fldCharType="separate"/>
            </w:r>
            <w:r w:rsidR="009D1B2D">
              <w:rPr>
                <w:rFonts w:cs="Arial"/>
                <w:lang w:val="en-GB"/>
              </w:rPr>
              <w:t>[7]</w:t>
            </w:r>
            <w:r w:rsidR="00C93A9D">
              <w:rPr>
                <w:rFonts w:cs="Arial"/>
                <w:lang w:val="en-GB"/>
              </w:rPr>
              <w:fldChar w:fldCharType="end"/>
            </w:r>
            <w:r w:rsidRPr="00490738">
              <w:rPr>
                <w:rFonts w:cs="Arial"/>
                <w:lang w:val="fr-FR"/>
              </w:rPr>
              <w:t xml:space="preserve"> (BS)</w:t>
            </w:r>
          </w:p>
        </w:tc>
        <w:tc>
          <w:tcPr>
            <w:tcW w:w="566" w:type="dxa"/>
          </w:tcPr>
          <w:p w:rsidR="001E4CAF" w:rsidRPr="00756DA5" w:rsidRDefault="001E4CAF" w:rsidP="00506286">
            <w:pPr>
              <w:jc w:val="center"/>
              <w:rPr>
                <w:rFonts w:cs="Arial"/>
                <w:b/>
                <w:sz w:val="16"/>
                <w:lang w:val="en-GB"/>
              </w:rPr>
            </w:pPr>
            <w:r w:rsidRPr="00756DA5">
              <w:rPr>
                <w:rFonts w:cs="Arial"/>
                <w:lang w:val="en-GB"/>
              </w:rPr>
              <w:t>X</w:t>
            </w:r>
          </w:p>
        </w:tc>
        <w:tc>
          <w:tcPr>
            <w:tcW w:w="851" w:type="dxa"/>
          </w:tcPr>
          <w:p w:rsidR="001E4CAF" w:rsidRPr="00756DA5" w:rsidRDefault="001E4CAF" w:rsidP="00506286">
            <w:pPr>
              <w:jc w:val="center"/>
              <w:rPr>
                <w:rFonts w:cs="Arial"/>
                <w:b/>
                <w:sz w:val="16"/>
                <w:lang w:val="en-GB"/>
              </w:rPr>
            </w:pPr>
            <w:r w:rsidRPr="00756DA5">
              <w:rPr>
                <w:rFonts w:cs="Arial"/>
                <w:lang w:val="en-GB"/>
              </w:rPr>
              <w:t>X</w:t>
            </w:r>
          </w:p>
        </w:tc>
        <w:tc>
          <w:tcPr>
            <w:tcW w:w="850" w:type="dxa"/>
          </w:tcPr>
          <w:p w:rsidR="001E4CAF" w:rsidRPr="00756DA5" w:rsidRDefault="001E4CAF" w:rsidP="00506286">
            <w:pPr>
              <w:jc w:val="center"/>
              <w:rPr>
                <w:rFonts w:cs="Arial"/>
                <w:b/>
                <w:sz w:val="16"/>
                <w:lang w:val="en-GB"/>
              </w:rPr>
            </w:pPr>
            <w:r w:rsidRPr="00756DA5">
              <w:rPr>
                <w:rFonts w:cs="Arial"/>
                <w:lang w:val="en-GB"/>
              </w:rPr>
              <w:t>X</w:t>
            </w:r>
          </w:p>
        </w:tc>
        <w:tc>
          <w:tcPr>
            <w:tcW w:w="1560" w:type="dxa"/>
          </w:tcPr>
          <w:p w:rsidR="001E4CAF" w:rsidRPr="00756DA5" w:rsidRDefault="001E4CAF" w:rsidP="00506286">
            <w:pPr>
              <w:rPr>
                <w:rFonts w:cs="Arial"/>
                <w:lang w:val="en-GB"/>
              </w:rPr>
            </w:pPr>
            <w:r w:rsidRPr="00756DA5">
              <w:rPr>
                <w:rFonts w:cs="Arial"/>
                <w:lang w:val="en-GB"/>
              </w:rPr>
              <w:t>15/3.75 - 180</w:t>
            </w:r>
          </w:p>
        </w:tc>
      </w:tr>
    </w:tbl>
    <w:p w:rsidR="007F5EF6" w:rsidRPr="00756DA5" w:rsidRDefault="007F5EF6" w:rsidP="007F5EF6">
      <w:pPr>
        <w:pStyle w:val="ECCParagraph"/>
        <w:rPr>
          <w:rFonts w:cs="Arial"/>
        </w:rPr>
      </w:pPr>
    </w:p>
    <w:p w:rsidR="00307EF7" w:rsidRPr="00756DA5" w:rsidRDefault="00307EF7" w:rsidP="00307EF7">
      <w:pPr>
        <w:pStyle w:val="ECCParagraph"/>
        <w:rPr>
          <w:rFonts w:cs="Arial"/>
        </w:rPr>
      </w:pPr>
    </w:p>
    <w:p w:rsidR="00ED6A39" w:rsidRPr="00756DA5" w:rsidRDefault="00ED6A39" w:rsidP="00AB46DF">
      <w:pPr>
        <w:pStyle w:val="Heading1"/>
      </w:pPr>
      <w:bookmarkStart w:id="25" w:name="_Toc508112843"/>
      <w:r w:rsidRPr="00756DA5">
        <w:lastRenderedPageBreak/>
        <w:t>Regulatory framework</w:t>
      </w:r>
      <w:bookmarkEnd w:id="25"/>
    </w:p>
    <w:p w:rsidR="00896FD5" w:rsidRDefault="009A37F5" w:rsidP="00896FD5">
      <w:pPr>
        <w:pStyle w:val="ECCParagraph"/>
      </w:pPr>
      <w:r w:rsidRPr="00756DA5">
        <w:t>The current regulatory framework has been developed on a technology basis</w:t>
      </w:r>
      <w:r w:rsidR="00D72261" w:rsidRPr="00756DA5">
        <w:t>, by explicitly considering all allowed technologies and</w:t>
      </w:r>
      <w:r w:rsidRPr="00756DA5">
        <w:t xml:space="preserve"> tak</w:t>
      </w:r>
      <w:r w:rsidR="00D72261" w:rsidRPr="00756DA5">
        <w:t>ing</w:t>
      </w:r>
      <w:r w:rsidRPr="00756DA5">
        <w:t xml:space="preserve"> into account the various adjacent band issues (references CEPT reports 900/1800 MHz: CEPT reports 19, 39, 40, 41, 42). Various technologies are currently reference</w:t>
      </w:r>
      <w:r w:rsidR="00D72261" w:rsidRPr="00756DA5">
        <w:t>d</w:t>
      </w:r>
      <w:r w:rsidRPr="00756DA5">
        <w:t xml:space="preserve"> in the EC framework (GSM, UMTS, LTE, WiMAX):  D</w:t>
      </w:r>
      <w:r w:rsidR="001E5663">
        <w:t>irective</w:t>
      </w:r>
      <w:r w:rsidRPr="00756DA5">
        <w:t xml:space="preserve"> 2009/114/EC</w:t>
      </w:r>
      <w:r w:rsidR="00787171">
        <w:t xml:space="preserve"> </w:t>
      </w:r>
      <w:r w:rsidR="00787171">
        <w:fldChar w:fldCharType="begin"/>
      </w:r>
      <w:r w:rsidR="00787171">
        <w:instrText xml:space="preserve"> REF _Ref508109429 \r \h </w:instrText>
      </w:r>
      <w:r w:rsidR="00787171">
        <w:fldChar w:fldCharType="separate"/>
      </w:r>
      <w:r w:rsidR="009D1B2D">
        <w:t>[2]</w:t>
      </w:r>
      <w:r w:rsidR="00787171">
        <w:fldChar w:fldCharType="end"/>
      </w:r>
      <w:r w:rsidRPr="00756DA5">
        <w:t>, Decision 2011/251/EU</w:t>
      </w:r>
      <w:r w:rsidR="00787171">
        <w:t xml:space="preserve"> </w:t>
      </w:r>
      <w:r w:rsidR="00787171">
        <w:fldChar w:fldCharType="begin"/>
      </w:r>
      <w:r w:rsidR="00787171">
        <w:instrText xml:space="preserve"> REF _Ref508109621 \r \h </w:instrText>
      </w:r>
      <w:r w:rsidR="00787171">
        <w:fldChar w:fldCharType="separate"/>
      </w:r>
      <w:r w:rsidR="009D1B2D">
        <w:t>[5]</w:t>
      </w:r>
      <w:r w:rsidR="00787171">
        <w:fldChar w:fldCharType="end"/>
      </w:r>
      <w:r w:rsidR="007F623A" w:rsidRPr="00756DA5">
        <w:t>.</w:t>
      </w:r>
      <w:r w:rsidR="00896FD5" w:rsidRPr="00896FD5">
        <w:t xml:space="preserve"> </w:t>
      </w:r>
    </w:p>
    <w:p w:rsidR="009A37F5" w:rsidRPr="00756DA5" w:rsidRDefault="00896FD5" w:rsidP="00896FD5">
      <w:pPr>
        <w:pStyle w:val="ECCParagraph"/>
      </w:pPr>
      <w:r w:rsidRPr="00756DA5">
        <w:t>This ensures the implementation of the technology neutrality principle in these two bands.</w:t>
      </w:r>
    </w:p>
    <w:p w:rsidR="00AB46DF" w:rsidRPr="00756DA5" w:rsidRDefault="00DA360A" w:rsidP="00AB46DF">
      <w:pPr>
        <w:pStyle w:val="Heading1"/>
      </w:pPr>
      <w:bookmarkStart w:id="26" w:name="_Toc508112844"/>
      <w:r w:rsidRPr="00756DA5">
        <w:lastRenderedPageBreak/>
        <w:t>suitability of Existing technical conditions for I</w:t>
      </w:r>
      <w:r w:rsidRPr="00756DA5">
        <w:rPr>
          <w:caps w:val="0"/>
        </w:rPr>
        <w:t>o</w:t>
      </w:r>
      <w:r w:rsidRPr="00756DA5">
        <w:t>T applications</w:t>
      </w:r>
      <w:bookmarkEnd w:id="26"/>
    </w:p>
    <w:p w:rsidR="00961ECA" w:rsidRPr="00756DA5" w:rsidRDefault="00961ECA" w:rsidP="00961ECA">
      <w:pPr>
        <w:pStyle w:val="Heading2"/>
        <w:numPr>
          <w:ilvl w:val="1"/>
          <w:numId w:val="1"/>
        </w:numPr>
        <w:rPr>
          <w:lang w:val="en-GB"/>
        </w:rPr>
      </w:pPr>
      <w:bookmarkStart w:id="27" w:name="_Toc508112845"/>
      <w:r w:rsidRPr="00756DA5">
        <w:rPr>
          <w:lang w:val="en-GB"/>
        </w:rPr>
        <w:t>EC-GSM-IOT</w:t>
      </w:r>
      <w:bookmarkEnd w:id="27"/>
      <w:r w:rsidRPr="00756DA5">
        <w:rPr>
          <w:lang w:val="en-GB"/>
        </w:rPr>
        <w:t xml:space="preserve"> </w:t>
      </w:r>
    </w:p>
    <w:p w:rsidR="0034362A" w:rsidRPr="00896FD5" w:rsidRDefault="00357262" w:rsidP="00896FD5">
      <w:pPr>
        <w:pStyle w:val="ECCParagraph"/>
      </w:pPr>
      <w:r w:rsidRPr="00896FD5">
        <w:t>An EC-GSM-IoT system is deployed in a</w:t>
      </w:r>
      <w:r w:rsidR="00324AED" w:rsidRPr="00896FD5">
        <w:t>n</w:t>
      </w:r>
      <w:r w:rsidRPr="00896FD5">
        <w:t xml:space="preserve"> in-band mode</w:t>
      </w:r>
      <w:r w:rsidR="00911E6B" w:rsidRPr="00896FD5">
        <w:t xml:space="preserve"> in the 900 and 1800 MHz bands.</w:t>
      </w:r>
      <w:r w:rsidRPr="00896FD5">
        <w:t xml:space="preserve"> EC-GSM-IoT uses the same frequency planning as GSM, e.g</w:t>
      </w:r>
      <w:r w:rsidR="00324AED" w:rsidRPr="00896FD5">
        <w:t>.</w:t>
      </w:r>
      <w:r w:rsidRPr="00896FD5">
        <w:t xml:space="preserve"> either with fixed frequency r</w:t>
      </w:r>
      <w:r w:rsidR="001730C2" w:rsidRPr="00896FD5">
        <w:t>euse or with frequency hopping</w:t>
      </w:r>
      <w:r w:rsidRPr="00896FD5">
        <w:t>.</w:t>
      </w:r>
      <w:r w:rsidR="00612394" w:rsidRPr="00896FD5">
        <w:t xml:space="preserve"> </w:t>
      </w:r>
      <w:r w:rsidR="0034362A" w:rsidRPr="00896FD5">
        <w:t>EC</w:t>
      </w:r>
      <w:r w:rsidR="00B356A1">
        <w:t>-</w:t>
      </w:r>
      <w:r w:rsidR="0034362A" w:rsidRPr="00896FD5">
        <w:t>GSM-IoT is covered by the ETSI EN 301 502 (BS)</w:t>
      </w:r>
      <w:r w:rsidR="002B565D">
        <w:t xml:space="preserve"> </w:t>
      </w:r>
      <w:r w:rsidR="002B565D">
        <w:fldChar w:fldCharType="begin"/>
      </w:r>
      <w:r w:rsidR="002B565D">
        <w:instrText xml:space="preserve"> REF _Ref508110523 \r \h </w:instrText>
      </w:r>
      <w:r w:rsidR="002B565D">
        <w:fldChar w:fldCharType="separate"/>
      </w:r>
      <w:r w:rsidR="009D1B2D">
        <w:t>[8]</w:t>
      </w:r>
      <w:r w:rsidR="002B565D">
        <w:fldChar w:fldCharType="end"/>
      </w:r>
      <w:r w:rsidR="001A3BDC" w:rsidRPr="00896FD5">
        <w:t xml:space="preserve">, </w:t>
      </w:r>
      <w:r w:rsidR="0034362A" w:rsidRPr="00896FD5">
        <w:t>ETSI EN 301 511 (UE)</w:t>
      </w:r>
      <w:r w:rsidR="001A3BDC" w:rsidRPr="00896FD5">
        <w:t xml:space="preserve"> </w:t>
      </w:r>
      <w:r w:rsidR="002B565D">
        <w:fldChar w:fldCharType="begin"/>
      </w:r>
      <w:r w:rsidR="002B565D">
        <w:instrText xml:space="preserve"> REF _Ref508110588 \r \h </w:instrText>
      </w:r>
      <w:r w:rsidR="002B565D">
        <w:fldChar w:fldCharType="separate"/>
      </w:r>
      <w:r w:rsidR="009D1B2D">
        <w:t>[9]</w:t>
      </w:r>
      <w:r w:rsidR="002B565D">
        <w:fldChar w:fldCharType="end"/>
      </w:r>
      <w:r w:rsidR="002B565D">
        <w:t xml:space="preserve"> </w:t>
      </w:r>
      <w:r w:rsidR="001A3BDC" w:rsidRPr="00896FD5">
        <w:t>and ETSI EN 301 908</w:t>
      </w:r>
      <w:r w:rsidR="00490738" w:rsidRPr="00896FD5">
        <w:t>-</w:t>
      </w:r>
      <w:r w:rsidR="001A3BDC" w:rsidRPr="00896FD5">
        <w:t>18 (BS)</w:t>
      </w:r>
      <w:r w:rsidR="002B565D">
        <w:t xml:space="preserve"> </w:t>
      </w:r>
      <w:r w:rsidR="002B565D">
        <w:fldChar w:fldCharType="begin"/>
      </w:r>
      <w:r w:rsidR="002B565D">
        <w:instrText xml:space="preserve"> REF _Ref508110624 \r \h </w:instrText>
      </w:r>
      <w:r w:rsidR="002B565D">
        <w:fldChar w:fldCharType="separate"/>
      </w:r>
      <w:r w:rsidR="009D1B2D">
        <w:t>[7]</w:t>
      </w:r>
      <w:r w:rsidR="002B565D">
        <w:fldChar w:fldCharType="end"/>
      </w:r>
      <w:r w:rsidR="003E4F50" w:rsidRPr="00896FD5">
        <w:t>. In consequence there is no need to update the regulatory framework to introduce EC-GSM-IoT.</w:t>
      </w:r>
    </w:p>
    <w:p w:rsidR="006210E3" w:rsidRPr="00756DA5" w:rsidRDefault="006210E3" w:rsidP="006210E3">
      <w:pPr>
        <w:pStyle w:val="Heading2"/>
        <w:numPr>
          <w:ilvl w:val="1"/>
          <w:numId w:val="1"/>
        </w:numPr>
        <w:rPr>
          <w:lang w:val="en-GB"/>
        </w:rPr>
      </w:pPr>
      <w:bookmarkStart w:id="28" w:name="_Toc508112846"/>
      <w:r w:rsidRPr="00756DA5">
        <w:rPr>
          <w:lang w:val="en-GB"/>
        </w:rPr>
        <w:t>LTE MTC and LTE EMTC</w:t>
      </w:r>
      <w:bookmarkEnd w:id="28"/>
    </w:p>
    <w:p w:rsidR="00911E6B" w:rsidRPr="00475CFD" w:rsidRDefault="001730C2" w:rsidP="00896FD5">
      <w:pPr>
        <w:pStyle w:val="ECCParagraph"/>
      </w:pPr>
      <w:r w:rsidRPr="00896FD5">
        <w:t>LTE-MTC/eMTC systems operate in “in</w:t>
      </w:r>
      <w:r w:rsidR="00DC7EE2">
        <w:t>-</w:t>
      </w:r>
      <w:r w:rsidRPr="00896FD5">
        <w:t>band mode” only following the technical conditions applicable to LTE;</w:t>
      </w:r>
      <w:r w:rsidR="007735CA" w:rsidRPr="000B3DAE">
        <w:t xml:space="preserve"> LTE-MTC </w:t>
      </w:r>
      <w:r w:rsidR="003E4F50" w:rsidRPr="005E7772">
        <w:t>and</w:t>
      </w:r>
      <w:r w:rsidR="007735CA" w:rsidRPr="005E7772">
        <w:t xml:space="preserve"> LTE-</w:t>
      </w:r>
      <w:r w:rsidR="00F648F4" w:rsidRPr="005E7772">
        <w:t>e</w:t>
      </w:r>
      <w:r w:rsidR="00F648F4" w:rsidRPr="00DC7EE2">
        <w:t xml:space="preserve">MTC </w:t>
      </w:r>
      <w:r w:rsidR="003E4F50" w:rsidRPr="00DC7EE2">
        <w:t>are covered by</w:t>
      </w:r>
      <w:r w:rsidR="007735CA" w:rsidRPr="00DC7EE2">
        <w:t xml:space="preserve"> EN </w:t>
      </w:r>
      <w:r w:rsidR="00AD4322" w:rsidRPr="00DC7EE2">
        <w:t>301 908</w:t>
      </w:r>
      <w:r w:rsidR="007735CA" w:rsidRPr="00DC7EE2">
        <w:t>-1</w:t>
      </w:r>
      <w:r w:rsidR="002B565D">
        <w:t xml:space="preserve"> </w:t>
      </w:r>
      <w:r w:rsidR="002B565D">
        <w:fldChar w:fldCharType="begin"/>
      </w:r>
      <w:r w:rsidR="002B565D">
        <w:instrText xml:space="preserve"> REF _Ref508109767 \r \h </w:instrText>
      </w:r>
      <w:r w:rsidR="002B565D">
        <w:fldChar w:fldCharType="separate"/>
      </w:r>
      <w:r w:rsidR="009D1B2D">
        <w:t>[11]</w:t>
      </w:r>
      <w:r w:rsidR="002B565D">
        <w:fldChar w:fldCharType="end"/>
      </w:r>
      <w:r w:rsidR="007735CA" w:rsidRPr="00DC7EE2">
        <w:t>, EN 301</w:t>
      </w:r>
      <w:r w:rsidR="002B565D">
        <w:t xml:space="preserve"> </w:t>
      </w:r>
      <w:r w:rsidR="007735CA" w:rsidRPr="00DC7EE2">
        <w:t>908-13</w:t>
      </w:r>
      <w:r w:rsidR="002B565D">
        <w:t xml:space="preserve"> </w:t>
      </w:r>
      <w:r w:rsidR="002B565D">
        <w:fldChar w:fldCharType="begin"/>
      </w:r>
      <w:r w:rsidR="002B565D">
        <w:instrText xml:space="preserve"> REF _Ref508109734 \r \h </w:instrText>
      </w:r>
      <w:r w:rsidR="002B565D">
        <w:fldChar w:fldCharType="separate"/>
      </w:r>
      <w:r w:rsidR="009D1B2D">
        <w:t>[6]</w:t>
      </w:r>
      <w:r w:rsidR="002B565D">
        <w:fldChar w:fldCharType="end"/>
      </w:r>
      <w:r w:rsidR="007735CA" w:rsidRPr="00DC7EE2">
        <w:t xml:space="preserve">, EN </w:t>
      </w:r>
      <w:r w:rsidR="00AD4322" w:rsidRPr="00DC7EE2">
        <w:t>301 908</w:t>
      </w:r>
      <w:r w:rsidR="007735CA" w:rsidRPr="00DC7EE2">
        <w:t>-14</w:t>
      </w:r>
      <w:r w:rsidR="002B565D">
        <w:t xml:space="preserve"> </w:t>
      </w:r>
      <w:r w:rsidR="002B565D">
        <w:fldChar w:fldCharType="begin"/>
      </w:r>
      <w:r w:rsidR="002B565D">
        <w:instrText xml:space="preserve"> REF _Ref508109778 \r \h </w:instrText>
      </w:r>
      <w:r w:rsidR="002B565D">
        <w:fldChar w:fldCharType="separate"/>
      </w:r>
      <w:r w:rsidR="009D1B2D">
        <w:t>[10]</w:t>
      </w:r>
      <w:r w:rsidR="002B565D">
        <w:fldChar w:fldCharType="end"/>
      </w:r>
      <w:r w:rsidR="004548ED" w:rsidRPr="00DC7EE2">
        <w:t xml:space="preserve">, </w:t>
      </w:r>
      <w:r w:rsidR="00F648F4" w:rsidRPr="00DC7EE2">
        <w:t>EN</w:t>
      </w:r>
      <w:r w:rsidR="002B565D">
        <w:t xml:space="preserve"> </w:t>
      </w:r>
      <w:r w:rsidR="00F648F4" w:rsidRPr="00DC7EE2">
        <w:t>301</w:t>
      </w:r>
      <w:r w:rsidR="002B565D">
        <w:t xml:space="preserve"> </w:t>
      </w:r>
      <w:r w:rsidR="004548ED" w:rsidRPr="00DC7EE2">
        <w:t>908</w:t>
      </w:r>
      <w:r w:rsidR="000A6A95" w:rsidRPr="00DC7EE2">
        <w:t>-</w:t>
      </w:r>
      <w:r w:rsidR="004548ED" w:rsidRPr="00F05652">
        <w:t>15</w:t>
      </w:r>
      <w:r w:rsidR="002B565D">
        <w:t xml:space="preserve"> </w:t>
      </w:r>
      <w:r w:rsidR="002B565D">
        <w:rPr>
          <w:rFonts w:cs="Arial"/>
          <w:lang w:val="fr-FR"/>
        </w:rPr>
        <w:fldChar w:fldCharType="begin"/>
      </w:r>
      <w:r w:rsidR="002B565D">
        <w:rPr>
          <w:rFonts w:cs="Arial"/>
          <w:lang w:val="fr-FR"/>
        </w:rPr>
        <w:instrText xml:space="preserve"> REF _Ref508110020 \r \h </w:instrText>
      </w:r>
      <w:r w:rsidR="002B565D">
        <w:rPr>
          <w:rFonts w:cs="Arial"/>
          <w:lang w:val="fr-FR"/>
        </w:rPr>
      </w:r>
      <w:r w:rsidR="002B565D">
        <w:rPr>
          <w:rFonts w:cs="Arial"/>
          <w:lang w:val="fr-FR"/>
        </w:rPr>
        <w:fldChar w:fldCharType="separate"/>
      </w:r>
      <w:r w:rsidR="009D1B2D">
        <w:rPr>
          <w:rFonts w:cs="Arial"/>
          <w:lang w:val="fr-FR"/>
        </w:rPr>
        <w:t>[12]</w:t>
      </w:r>
      <w:r w:rsidR="002B565D">
        <w:rPr>
          <w:rFonts w:cs="Arial"/>
          <w:lang w:val="fr-FR"/>
        </w:rPr>
        <w:fldChar w:fldCharType="end"/>
      </w:r>
      <w:r w:rsidR="003E4F50" w:rsidRPr="00F05652">
        <w:t xml:space="preserve"> and</w:t>
      </w:r>
      <w:r w:rsidR="007735CA" w:rsidRPr="00B84810">
        <w:t xml:space="preserve"> EN </w:t>
      </w:r>
      <w:r w:rsidR="00AD4322" w:rsidRPr="00B84810">
        <w:t>301 908</w:t>
      </w:r>
      <w:r w:rsidR="007735CA" w:rsidRPr="00B84810">
        <w:t>-18</w:t>
      </w:r>
      <w:r w:rsidR="002B565D">
        <w:t xml:space="preserve"> </w:t>
      </w:r>
      <w:r w:rsidR="00B356A1">
        <w:fldChar w:fldCharType="begin"/>
      </w:r>
      <w:r w:rsidR="00B356A1">
        <w:instrText xml:space="preserve"> REF _Ref508110624 \r \h </w:instrText>
      </w:r>
      <w:r w:rsidR="00B356A1">
        <w:fldChar w:fldCharType="separate"/>
      </w:r>
      <w:r w:rsidR="00B356A1">
        <w:t>[7]</w:t>
      </w:r>
      <w:r w:rsidR="00B356A1">
        <w:fldChar w:fldCharType="end"/>
      </w:r>
      <w:r w:rsidR="007735CA" w:rsidRPr="00B84810">
        <w:t>.</w:t>
      </w:r>
      <w:r w:rsidR="003E4F50" w:rsidRPr="00B84810">
        <w:t xml:space="preserve"> </w:t>
      </w:r>
      <w:r w:rsidR="00AD4322" w:rsidRPr="00B84810">
        <w:t>I</w:t>
      </w:r>
      <w:r w:rsidR="003E4F50" w:rsidRPr="00475CFD">
        <w:t>n consequence</w:t>
      </w:r>
      <w:r w:rsidR="00AD4322" w:rsidRPr="00475CFD">
        <w:t>,</w:t>
      </w:r>
      <w:r w:rsidR="003E4F50" w:rsidRPr="00475CFD">
        <w:t xml:space="preserve"> </w:t>
      </w:r>
      <w:r w:rsidR="00356B45" w:rsidRPr="00475CFD">
        <w:t>the same parameters as for LTE are applicable for</w:t>
      </w:r>
      <w:r w:rsidR="003E4F50" w:rsidRPr="00475CFD">
        <w:t xml:space="preserve"> LTE MTC and LTE </w:t>
      </w:r>
      <w:r w:rsidR="00612394" w:rsidRPr="00475CFD">
        <w:t>e</w:t>
      </w:r>
      <w:r w:rsidR="003E4F50" w:rsidRPr="00475CFD">
        <w:t>MTC.</w:t>
      </w:r>
    </w:p>
    <w:p w:rsidR="006210E3" w:rsidRPr="00490738" w:rsidRDefault="006210E3" w:rsidP="006210E3">
      <w:pPr>
        <w:pStyle w:val="Heading2"/>
        <w:numPr>
          <w:ilvl w:val="1"/>
          <w:numId w:val="1"/>
        </w:numPr>
        <w:rPr>
          <w:lang w:val="en-GB"/>
        </w:rPr>
      </w:pPr>
      <w:bookmarkStart w:id="29" w:name="_Toc508112847"/>
      <w:r w:rsidRPr="00490738">
        <w:rPr>
          <w:lang w:val="en-GB"/>
        </w:rPr>
        <w:t>NB-IOT</w:t>
      </w:r>
      <w:bookmarkEnd w:id="29"/>
    </w:p>
    <w:p w:rsidR="007926FF" w:rsidRPr="00756DA5" w:rsidRDefault="007926FF" w:rsidP="00896FD5">
      <w:pPr>
        <w:pStyle w:val="ECCParagraph"/>
      </w:pPr>
      <w:r w:rsidRPr="00490738">
        <w:t xml:space="preserve">NB-IoT </w:t>
      </w:r>
      <w:r w:rsidR="001A3BDC" w:rsidRPr="00490738">
        <w:t>is</w:t>
      </w:r>
      <w:r w:rsidRPr="00490738">
        <w:t xml:space="preserve"> covered by the LTE Harmonised Standard (</w:t>
      </w:r>
      <w:r w:rsidR="001A3BDC" w:rsidRPr="00490738">
        <w:t xml:space="preserve">EN </w:t>
      </w:r>
      <w:r w:rsidR="00AD4322" w:rsidRPr="00490738">
        <w:t>301 908</w:t>
      </w:r>
      <w:r w:rsidR="001A3BDC" w:rsidRPr="00490738">
        <w:t xml:space="preserve">-1, </w:t>
      </w:r>
      <w:r w:rsidRPr="00490738">
        <w:t xml:space="preserve">EN </w:t>
      </w:r>
      <w:r w:rsidR="00AD4322" w:rsidRPr="00490738">
        <w:t>301 908</w:t>
      </w:r>
      <w:r w:rsidRPr="00490738">
        <w:t>-13</w:t>
      </w:r>
      <w:r w:rsidR="001A3BDC" w:rsidRPr="00490738">
        <w:t>, EN</w:t>
      </w:r>
      <w:r w:rsidR="00AD4322" w:rsidRPr="00490738">
        <w:t>301 908</w:t>
      </w:r>
      <w:r w:rsidR="001A3BDC" w:rsidRPr="00490738">
        <w:t>-14</w:t>
      </w:r>
      <w:r w:rsidR="004548ED" w:rsidRPr="00490738">
        <w:t xml:space="preserve">, </w:t>
      </w:r>
      <w:r w:rsidR="00F648F4" w:rsidRPr="00490738">
        <w:t>EN</w:t>
      </w:r>
      <w:r w:rsidR="00F648F4">
        <w:t> </w:t>
      </w:r>
      <w:r w:rsidR="00F648F4" w:rsidRPr="00490738">
        <w:t>301</w:t>
      </w:r>
      <w:r w:rsidR="00F648F4">
        <w:t> </w:t>
      </w:r>
      <w:r w:rsidR="004548ED" w:rsidRPr="00490738">
        <w:t>908-15</w:t>
      </w:r>
      <w:r w:rsidRPr="00490738">
        <w:t xml:space="preserve"> and EN </w:t>
      </w:r>
      <w:r w:rsidR="00AD4322" w:rsidRPr="00490738">
        <w:t>301 908</w:t>
      </w:r>
      <w:r w:rsidRPr="00490738">
        <w:t>-</w:t>
      </w:r>
      <w:r w:rsidR="001A3BDC" w:rsidRPr="00490738">
        <w:t>18</w:t>
      </w:r>
      <w:r w:rsidRPr="00490738">
        <w:t>).</w:t>
      </w:r>
      <w:r w:rsidRPr="00756DA5">
        <w:t xml:space="preserve"> </w:t>
      </w:r>
    </w:p>
    <w:p w:rsidR="00506286" w:rsidRPr="00756DA5" w:rsidRDefault="00506286" w:rsidP="006210E3">
      <w:pPr>
        <w:pStyle w:val="Heading3"/>
        <w:rPr>
          <w:lang w:val="en-GB"/>
        </w:rPr>
      </w:pPr>
      <w:bookmarkStart w:id="30" w:name="_Toc508112848"/>
      <w:r w:rsidRPr="00756DA5">
        <w:rPr>
          <w:lang w:val="en-GB"/>
        </w:rPr>
        <w:t>NB-IOT in-band</w:t>
      </w:r>
      <w:bookmarkEnd w:id="30"/>
    </w:p>
    <w:p w:rsidR="00506286" w:rsidRPr="00756DA5" w:rsidRDefault="00506286" w:rsidP="00896FD5">
      <w:pPr>
        <w:pStyle w:val="ECCParagraph"/>
        <w:rPr>
          <w:rStyle w:val="Emphasis"/>
          <w:rFonts w:cs="Arial"/>
          <w:i w:val="0"/>
        </w:rPr>
      </w:pPr>
      <w:r w:rsidRPr="00756DA5">
        <w:rPr>
          <w:rStyle w:val="Emphasis"/>
          <w:rFonts w:cs="Arial"/>
          <w:i w:val="0"/>
        </w:rPr>
        <w:t xml:space="preserve">NB-IoT in-band is covered by the LTE </w:t>
      </w:r>
      <w:r w:rsidR="001A3BDC" w:rsidRPr="00756DA5">
        <w:rPr>
          <w:rStyle w:val="Emphasis"/>
          <w:rFonts w:cs="Arial"/>
          <w:i w:val="0"/>
        </w:rPr>
        <w:t>Harmonised Standard</w:t>
      </w:r>
      <w:r w:rsidRPr="00756DA5">
        <w:rPr>
          <w:rStyle w:val="Emphasis"/>
          <w:rFonts w:cs="Arial"/>
          <w:i w:val="0"/>
        </w:rPr>
        <w:t xml:space="preserve">. Embedding an NB-IoT in an LTE carrier does not change the power or the Spectrum Emission Mask (SEM), either on the BS or the UE side. </w:t>
      </w:r>
    </w:p>
    <w:p w:rsidR="00180F3A" w:rsidRPr="00756DA5" w:rsidRDefault="00180F3A" w:rsidP="00896FD5">
      <w:pPr>
        <w:pStyle w:val="ECCParagraph"/>
      </w:pPr>
      <w:r w:rsidRPr="00756DA5">
        <w:t xml:space="preserve">In consequence, NB-IoT in-band does not raise any specific regulatory or technical (coexistence) issues with </w:t>
      </w:r>
      <w:r w:rsidR="00612394">
        <w:t xml:space="preserve">WBB ECS </w:t>
      </w:r>
      <w:r w:rsidRPr="00756DA5">
        <w:t>systems listed in the regulatory framework and can be deployed as LTE in 900 MHz and 1800 MHz bands.</w:t>
      </w:r>
    </w:p>
    <w:p w:rsidR="00B66BDF" w:rsidRPr="00756DA5" w:rsidRDefault="00B66BDF" w:rsidP="00B66BDF">
      <w:pPr>
        <w:pStyle w:val="Heading3"/>
        <w:rPr>
          <w:lang w:val="en-GB"/>
        </w:rPr>
      </w:pPr>
      <w:bookmarkStart w:id="31" w:name="_Toc508112849"/>
      <w:r w:rsidRPr="00756DA5">
        <w:rPr>
          <w:lang w:val="en-GB"/>
        </w:rPr>
        <w:t>NB-IOT Standalone</w:t>
      </w:r>
      <w:bookmarkEnd w:id="31"/>
    </w:p>
    <w:p w:rsidR="007926FF" w:rsidRPr="00756DA5" w:rsidRDefault="00F8235E" w:rsidP="00896FD5">
      <w:pPr>
        <w:pStyle w:val="ECCParagraph"/>
        <w:rPr>
          <w:lang w:eastAsia="de-DE"/>
        </w:rPr>
      </w:pPr>
      <w:r w:rsidRPr="00756DA5">
        <w:t>Standalone</w:t>
      </w:r>
      <w:r w:rsidRPr="00756DA5">
        <w:rPr>
          <w:lang w:eastAsia="de-DE"/>
        </w:rPr>
        <w:t xml:space="preserve"> </w:t>
      </w:r>
      <w:r w:rsidR="007926FF" w:rsidRPr="00756DA5">
        <w:rPr>
          <w:lang w:eastAsia="de-DE"/>
        </w:rPr>
        <w:t>NB-IoT equipment compl</w:t>
      </w:r>
      <w:r w:rsidR="009A37F5" w:rsidRPr="00756DA5">
        <w:t>ies</w:t>
      </w:r>
      <w:r w:rsidR="007926FF" w:rsidRPr="00756DA5">
        <w:rPr>
          <w:lang w:eastAsia="de-DE"/>
        </w:rPr>
        <w:t xml:space="preserve"> with the relevant technical conditions (maximum permitted EIRPs and minimum frequency separations from other adjacent services) which apply in the context of GSM, </w:t>
      </w:r>
      <w:r w:rsidR="00612394">
        <w:rPr>
          <w:lang w:eastAsia="de-DE"/>
        </w:rPr>
        <w:t xml:space="preserve">and </w:t>
      </w:r>
      <w:r w:rsidR="007926FF" w:rsidRPr="00756DA5">
        <w:rPr>
          <w:lang w:eastAsia="de-DE"/>
        </w:rPr>
        <w:t>may be deployed in the 900/1800 MHz bands without any increase in the likelihood of harmful interference.</w:t>
      </w:r>
    </w:p>
    <w:p w:rsidR="007926FF" w:rsidRPr="00756DA5" w:rsidRDefault="007926FF" w:rsidP="00896FD5">
      <w:pPr>
        <w:pStyle w:val="ECCParagraph"/>
      </w:pPr>
      <w:r w:rsidRPr="00756DA5">
        <w:t>For the frequency separation between two standalone NB-IoT carriers or between a standalone NB-IoT and a GSM carrier of different operators, the existing practice of frequency separation between two GSM carriers of different operators should be used, i.e.</w:t>
      </w:r>
      <w:r w:rsidR="00612394">
        <w:t xml:space="preserve"> </w:t>
      </w:r>
      <w:r w:rsidRPr="00756DA5">
        <w:t xml:space="preserve">200 kHz frequency spacing between channel edges. </w:t>
      </w:r>
    </w:p>
    <w:p w:rsidR="007926FF" w:rsidRPr="00756DA5" w:rsidRDefault="007926FF" w:rsidP="00896FD5">
      <w:pPr>
        <w:pStyle w:val="ECCParagraph"/>
      </w:pPr>
      <w:r w:rsidRPr="00756DA5">
        <w:t xml:space="preserve">Such arrangement is possible provided that deployment of these </w:t>
      </w:r>
      <w:r w:rsidR="00612394">
        <w:t xml:space="preserve">cellular systems </w:t>
      </w:r>
      <w:r w:rsidRPr="00756DA5">
        <w:t>is coordinated between operators.</w:t>
      </w:r>
    </w:p>
    <w:p w:rsidR="00B66BDF" w:rsidRPr="00756DA5" w:rsidRDefault="009A37F5" w:rsidP="00896FD5">
      <w:pPr>
        <w:pStyle w:val="ECCParagraph"/>
      </w:pPr>
      <w:r w:rsidRPr="00756DA5">
        <w:t>In conclusion</w:t>
      </w:r>
      <w:r w:rsidR="00F8235E" w:rsidRPr="00756DA5">
        <w:t>,</w:t>
      </w:r>
      <w:r w:rsidRPr="00756DA5">
        <w:t xml:space="preserve"> </w:t>
      </w:r>
      <w:r w:rsidR="00B66BDF" w:rsidRPr="00756DA5">
        <w:t xml:space="preserve">Standalone NB-IoT operation </w:t>
      </w:r>
      <w:r w:rsidR="00F8235E" w:rsidRPr="00756DA5">
        <w:t>shall comply with</w:t>
      </w:r>
      <w:r w:rsidR="00B66BDF" w:rsidRPr="00756DA5">
        <w:t xml:space="preserve"> following minimum separation requirements</w:t>
      </w:r>
      <w:r w:rsidR="0017310D">
        <w:t>:</w:t>
      </w:r>
    </w:p>
    <w:p w:rsidR="00B66BDF" w:rsidRPr="00756DA5" w:rsidRDefault="00B66BDF" w:rsidP="00B66BDF">
      <w:pPr>
        <w:pStyle w:val="ECCBulletsLv1"/>
        <w:rPr>
          <w:rFonts w:cs="Arial"/>
        </w:rPr>
      </w:pPr>
      <w:r w:rsidRPr="00756DA5">
        <w:rPr>
          <w:rFonts w:cs="Arial"/>
        </w:rPr>
        <w:t>200 kHz separation between the GSM channel edge and Wideband UMTS/LTE/WiMAX channel edge, where LTE includes LTE-MTC/eMTC, in</w:t>
      </w:r>
      <w:r w:rsidR="001E5663">
        <w:rPr>
          <w:rFonts w:cs="Arial"/>
        </w:rPr>
        <w:t>-</w:t>
      </w:r>
      <w:r w:rsidRPr="00756DA5">
        <w:rPr>
          <w:rFonts w:cs="Arial"/>
        </w:rPr>
        <w:t>band NB-IoT and guard</w:t>
      </w:r>
      <w:r w:rsidR="00B84810">
        <w:rPr>
          <w:rFonts w:cs="Arial"/>
        </w:rPr>
        <w:t xml:space="preserve"> </w:t>
      </w:r>
      <w:r w:rsidRPr="00756DA5">
        <w:rPr>
          <w:rFonts w:cs="Arial"/>
        </w:rPr>
        <w:t>band NB-IoT, GSM includes EC-GSM-IoT;</w:t>
      </w:r>
    </w:p>
    <w:p w:rsidR="00B66BDF" w:rsidRPr="00756DA5" w:rsidRDefault="00B66BDF" w:rsidP="00B66BDF">
      <w:pPr>
        <w:pStyle w:val="ECCBulletsLv1"/>
        <w:rPr>
          <w:rFonts w:cs="Arial"/>
        </w:rPr>
      </w:pPr>
      <w:r w:rsidRPr="00756DA5">
        <w:rPr>
          <w:rFonts w:cs="Arial"/>
        </w:rPr>
        <w:t>200 kHz separation between the standalone NB-IoT channel edge and Wideband UMTS/LTE/WiMAX channel edge, where LTE includes LTE-MTC/eMTC, in-band NB-IoT and guard</w:t>
      </w:r>
      <w:r w:rsidR="00B84810">
        <w:rPr>
          <w:rFonts w:cs="Arial"/>
        </w:rPr>
        <w:t xml:space="preserve"> </w:t>
      </w:r>
      <w:r w:rsidRPr="00756DA5">
        <w:rPr>
          <w:rFonts w:cs="Arial"/>
        </w:rPr>
        <w:t>band NB-IoT;</w:t>
      </w:r>
    </w:p>
    <w:p w:rsidR="002E1ABD" w:rsidRPr="00756DA5" w:rsidRDefault="00B66BDF" w:rsidP="002E1ABD">
      <w:pPr>
        <w:pStyle w:val="ECCBulletsLv1"/>
        <w:rPr>
          <w:rFonts w:cs="Arial"/>
        </w:rPr>
      </w:pPr>
      <w:r w:rsidRPr="00756DA5">
        <w:rPr>
          <w:rFonts w:cs="Arial"/>
        </w:rPr>
        <w:t>200 kHz separation between the standalone NB-IoT channel edge and the GSM channel edge, where GSM includes EC-GSM-IoT, subject to coordination between operators.</w:t>
      </w:r>
    </w:p>
    <w:p w:rsidR="00B66BDF" w:rsidRPr="00756DA5" w:rsidRDefault="00B66BDF" w:rsidP="00B66BDF">
      <w:pPr>
        <w:pStyle w:val="Heading3"/>
        <w:rPr>
          <w:lang w:val="en-GB"/>
        </w:rPr>
      </w:pPr>
      <w:bookmarkStart w:id="32" w:name="_Toc508112850"/>
      <w:r w:rsidRPr="00756DA5">
        <w:rPr>
          <w:lang w:val="en-GB"/>
        </w:rPr>
        <w:lastRenderedPageBreak/>
        <w:t>Guard band NB-IoT</w:t>
      </w:r>
      <w:bookmarkEnd w:id="32"/>
    </w:p>
    <w:p w:rsidR="00F8235E" w:rsidRPr="00756DA5" w:rsidRDefault="00612394" w:rsidP="00896FD5">
      <w:pPr>
        <w:pStyle w:val="ECCParagraph"/>
      </w:pPr>
      <w:r>
        <w:t>G</w:t>
      </w:r>
      <w:r w:rsidR="00506286" w:rsidRPr="00756DA5">
        <w:t xml:space="preserve">uard band NB-IoT </w:t>
      </w:r>
      <w:r>
        <w:t xml:space="preserve">may be deployed </w:t>
      </w:r>
      <w:r w:rsidR="00506286" w:rsidRPr="00756DA5">
        <w:t>in 900/1800 MHz frequency bands, provided that the NB-IoT RB band edge is placed at least 200 kHz away from the LTE channel edge.</w:t>
      </w:r>
      <w:r w:rsidRPr="00612394">
        <w:t xml:space="preserve"> </w:t>
      </w:r>
      <w:r>
        <w:t>Operators may agree, on a bilateral or multilateral basis, different technical parameters providing that they continue to comply with the technical conditions applicable for the protection of other services, applications or networks and with their cross-border obligations</w:t>
      </w:r>
      <w:r>
        <w:rPr>
          <w:lang w:val="en-US"/>
        </w:rPr>
        <w:t>.</w:t>
      </w:r>
      <w:r w:rsidR="00506286" w:rsidRPr="00756DA5">
        <w:t xml:space="preserve"> </w:t>
      </w:r>
      <w:r w:rsidR="00F8235E" w:rsidRPr="00756DA5">
        <w:t>T</w:t>
      </w:r>
      <w:r w:rsidR="00506286" w:rsidRPr="00756DA5">
        <w:t xml:space="preserve">he usage of guard band NB-IoT </w:t>
      </w:r>
      <w:r w:rsidR="009A37F5" w:rsidRPr="00756DA5">
        <w:t xml:space="preserve">is possible in LTE </w:t>
      </w:r>
      <w:r w:rsidR="00506286" w:rsidRPr="00756DA5">
        <w:t xml:space="preserve">channel bandwidth of 10 MHz or higher. </w:t>
      </w:r>
    </w:p>
    <w:p w:rsidR="00506286" w:rsidRPr="00756DA5" w:rsidRDefault="00D16A7D" w:rsidP="00896FD5">
      <w:pPr>
        <w:pStyle w:val="ECCParagraph"/>
      </w:pPr>
      <w:r w:rsidRPr="00756DA5">
        <w:t>Mobile o</w:t>
      </w:r>
      <w:r w:rsidR="00506286" w:rsidRPr="00756DA5">
        <w:t>perators may deploy guard band NB-IoT for smaller channel bandwidth in between their blocks,</w:t>
      </w:r>
      <w:r w:rsidRPr="00756DA5">
        <w:t xml:space="preserve"> if agreed by bilateral agreements</w:t>
      </w:r>
      <w:r w:rsidR="00F8235E" w:rsidRPr="00756DA5">
        <w:t>.</w:t>
      </w:r>
    </w:p>
    <w:p w:rsidR="00304FF6" w:rsidRPr="00756DA5" w:rsidRDefault="00304FF6" w:rsidP="00AB46DF">
      <w:pPr>
        <w:pStyle w:val="Heading1"/>
      </w:pPr>
      <w:bookmarkStart w:id="33" w:name="_Toc508112851"/>
      <w:bookmarkEnd w:id="6"/>
      <w:r w:rsidRPr="00756DA5">
        <w:lastRenderedPageBreak/>
        <w:t>Proposed amendments to exisiting technical conditions</w:t>
      </w:r>
      <w:bookmarkEnd w:id="33"/>
    </w:p>
    <w:p w:rsidR="00287E9E" w:rsidRPr="00756DA5" w:rsidRDefault="00D16A7D" w:rsidP="00287E9E">
      <w:pPr>
        <w:pStyle w:val="ECCParagraph"/>
        <w:rPr>
          <w:rFonts w:cs="Arial"/>
        </w:rPr>
      </w:pPr>
      <w:r w:rsidRPr="00756DA5">
        <w:rPr>
          <w:rFonts w:cs="Arial"/>
        </w:rPr>
        <w:t>CEPT</w:t>
      </w:r>
      <w:r w:rsidR="00287E9E" w:rsidRPr="00756DA5">
        <w:rPr>
          <w:rFonts w:cs="Arial"/>
        </w:rPr>
        <w:t xml:space="preserve"> propose</w:t>
      </w:r>
      <w:r w:rsidRPr="00756DA5">
        <w:rPr>
          <w:rFonts w:cs="Arial"/>
        </w:rPr>
        <w:t>s</w:t>
      </w:r>
      <w:r w:rsidR="00287E9E" w:rsidRPr="00756DA5">
        <w:rPr>
          <w:rFonts w:cs="Arial"/>
        </w:rPr>
        <w:t xml:space="preserve"> to include the content of the following table, containing the technical conditions for the roll-out of wide-band and narrow-band IoT</w:t>
      </w:r>
      <w:r w:rsidR="00612394">
        <w:rPr>
          <w:rFonts w:cs="Arial"/>
        </w:rPr>
        <w:t xml:space="preserve"> cellular systems</w:t>
      </w:r>
      <w:r w:rsidR="00287E9E" w:rsidRPr="00756DA5">
        <w:rPr>
          <w:rFonts w:cs="Arial"/>
        </w:rPr>
        <w:t>.</w:t>
      </w:r>
    </w:p>
    <w:p w:rsidR="00287E9E" w:rsidRPr="00756DA5" w:rsidRDefault="00287E9E" w:rsidP="00287E9E">
      <w:pPr>
        <w:pStyle w:val="ECCParagraph"/>
        <w:rPr>
          <w:rFonts w:cs="Arial"/>
        </w:rPr>
      </w:pPr>
      <w:r w:rsidRPr="00756DA5">
        <w:rPr>
          <w:rFonts w:cs="Arial"/>
        </w:rPr>
        <w:t xml:space="preserve">The following technical </w:t>
      </w:r>
      <w:r w:rsidR="00612394">
        <w:rPr>
          <w:rFonts w:cs="Arial"/>
        </w:rPr>
        <w:t xml:space="preserve">conditions </w:t>
      </w:r>
      <w:r w:rsidRPr="00756DA5">
        <w:rPr>
          <w:rFonts w:cs="Arial"/>
        </w:rPr>
        <w:t xml:space="preserve">shall be applied as an essential component necessary to ensure coexistence between </w:t>
      </w:r>
      <w:r w:rsidR="00CB2C1F" w:rsidRPr="00756DA5">
        <w:rPr>
          <w:rFonts w:cs="Arial"/>
        </w:rPr>
        <w:t>neighbouring</w:t>
      </w:r>
      <w:r w:rsidRPr="00756DA5">
        <w:rPr>
          <w:rFonts w:cs="Arial"/>
        </w:rPr>
        <w:t xml:space="preserve"> networks.</w:t>
      </w:r>
      <w:r w:rsidR="003A3B71" w:rsidRPr="00756DA5">
        <w:rPr>
          <w:rFonts w:cs="Arial"/>
        </w:rPr>
        <w:t xml:space="preserve"> </w:t>
      </w:r>
      <w:r w:rsidR="00322C38">
        <w:t>Operators may agree, on a bilateral or multilateral basis, different technical parameters providing that they continue to comply with the technical conditions applicable for the protection of other services, applications or networks and with their cross-border obligations</w:t>
      </w:r>
      <w:r w:rsidR="00322C38">
        <w:rPr>
          <w:lang w:val="en-US"/>
        </w:rPr>
        <w:t>.</w:t>
      </w:r>
    </w:p>
    <w:p w:rsidR="007F623A" w:rsidRPr="00756DA5" w:rsidRDefault="007F623A" w:rsidP="007327D1">
      <w:pPr>
        <w:pStyle w:val="Caption"/>
        <w:keepNext/>
        <w:spacing w:after="60"/>
        <w:rPr>
          <w:lang w:val="en-GB"/>
        </w:rPr>
      </w:pPr>
      <w:r w:rsidRPr="00756DA5">
        <w:rPr>
          <w:lang w:val="en-GB"/>
        </w:rPr>
        <w:t xml:space="preserve">Table </w:t>
      </w:r>
      <w:r w:rsidRPr="00756DA5">
        <w:rPr>
          <w:lang w:val="en-GB"/>
        </w:rPr>
        <w:fldChar w:fldCharType="begin"/>
      </w:r>
      <w:r w:rsidRPr="00756DA5">
        <w:rPr>
          <w:lang w:val="en-GB"/>
        </w:rPr>
        <w:instrText xml:space="preserve"> SEQ Table \* ARABIC </w:instrText>
      </w:r>
      <w:r w:rsidRPr="00756DA5">
        <w:rPr>
          <w:lang w:val="en-GB"/>
        </w:rPr>
        <w:fldChar w:fldCharType="separate"/>
      </w:r>
      <w:r w:rsidR="009D1B2D">
        <w:rPr>
          <w:noProof/>
          <w:lang w:val="en-GB"/>
        </w:rPr>
        <w:t>3</w:t>
      </w:r>
      <w:r w:rsidRPr="00756DA5">
        <w:rPr>
          <w:lang w:val="en-GB"/>
        </w:rPr>
        <w:fldChar w:fldCharType="end"/>
      </w:r>
      <w:r w:rsidRPr="00756DA5">
        <w:rPr>
          <w:lang w:val="en-GB"/>
        </w:rPr>
        <w:t>: Technical</w:t>
      </w:r>
      <w:r w:rsidR="00322C38">
        <w:rPr>
          <w:lang w:val="en-GB"/>
        </w:rPr>
        <w:t xml:space="preserve"> conditions</w:t>
      </w:r>
    </w:p>
    <w:tbl>
      <w:tblPr>
        <w:tblStyle w:val="ECCTable-redheader"/>
        <w:tblpPr w:leftFromText="180" w:rightFromText="180" w:vertAnchor="text" w:horzAnchor="margin" w:tblpY="335"/>
        <w:tblW w:w="9889" w:type="dxa"/>
        <w:jc w:val="left"/>
        <w:tblInd w:w="0" w:type="dxa"/>
        <w:tblLayout w:type="fixed"/>
        <w:tblLook w:val="01E0" w:firstRow="1" w:lastRow="1" w:firstColumn="1" w:lastColumn="1" w:noHBand="0" w:noVBand="0"/>
      </w:tblPr>
      <w:tblGrid>
        <w:gridCol w:w="1526"/>
        <w:gridCol w:w="2126"/>
        <w:gridCol w:w="6237"/>
      </w:tblGrid>
      <w:tr w:rsidR="007A4E7F" w:rsidRPr="00756DA5" w:rsidTr="002C6031">
        <w:trPr>
          <w:cnfStyle w:val="100000000000" w:firstRow="1" w:lastRow="0" w:firstColumn="0" w:lastColumn="0" w:oddVBand="0" w:evenVBand="0" w:oddHBand="0" w:evenHBand="0" w:firstRowFirstColumn="0" w:firstRowLastColumn="0" w:lastRowFirstColumn="0" w:lastRowLastColumn="0"/>
          <w:jc w:val="left"/>
        </w:trPr>
        <w:tc>
          <w:tcPr>
            <w:tcW w:w="1526" w:type="dxa"/>
          </w:tcPr>
          <w:p w:rsidR="007A4E7F" w:rsidRPr="00756DA5" w:rsidRDefault="007A4E7F" w:rsidP="00B76AEE">
            <w:pPr>
              <w:pStyle w:val="ECCParagraph"/>
              <w:spacing w:before="120" w:after="120"/>
              <w:jc w:val="center"/>
              <w:rPr>
                <w:rFonts w:cs="Arial"/>
              </w:rPr>
            </w:pPr>
            <w:r>
              <w:rPr>
                <w:rFonts w:cs="Arial"/>
              </w:rPr>
              <w:t>IoT cellular systems</w:t>
            </w:r>
          </w:p>
        </w:tc>
        <w:tc>
          <w:tcPr>
            <w:tcW w:w="2126" w:type="dxa"/>
          </w:tcPr>
          <w:p w:rsidR="007A4E7F" w:rsidRPr="00756DA5" w:rsidRDefault="007A4E7F" w:rsidP="00B76AEE">
            <w:pPr>
              <w:pStyle w:val="ECCParagraph"/>
              <w:spacing w:before="120" w:after="120"/>
              <w:jc w:val="center"/>
              <w:rPr>
                <w:rFonts w:cs="Arial"/>
                <w:szCs w:val="20"/>
              </w:rPr>
            </w:pPr>
            <w:r w:rsidRPr="00756DA5">
              <w:rPr>
                <w:rFonts w:cs="Arial"/>
                <w:szCs w:val="20"/>
              </w:rPr>
              <w:t xml:space="preserve">Applicable </w:t>
            </w:r>
            <w:r w:rsidRPr="00756DA5">
              <w:rPr>
                <w:rFonts w:cs="Arial"/>
                <w:szCs w:val="20"/>
              </w:rPr>
              <w:br/>
              <w:t>ETSI standards</w:t>
            </w:r>
          </w:p>
        </w:tc>
        <w:tc>
          <w:tcPr>
            <w:tcW w:w="6237" w:type="dxa"/>
          </w:tcPr>
          <w:p w:rsidR="007A4E7F" w:rsidRPr="00756DA5" w:rsidRDefault="007A4E7F" w:rsidP="00B76AEE">
            <w:pPr>
              <w:pStyle w:val="ECCParagraph"/>
              <w:spacing w:before="120" w:after="120"/>
              <w:jc w:val="center"/>
              <w:rPr>
                <w:rFonts w:cs="Arial"/>
                <w:szCs w:val="20"/>
                <w:highlight w:val="yellow"/>
              </w:rPr>
            </w:pPr>
            <w:r w:rsidRPr="00756DA5">
              <w:rPr>
                <w:rFonts w:cs="Arial"/>
                <w:szCs w:val="20"/>
              </w:rPr>
              <w:t>Technical</w:t>
            </w:r>
            <w:r>
              <w:rPr>
                <w:rFonts w:cs="Arial"/>
                <w:szCs w:val="20"/>
              </w:rPr>
              <w:t xml:space="preserve"> conditions</w:t>
            </w:r>
          </w:p>
        </w:tc>
      </w:tr>
      <w:tr w:rsidR="007A4E7F" w:rsidRPr="00756DA5" w:rsidTr="002C6031">
        <w:trPr>
          <w:jc w:val="left"/>
        </w:trPr>
        <w:tc>
          <w:tcPr>
            <w:tcW w:w="1526" w:type="dxa"/>
          </w:tcPr>
          <w:p w:rsidR="007A4E7F" w:rsidRPr="00756DA5" w:rsidRDefault="007A4E7F" w:rsidP="00B76AEE">
            <w:pPr>
              <w:pStyle w:val="ECCParagraph"/>
              <w:spacing w:after="60"/>
              <w:jc w:val="left"/>
              <w:rPr>
                <w:rFonts w:cs="Arial"/>
                <w:szCs w:val="20"/>
              </w:rPr>
            </w:pPr>
            <w:r w:rsidRPr="00756DA5">
              <w:rPr>
                <w:rFonts w:cs="Arial"/>
              </w:rPr>
              <w:t>EC-GSM-IoT</w:t>
            </w:r>
          </w:p>
        </w:tc>
        <w:tc>
          <w:tcPr>
            <w:tcW w:w="2126" w:type="dxa"/>
          </w:tcPr>
          <w:p w:rsidR="007A4E7F" w:rsidRPr="00756DA5" w:rsidRDefault="007A4E7F" w:rsidP="00B76AEE">
            <w:pPr>
              <w:pStyle w:val="ECCParagraph"/>
              <w:spacing w:after="60"/>
              <w:jc w:val="left"/>
              <w:rPr>
                <w:rFonts w:cs="Arial"/>
                <w:szCs w:val="20"/>
              </w:rPr>
            </w:pPr>
            <w:r w:rsidRPr="00756DA5">
              <w:rPr>
                <w:rFonts w:cs="Arial"/>
                <w:szCs w:val="20"/>
              </w:rPr>
              <w:t xml:space="preserve">EN 301 502 </w:t>
            </w:r>
            <w:r w:rsidR="00C111CB">
              <w:rPr>
                <w:rFonts w:cs="Arial"/>
                <w:szCs w:val="20"/>
              </w:rPr>
              <w:fldChar w:fldCharType="begin"/>
            </w:r>
            <w:r w:rsidR="00C111CB">
              <w:rPr>
                <w:rFonts w:cs="Arial"/>
                <w:szCs w:val="20"/>
              </w:rPr>
              <w:instrText xml:space="preserve"> REF _Ref508110523 \r \h </w:instrText>
            </w:r>
            <w:r w:rsidR="00C111CB">
              <w:rPr>
                <w:rFonts w:cs="Arial"/>
                <w:szCs w:val="20"/>
              </w:rPr>
            </w:r>
            <w:r w:rsidR="00C111CB">
              <w:rPr>
                <w:rFonts w:cs="Arial"/>
                <w:szCs w:val="20"/>
              </w:rPr>
              <w:fldChar w:fldCharType="separate"/>
            </w:r>
            <w:r w:rsidR="00C111CB">
              <w:rPr>
                <w:rFonts w:cs="Arial"/>
                <w:szCs w:val="20"/>
              </w:rPr>
              <w:t>[8]</w:t>
            </w:r>
            <w:r w:rsidR="00C111CB">
              <w:rPr>
                <w:rFonts w:cs="Arial"/>
                <w:szCs w:val="20"/>
              </w:rPr>
              <w:fldChar w:fldCharType="end"/>
            </w:r>
            <w:r w:rsidR="00546D8A">
              <w:rPr>
                <w:rFonts w:cs="Arial"/>
                <w:szCs w:val="20"/>
              </w:rPr>
              <w:fldChar w:fldCharType="begin"/>
            </w:r>
            <w:r w:rsidR="00546D8A">
              <w:rPr>
                <w:rFonts w:cs="Arial"/>
                <w:szCs w:val="20"/>
              </w:rPr>
              <w:instrText xml:space="preserve"> REF _Ref498595354 \r \h </w:instrText>
            </w:r>
            <w:r w:rsidR="00B76AEE">
              <w:rPr>
                <w:rFonts w:cs="Arial"/>
                <w:szCs w:val="20"/>
              </w:rPr>
              <w:instrText xml:space="preserve"> \* MERGEFORMAT </w:instrText>
            </w:r>
            <w:r w:rsidR="00546D8A">
              <w:rPr>
                <w:rFonts w:cs="Arial"/>
                <w:szCs w:val="20"/>
              </w:rPr>
            </w:r>
            <w:r w:rsidR="00546D8A">
              <w:rPr>
                <w:rFonts w:cs="Arial"/>
                <w:szCs w:val="20"/>
              </w:rPr>
              <w:fldChar w:fldCharType="end"/>
            </w:r>
          </w:p>
          <w:p w:rsidR="007A4E7F" w:rsidRPr="00756DA5" w:rsidRDefault="007A4E7F" w:rsidP="00B76AEE">
            <w:pPr>
              <w:pStyle w:val="ECCParagraph"/>
              <w:spacing w:after="60"/>
              <w:jc w:val="left"/>
              <w:rPr>
                <w:rFonts w:cs="Arial"/>
                <w:szCs w:val="20"/>
              </w:rPr>
            </w:pPr>
            <w:r w:rsidRPr="00756DA5">
              <w:rPr>
                <w:rFonts w:cs="Arial"/>
                <w:szCs w:val="20"/>
              </w:rPr>
              <w:t xml:space="preserve">EN 301 511 </w:t>
            </w:r>
            <w:r w:rsidR="002B565D">
              <w:rPr>
                <w:rFonts w:cs="Arial"/>
                <w:szCs w:val="20"/>
              </w:rPr>
              <w:fldChar w:fldCharType="begin"/>
            </w:r>
            <w:r w:rsidR="002B565D">
              <w:rPr>
                <w:rFonts w:cs="Arial"/>
                <w:szCs w:val="20"/>
              </w:rPr>
              <w:instrText xml:space="preserve"> REF _Ref508110588 \r \h </w:instrText>
            </w:r>
            <w:r w:rsidR="002B565D">
              <w:rPr>
                <w:rFonts w:cs="Arial"/>
                <w:szCs w:val="20"/>
              </w:rPr>
            </w:r>
            <w:r w:rsidR="002B565D">
              <w:rPr>
                <w:rFonts w:cs="Arial"/>
                <w:szCs w:val="20"/>
              </w:rPr>
              <w:fldChar w:fldCharType="separate"/>
            </w:r>
            <w:r w:rsidR="009D1B2D">
              <w:rPr>
                <w:rFonts w:cs="Arial"/>
                <w:szCs w:val="20"/>
              </w:rPr>
              <w:t>[9]</w:t>
            </w:r>
            <w:r w:rsidR="002B565D">
              <w:rPr>
                <w:rFonts w:cs="Arial"/>
                <w:szCs w:val="20"/>
              </w:rPr>
              <w:fldChar w:fldCharType="end"/>
            </w:r>
            <w:r w:rsidR="002B565D" w:rsidDel="002B565D">
              <w:rPr>
                <w:rFonts w:cs="Arial"/>
                <w:szCs w:val="20"/>
              </w:rPr>
              <w:t xml:space="preserve"> </w:t>
            </w:r>
          </w:p>
          <w:p w:rsidR="007A4E7F" w:rsidRPr="00756DA5" w:rsidRDefault="007A4E7F" w:rsidP="00C93A9D">
            <w:pPr>
              <w:pStyle w:val="ECCParagraph"/>
              <w:spacing w:after="60"/>
              <w:jc w:val="left"/>
              <w:rPr>
                <w:rFonts w:cs="Arial"/>
                <w:szCs w:val="20"/>
                <w:highlight w:val="yellow"/>
              </w:rPr>
            </w:pPr>
            <w:r w:rsidRPr="00756DA5">
              <w:rPr>
                <w:rFonts w:cs="Arial"/>
                <w:szCs w:val="20"/>
              </w:rPr>
              <w:t>EN 301 908-18</w:t>
            </w:r>
            <w:r w:rsidR="00546D8A">
              <w:rPr>
                <w:rFonts w:cs="Arial"/>
                <w:szCs w:val="20"/>
              </w:rPr>
              <w:t xml:space="preserve"> </w:t>
            </w:r>
            <w:r w:rsidR="00C93A9D">
              <w:rPr>
                <w:rFonts w:cs="Arial"/>
                <w:szCs w:val="20"/>
              </w:rPr>
              <w:fldChar w:fldCharType="begin"/>
            </w:r>
            <w:r w:rsidR="00C93A9D">
              <w:rPr>
                <w:rFonts w:cs="Arial"/>
                <w:szCs w:val="20"/>
              </w:rPr>
              <w:instrText xml:space="preserve"> REF _Ref508110624 \r \h </w:instrText>
            </w:r>
            <w:r w:rsidR="00C93A9D">
              <w:rPr>
                <w:rFonts w:cs="Arial"/>
                <w:szCs w:val="20"/>
              </w:rPr>
            </w:r>
            <w:r w:rsidR="00C93A9D">
              <w:rPr>
                <w:rFonts w:cs="Arial"/>
                <w:szCs w:val="20"/>
              </w:rPr>
              <w:fldChar w:fldCharType="separate"/>
            </w:r>
            <w:r w:rsidR="009D1B2D">
              <w:rPr>
                <w:rFonts w:cs="Arial"/>
                <w:szCs w:val="20"/>
              </w:rPr>
              <w:t>[7]</w:t>
            </w:r>
            <w:r w:rsidR="00C93A9D">
              <w:rPr>
                <w:rFonts w:cs="Arial"/>
                <w:szCs w:val="20"/>
              </w:rPr>
              <w:fldChar w:fldCharType="end"/>
            </w:r>
            <w:r w:rsidR="00C93A9D" w:rsidDel="00C93A9D">
              <w:rPr>
                <w:rFonts w:cs="Arial"/>
                <w:szCs w:val="20"/>
              </w:rPr>
              <w:t xml:space="preserve"> </w:t>
            </w:r>
          </w:p>
        </w:tc>
        <w:tc>
          <w:tcPr>
            <w:tcW w:w="6237" w:type="dxa"/>
          </w:tcPr>
          <w:p w:rsidR="007A4E7F" w:rsidRPr="00756DA5" w:rsidRDefault="007A4E7F" w:rsidP="00B76AEE">
            <w:pPr>
              <w:pStyle w:val="ECCBulletsLv1"/>
              <w:numPr>
                <w:ilvl w:val="0"/>
                <w:numId w:val="0"/>
              </w:numPr>
              <w:tabs>
                <w:tab w:val="clear" w:pos="340"/>
                <w:tab w:val="left" w:pos="317"/>
              </w:tabs>
              <w:ind w:left="360" w:hanging="360"/>
              <w:jc w:val="left"/>
              <w:rPr>
                <w:rFonts w:eastAsia="Times New Roman" w:cs="Arial"/>
                <w:color w:val="1A171C"/>
                <w:w w:val="105"/>
                <w:szCs w:val="20"/>
              </w:rPr>
            </w:pPr>
          </w:p>
          <w:p w:rsidR="007A4E7F" w:rsidRPr="00756DA5" w:rsidRDefault="007A4E7F" w:rsidP="00B76AEE">
            <w:pPr>
              <w:pStyle w:val="ECCBulletsLv1"/>
              <w:numPr>
                <w:ilvl w:val="0"/>
                <w:numId w:val="0"/>
              </w:numPr>
              <w:tabs>
                <w:tab w:val="clear" w:pos="340"/>
                <w:tab w:val="left" w:pos="317"/>
              </w:tabs>
              <w:jc w:val="left"/>
              <w:rPr>
                <w:rFonts w:eastAsia="Times New Roman" w:cs="Arial"/>
                <w:color w:val="1A171C"/>
                <w:w w:val="105"/>
                <w:szCs w:val="20"/>
                <w:highlight w:val="yellow"/>
              </w:rPr>
            </w:pPr>
            <w:r w:rsidRPr="00756DA5">
              <w:rPr>
                <w:rFonts w:eastAsia="Times New Roman"/>
                <w:color w:val="1A171C"/>
                <w:w w:val="105"/>
                <w:szCs w:val="20"/>
              </w:rPr>
              <w:t xml:space="preserve">Same parameters as for GSM </w:t>
            </w:r>
            <w:r w:rsidR="00495BBD">
              <w:rPr>
                <w:rFonts w:eastAsia="Times New Roman"/>
                <w:color w:val="1A171C"/>
                <w:w w:val="105"/>
                <w:szCs w:val="20"/>
              </w:rPr>
              <w:t>in</w:t>
            </w:r>
            <w:r w:rsidR="00495BBD" w:rsidRPr="00756DA5">
              <w:t xml:space="preserve"> EC Decision 2011/251/EU </w:t>
            </w:r>
            <w:r w:rsidR="00787171">
              <w:fldChar w:fldCharType="begin"/>
            </w:r>
            <w:r w:rsidR="00787171">
              <w:instrText xml:space="preserve"> REF _Ref508109621 \r \h </w:instrText>
            </w:r>
            <w:r w:rsidR="00787171">
              <w:fldChar w:fldCharType="separate"/>
            </w:r>
            <w:r w:rsidR="009D1B2D">
              <w:t>[5]</w:t>
            </w:r>
            <w:r w:rsidR="00787171">
              <w:fldChar w:fldCharType="end"/>
            </w:r>
            <w:r w:rsidRPr="00756DA5">
              <w:rPr>
                <w:rFonts w:eastAsia="Times New Roman"/>
                <w:color w:val="1A171C"/>
                <w:w w:val="105"/>
                <w:szCs w:val="20"/>
              </w:rPr>
              <w:t>apply.</w:t>
            </w:r>
          </w:p>
        </w:tc>
      </w:tr>
      <w:tr w:rsidR="007A4E7F" w:rsidRPr="00756DA5" w:rsidTr="002C6031">
        <w:trPr>
          <w:jc w:val="left"/>
        </w:trPr>
        <w:tc>
          <w:tcPr>
            <w:tcW w:w="1526" w:type="dxa"/>
          </w:tcPr>
          <w:p w:rsidR="007A4E7F" w:rsidRPr="00756DA5" w:rsidRDefault="007A4E7F" w:rsidP="00B76AEE">
            <w:pPr>
              <w:pStyle w:val="ECCParagraph"/>
              <w:spacing w:after="60"/>
              <w:jc w:val="left"/>
              <w:rPr>
                <w:rFonts w:cs="Arial"/>
              </w:rPr>
            </w:pPr>
            <w:r w:rsidRPr="00756DA5">
              <w:rPr>
                <w:rFonts w:cs="Arial"/>
              </w:rPr>
              <w:t>LTE MTC/eMTC</w:t>
            </w:r>
          </w:p>
        </w:tc>
        <w:tc>
          <w:tcPr>
            <w:tcW w:w="2126" w:type="dxa"/>
          </w:tcPr>
          <w:p w:rsidR="007A4E7F" w:rsidRPr="00C93A9D" w:rsidRDefault="007A4E7F" w:rsidP="00B76AEE">
            <w:pPr>
              <w:pStyle w:val="ECCParagraph"/>
              <w:spacing w:after="60"/>
              <w:jc w:val="left"/>
              <w:rPr>
                <w:rFonts w:cs="Arial"/>
                <w:szCs w:val="20"/>
                <w:lang w:val="da-DK"/>
              </w:rPr>
            </w:pPr>
            <w:r w:rsidRPr="00C93A9D">
              <w:rPr>
                <w:rFonts w:cs="Arial"/>
                <w:szCs w:val="20"/>
                <w:lang w:val="da-DK"/>
              </w:rPr>
              <w:t>EN 301 908-1</w:t>
            </w:r>
            <w:r w:rsidR="00546D8A" w:rsidRPr="00C93A9D">
              <w:rPr>
                <w:rFonts w:cs="Arial"/>
                <w:szCs w:val="20"/>
                <w:lang w:val="da-DK"/>
              </w:rPr>
              <w:t xml:space="preserve"> </w:t>
            </w:r>
            <w:r w:rsidR="00787171">
              <w:rPr>
                <w:rFonts w:cs="Arial"/>
                <w:szCs w:val="20"/>
              </w:rPr>
              <w:fldChar w:fldCharType="begin"/>
            </w:r>
            <w:r w:rsidR="00787171" w:rsidRPr="00C93A9D">
              <w:rPr>
                <w:rFonts w:cs="Arial"/>
                <w:szCs w:val="20"/>
                <w:lang w:val="da-DK"/>
              </w:rPr>
              <w:instrText xml:space="preserve"> REF _Ref508109767 \r \h </w:instrText>
            </w:r>
            <w:r w:rsidR="00787171">
              <w:rPr>
                <w:rFonts w:cs="Arial"/>
                <w:szCs w:val="20"/>
              </w:rPr>
            </w:r>
            <w:r w:rsidR="00787171">
              <w:rPr>
                <w:rFonts w:cs="Arial"/>
                <w:szCs w:val="20"/>
              </w:rPr>
              <w:fldChar w:fldCharType="separate"/>
            </w:r>
            <w:r w:rsidR="009D1B2D">
              <w:rPr>
                <w:rFonts w:cs="Arial"/>
                <w:szCs w:val="20"/>
                <w:lang w:val="da-DK"/>
              </w:rPr>
              <w:t>[11]</w:t>
            </w:r>
            <w:r w:rsidR="00787171">
              <w:rPr>
                <w:rFonts w:cs="Arial"/>
                <w:szCs w:val="20"/>
              </w:rPr>
              <w:fldChar w:fldCharType="end"/>
            </w:r>
            <w:r w:rsidR="00787171" w:rsidDel="00787171">
              <w:rPr>
                <w:rFonts w:cs="Arial"/>
                <w:szCs w:val="20"/>
                <w:lang w:val="da-DK"/>
              </w:rPr>
              <w:t xml:space="preserve"> </w:t>
            </w:r>
          </w:p>
          <w:p w:rsidR="007A4E7F" w:rsidRPr="00AD4322" w:rsidRDefault="007A4E7F" w:rsidP="00B76AEE">
            <w:pPr>
              <w:pStyle w:val="ECCParagraph"/>
              <w:spacing w:after="60"/>
              <w:jc w:val="left"/>
              <w:rPr>
                <w:rFonts w:cs="Arial"/>
                <w:szCs w:val="20"/>
                <w:lang w:val="da-DK"/>
              </w:rPr>
            </w:pPr>
            <w:r w:rsidRPr="00AD4322">
              <w:rPr>
                <w:rFonts w:cs="Arial"/>
                <w:szCs w:val="20"/>
                <w:lang w:val="da-DK"/>
              </w:rPr>
              <w:t>EN 301 908-13</w:t>
            </w:r>
            <w:r w:rsidR="00546D8A">
              <w:rPr>
                <w:rFonts w:cs="Arial"/>
                <w:szCs w:val="20"/>
                <w:lang w:val="da-DK"/>
              </w:rPr>
              <w:t xml:space="preserve"> </w:t>
            </w:r>
            <w:r w:rsidR="00787171">
              <w:rPr>
                <w:rFonts w:cs="Arial"/>
                <w:szCs w:val="20"/>
                <w:lang w:val="da-DK"/>
              </w:rPr>
              <w:fldChar w:fldCharType="begin"/>
            </w:r>
            <w:r w:rsidR="00787171">
              <w:rPr>
                <w:rFonts w:cs="Arial"/>
                <w:szCs w:val="20"/>
                <w:lang w:val="da-DK"/>
              </w:rPr>
              <w:instrText xml:space="preserve"> REF _Ref508109734 \r \h </w:instrText>
            </w:r>
            <w:r w:rsidR="00787171">
              <w:rPr>
                <w:rFonts w:cs="Arial"/>
                <w:szCs w:val="20"/>
                <w:lang w:val="da-DK"/>
              </w:rPr>
            </w:r>
            <w:r w:rsidR="00787171">
              <w:rPr>
                <w:rFonts w:cs="Arial"/>
                <w:szCs w:val="20"/>
                <w:lang w:val="da-DK"/>
              </w:rPr>
              <w:fldChar w:fldCharType="separate"/>
            </w:r>
            <w:r w:rsidR="009D1B2D">
              <w:rPr>
                <w:rFonts w:cs="Arial"/>
                <w:szCs w:val="20"/>
                <w:lang w:val="da-DK"/>
              </w:rPr>
              <w:t>[6]</w:t>
            </w:r>
            <w:r w:rsidR="00787171">
              <w:rPr>
                <w:rFonts w:cs="Arial"/>
                <w:szCs w:val="20"/>
                <w:lang w:val="da-DK"/>
              </w:rPr>
              <w:fldChar w:fldCharType="end"/>
            </w:r>
            <w:r w:rsidR="00787171" w:rsidDel="00787171">
              <w:rPr>
                <w:rFonts w:cs="Arial"/>
                <w:szCs w:val="20"/>
                <w:lang w:val="da-DK"/>
              </w:rPr>
              <w:t xml:space="preserve"> </w:t>
            </w:r>
          </w:p>
          <w:p w:rsidR="007A4E7F" w:rsidRPr="00AD4322" w:rsidRDefault="007A4E7F" w:rsidP="00B76AEE">
            <w:pPr>
              <w:pStyle w:val="ECCParagraph"/>
              <w:spacing w:after="60"/>
              <w:jc w:val="left"/>
              <w:rPr>
                <w:rFonts w:cs="Arial"/>
                <w:szCs w:val="20"/>
                <w:lang w:val="da-DK"/>
              </w:rPr>
            </w:pPr>
            <w:r w:rsidRPr="00AD4322">
              <w:rPr>
                <w:rFonts w:cs="Arial"/>
                <w:szCs w:val="20"/>
                <w:lang w:val="da-DK"/>
              </w:rPr>
              <w:t>EN 301 908-14</w:t>
            </w:r>
            <w:r w:rsidR="00546D8A">
              <w:rPr>
                <w:rFonts w:cs="Arial"/>
                <w:szCs w:val="20"/>
                <w:lang w:val="da-DK"/>
              </w:rPr>
              <w:t xml:space="preserve"> </w:t>
            </w:r>
            <w:r w:rsidR="00787171">
              <w:rPr>
                <w:rFonts w:cs="Arial"/>
                <w:szCs w:val="20"/>
                <w:lang w:val="da-DK"/>
              </w:rPr>
              <w:fldChar w:fldCharType="begin"/>
            </w:r>
            <w:r w:rsidR="00787171">
              <w:rPr>
                <w:rFonts w:cs="Arial"/>
                <w:szCs w:val="20"/>
                <w:lang w:val="da-DK"/>
              </w:rPr>
              <w:instrText xml:space="preserve"> REF _Ref508109778 \r \h </w:instrText>
            </w:r>
            <w:r w:rsidR="00787171">
              <w:rPr>
                <w:rFonts w:cs="Arial"/>
                <w:szCs w:val="20"/>
                <w:lang w:val="da-DK"/>
              </w:rPr>
            </w:r>
            <w:r w:rsidR="00787171">
              <w:rPr>
                <w:rFonts w:cs="Arial"/>
                <w:szCs w:val="20"/>
                <w:lang w:val="da-DK"/>
              </w:rPr>
              <w:fldChar w:fldCharType="separate"/>
            </w:r>
            <w:r w:rsidR="009D1B2D">
              <w:rPr>
                <w:rFonts w:cs="Arial"/>
                <w:szCs w:val="20"/>
                <w:lang w:val="da-DK"/>
              </w:rPr>
              <w:t>[10]</w:t>
            </w:r>
            <w:r w:rsidR="00787171">
              <w:rPr>
                <w:rFonts w:cs="Arial"/>
                <w:szCs w:val="20"/>
                <w:lang w:val="da-DK"/>
              </w:rPr>
              <w:fldChar w:fldCharType="end"/>
            </w:r>
            <w:r w:rsidR="00787171" w:rsidDel="00787171">
              <w:rPr>
                <w:rFonts w:cs="Arial"/>
                <w:szCs w:val="20"/>
                <w:lang w:val="da-DK"/>
              </w:rPr>
              <w:t xml:space="preserve"> </w:t>
            </w:r>
          </w:p>
          <w:p w:rsidR="007A4E7F" w:rsidRDefault="007A4E7F" w:rsidP="00B76AEE">
            <w:pPr>
              <w:pStyle w:val="ECCParagraph"/>
              <w:spacing w:after="60"/>
              <w:jc w:val="left"/>
              <w:rPr>
                <w:rFonts w:cs="Arial"/>
                <w:szCs w:val="20"/>
                <w:lang w:val="fr-FR"/>
              </w:rPr>
            </w:pPr>
            <w:r w:rsidRPr="00490738">
              <w:rPr>
                <w:rFonts w:cs="Arial"/>
                <w:szCs w:val="20"/>
                <w:lang w:val="fr-FR"/>
              </w:rPr>
              <w:t>EN 301 908-15</w:t>
            </w:r>
            <w:r w:rsidR="00546D8A">
              <w:rPr>
                <w:rFonts w:cs="Arial"/>
                <w:szCs w:val="20"/>
                <w:lang w:val="fr-FR"/>
              </w:rPr>
              <w:t xml:space="preserve"> </w:t>
            </w:r>
            <w:r w:rsidR="002B565D">
              <w:rPr>
                <w:rFonts w:cs="Arial"/>
                <w:lang w:val="fr-FR"/>
              </w:rPr>
              <w:fldChar w:fldCharType="begin"/>
            </w:r>
            <w:r w:rsidR="002B565D">
              <w:rPr>
                <w:rFonts w:cs="Arial"/>
                <w:lang w:val="fr-FR"/>
              </w:rPr>
              <w:instrText xml:space="preserve"> REF _Ref508110020 \r \h </w:instrText>
            </w:r>
            <w:r w:rsidR="002B565D">
              <w:rPr>
                <w:rFonts w:cs="Arial"/>
                <w:lang w:val="fr-FR"/>
              </w:rPr>
            </w:r>
            <w:r w:rsidR="002B565D">
              <w:rPr>
                <w:rFonts w:cs="Arial"/>
                <w:lang w:val="fr-FR"/>
              </w:rPr>
              <w:fldChar w:fldCharType="separate"/>
            </w:r>
            <w:r w:rsidR="009D1B2D">
              <w:rPr>
                <w:rFonts w:cs="Arial"/>
                <w:lang w:val="fr-FR"/>
              </w:rPr>
              <w:t>[12]</w:t>
            </w:r>
            <w:r w:rsidR="002B565D">
              <w:rPr>
                <w:rFonts w:cs="Arial"/>
                <w:lang w:val="fr-FR"/>
              </w:rPr>
              <w:fldChar w:fldCharType="end"/>
            </w:r>
            <w:r w:rsidR="002B565D" w:rsidDel="002B565D">
              <w:rPr>
                <w:rFonts w:cs="Arial"/>
                <w:szCs w:val="20"/>
                <w:lang w:val="fr-FR"/>
              </w:rPr>
              <w:t xml:space="preserve"> </w:t>
            </w:r>
          </w:p>
          <w:p w:rsidR="007A4E7F" w:rsidRPr="00AD4322" w:rsidRDefault="007A4E7F" w:rsidP="00C93A9D">
            <w:pPr>
              <w:pStyle w:val="ECCParagraph"/>
              <w:spacing w:after="60"/>
              <w:jc w:val="left"/>
              <w:rPr>
                <w:rFonts w:cs="Arial"/>
                <w:szCs w:val="20"/>
                <w:lang w:val="da-DK"/>
              </w:rPr>
            </w:pPr>
            <w:r w:rsidRPr="00AD4322">
              <w:rPr>
                <w:rFonts w:cs="Arial"/>
                <w:szCs w:val="20"/>
                <w:lang w:val="da-DK"/>
              </w:rPr>
              <w:t>EN 301</w:t>
            </w:r>
            <w:r>
              <w:rPr>
                <w:rFonts w:cs="Arial"/>
                <w:szCs w:val="20"/>
                <w:lang w:val="da-DK"/>
              </w:rPr>
              <w:t xml:space="preserve"> </w:t>
            </w:r>
            <w:r w:rsidRPr="00AD4322">
              <w:rPr>
                <w:rFonts w:cs="Arial"/>
                <w:szCs w:val="20"/>
                <w:lang w:val="da-DK"/>
              </w:rPr>
              <w:t>908-18</w:t>
            </w:r>
            <w:r w:rsidR="00C93A9D">
              <w:rPr>
                <w:rFonts w:cs="Arial"/>
                <w:szCs w:val="20"/>
                <w:lang w:val="da-DK"/>
              </w:rPr>
              <w:t xml:space="preserve"> </w:t>
            </w:r>
            <w:r w:rsidR="00C93A9D">
              <w:rPr>
                <w:rFonts w:cs="Arial"/>
                <w:szCs w:val="20"/>
                <w:lang w:val="da-DK"/>
              </w:rPr>
              <w:fldChar w:fldCharType="begin"/>
            </w:r>
            <w:r w:rsidR="00C93A9D">
              <w:rPr>
                <w:rFonts w:cs="Arial"/>
                <w:szCs w:val="20"/>
                <w:lang w:val="da-DK"/>
              </w:rPr>
              <w:instrText xml:space="preserve"> REF _Ref508110624 \r \h </w:instrText>
            </w:r>
            <w:r w:rsidR="00C93A9D">
              <w:rPr>
                <w:rFonts w:cs="Arial"/>
                <w:szCs w:val="20"/>
                <w:lang w:val="da-DK"/>
              </w:rPr>
            </w:r>
            <w:r w:rsidR="00C93A9D">
              <w:rPr>
                <w:rFonts w:cs="Arial"/>
                <w:szCs w:val="20"/>
                <w:lang w:val="da-DK"/>
              </w:rPr>
              <w:fldChar w:fldCharType="separate"/>
            </w:r>
            <w:r w:rsidR="009D1B2D">
              <w:rPr>
                <w:rFonts w:cs="Arial"/>
                <w:szCs w:val="20"/>
                <w:lang w:val="da-DK"/>
              </w:rPr>
              <w:t>[7]</w:t>
            </w:r>
            <w:r w:rsidR="00C93A9D">
              <w:rPr>
                <w:rFonts w:cs="Arial"/>
                <w:szCs w:val="20"/>
                <w:lang w:val="da-DK"/>
              </w:rPr>
              <w:fldChar w:fldCharType="end"/>
            </w:r>
            <w:r w:rsidRPr="00AD4322">
              <w:rPr>
                <w:rFonts w:cs="Arial"/>
                <w:szCs w:val="20"/>
                <w:lang w:val="da-DK"/>
              </w:rPr>
              <w:t xml:space="preserve"> </w:t>
            </w:r>
          </w:p>
        </w:tc>
        <w:tc>
          <w:tcPr>
            <w:tcW w:w="6237" w:type="dxa"/>
          </w:tcPr>
          <w:p w:rsidR="007A4E7F" w:rsidRPr="00756DA5" w:rsidRDefault="007A4E7F" w:rsidP="00787171">
            <w:pPr>
              <w:pStyle w:val="ECCTabletext"/>
              <w:rPr>
                <w:color w:val="1A171C"/>
                <w:w w:val="105"/>
                <w:szCs w:val="20"/>
              </w:rPr>
            </w:pPr>
            <w:r w:rsidRPr="00756DA5">
              <w:rPr>
                <w:rFonts w:eastAsia="Times New Roman"/>
                <w:color w:val="1A171C"/>
                <w:w w:val="105"/>
                <w:szCs w:val="20"/>
              </w:rPr>
              <w:t xml:space="preserve">Same parameters as for LTE </w:t>
            </w:r>
            <w:r w:rsidR="00495BBD">
              <w:rPr>
                <w:rFonts w:eastAsia="Times New Roman"/>
                <w:color w:val="1A171C"/>
                <w:w w:val="105"/>
                <w:szCs w:val="20"/>
              </w:rPr>
              <w:t>in</w:t>
            </w:r>
            <w:r w:rsidR="00495BBD" w:rsidRPr="00756DA5">
              <w:t xml:space="preserve"> EC Decision 2011/251/EU </w:t>
            </w:r>
            <w:r w:rsidR="00787171">
              <w:fldChar w:fldCharType="begin"/>
            </w:r>
            <w:r w:rsidR="00787171">
              <w:instrText xml:space="preserve"> REF _Ref508109621 \r \h </w:instrText>
            </w:r>
            <w:r w:rsidR="00787171">
              <w:fldChar w:fldCharType="separate"/>
            </w:r>
            <w:r w:rsidR="009D1B2D">
              <w:t>[5]</w:t>
            </w:r>
            <w:r w:rsidR="00787171">
              <w:fldChar w:fldCharType="end"/>
            </w:r>
            <w:r w:rsidR="00546D8A">
              <w:t xml:space="preserve"> </w:t>
            </w:r>
            <w:r w:rsidRPr="00756DA5">
              <w:rPr>
                <w:rFonts w:eastAsia="Times New Roman"/>
                <w:color w:val="1A171C"/>
                <w:w w:val="105"/>
                <w:szCs w:val="20"/>
              </w:rPr>
              <w:t>apply.</w:t>
            </w:r>
          </w:p>
        </w:tc>
      </w:tr>
      <w:tr w:rsidR="007A4E7F" w:rsidRPr="00756DA5" w:rsidTr="002C6031">
        <w:trPr>
          <w:jc w:val="left"/>
        </w:trPr>
        <w:tc>
          <w:tcPr>
            <w:tcW w:w="1526" w:type="dxa"/>
          </w:tcPr>
          <w:p w:rsidR="007A4E7F" w:rsidRPr="00756DA5" w:rsidRDefault="007A4E7F" w:rsidP="00B76AEE">
            <w:pPr>
              <w:pStyle w:val="ECCParagraph"/>
              <w:spacing w:after="60"/>
              <w:jc w:val="left"/>
              <w:rPr>
                <w:rFonts w:cs="Arial"/>
              </w:rPr>
            </w:pPr>
            <w:r w:rsidRPr="00756DA5">
              <w:rPr>
                <w:rFonts w:cs="Arial"/>
              </w:rPr>
              <w:t>NB-IoT</w:t>
            </w:r>
          </w:p>
        </w:tc>
        <w:tc>
          <w:tcPr>
            <w:tcW w:w="2126" w:type="dxa"/>
          </w:tcPr>
          <w:p w:rsidR="007A4E7F" w:rsidRPr="00490738" w:rsidRDefault="007A4E7F" w:rsidP="00B76AEE">
            <w:pPr>
              <w:pStyle w:val="ECCParagraph"/>
              <w:spacing w:after="60"/>
              <w:jc w:val="left"/>
              <w:rPr>
                <w:rFonts w:cs="Arial"/>
                <w:szCs w:val="20"/>
                <w:lang w:val="da-DK"/>
              </w:rPr>
            </w:pPr>
            <w:r w:rsidRPr="00490738">
              <w:rPr>
                <w:rFonts w:cs="Arial"/>
                <w:szCs w:val="20"/>
                <w:lang w:val="da-DK"/>
              </w:rPr>
              <w:t xml:space="preserve">EN 301 908-1 </w:t>
            </w:r>
            <w:r w:rsidR="002B565D">
              <w:rPr>
                <w:rFonts w:cs="Arial"/>
                <w:szCs w:val="20"/>
                <w:lang w:val="da-DK"/>
              </w:rPr>
              <w:fldChar w:fldCharType="begin"/>
            </w:r>
            <w:r w:rsidR="002B565D">
              <w:rPr>
                <w:rFonts w:cs="Arial"/>
                <w:szCs w:val="20"/>
                <w:lang w:val="da-DK"/>
              </w:rPr>
              <w:instrText xml:space="preserve"> REF _Ref508109767 \r \h </w:instrText>
            </w:r>
            <w:r w:rsidR="002B565D">
              <w:rPr>
                <w:rFonts w:cs="Arial"/>
                <w:szCs w:val="20"/>
                <w:lang w:val="da-DK"/>
              </w:rPr>
            </w:r>
            <w:r w:rsidR="002B565D">
              <w:rPr>
                <w:rFonts w:cs="Arial"/>
                <w:szCs w:val="20"/>
                <w:lang w:val="da-DK"/>
              </w:rPr>
              <w:fldChar w:fldCharType="separate"/>
            </w:r>
            <w:r w:rsidR="009D1B2D">
              <w:rPr>
                <w:rFonts w:cs="Arial"/>
                <w:szCs w:val="20"/>
                <w:lang w:val="da-DK"/>
              </w:rPr>
              <w:t>[11]</w:t>
            </w:r>
            <w:r w:rsidR="002B565D">
              <w:rPr>
                <w:rFonts w:cs="Arial"/>
                <w:szCs w:val="20"/>
                <w:lang w:val="da-DK"/>
              </w:rPr>
              <w:fldChar w:fldCharType="end"/>
            </w:r>
            <w:r w:rsidR="002B565D" w:rsidDel="002B565D">
              <w:rPr>
                <w:rFonts w:cs="Arial"/>
                <w:szCs w:val="20"/>
                <w:lang w:val="da-DK"/>
              </w:rPr>
              <w:t xml:space="preserve"> </w:t>
            </w:r>
          </w:p>
          <w:p w:rsidR="007A4E7F" w:rsidRPr="00490738" w:rsidRDefault="007A4E7F" w:rsidP="00B76AEE">
            <w:pPr>
              <w:pStyle w:val="ECCParagraph"/>
              <w:spacing w:after="60"/>
              <w:jc w:val="left"/>
              <w:rPr>
                <w:rFonts w:cs="Arial"/>
                <w:szCs w:val="20"/>
                <w:lang w:val="da-DK"/>
              </w:rPr>
            </w:pPr>
            <w:r w:rsidRPr="00490738">
              <w:rPr>
                <w:rFonts w:cs="Arial"/>
                <w:szCs w:val="20"/>
                <w:lang w:val="da-DK"/>
              </w:rPr>
              <w:t xml:space="preserve">EN 301 908-13 </w:t>
            </w:r>
            <w:r w:rsidR="002B565D">
              <w:rPr>
                <w:rFonts w:cs="Arial"/>
                <w:szCs w:val="20"/>
                <w:lang w:val="da-DK"/>
              </w:rPr>
              <w:fldChar w:fldCharType="begin"/>
            </w:r>
            <w:r w:rsidR="002B565D">
              <w:rPr>
                <w:rFonts w:cs="Arial"/>
                <w:szCs w:val="20"/>
                <w:lang w:val="da-DK"/>
              </w:rPr>
              <w:instrText xml:space="preserve"> REF _Ref508109734 \r \h </w:instrText>
            </w:r>
            <w:r w:rsidR="002B565D">
              <w:rPr>
                <w:rFonts w:cs="Arial"/>
                <w:szCs w:val="20"/>
                <w:lang w:val="da-DK"/>
              </w:rPr>
            </w:r>
            <w:r w:rsidR="002B565D">
              <w:rPr>
                <w:rFonts w:cs="Arial"/>
                <w:szCs w:val="20"/>
                <w:lang w:val="da-DK"/>
              </w:rPr>
              <w:fldChar w:fldCharType="separate"/>
            </w:r>
            <w:r w:rsidR="009D1B2D">
              <w:rPr>
                <w:rFonts w:cs="Arial"/>
                <w:szCs w:val="20"/>
                <w:lang w:val="da-DK"/>
              </w:rPr>
              <w:t>[6]</w:t>
            </w:r>
            <w:r w:rsidR="002B565D">
              <w:rPr>
                <w:rFonts w:cs="Arial"/>
                <w:szCs w:val="20"/>
                <w:lang w:val="da-DK"/>
              </w:rPr>
              <w:fldChar w:fldCharType="end"/>
            </w:r>
            <w:r w:rsidR="002B565D" w:rsidDel="002B565D">
              <w:rPr>
                <w:rFonts w:cs="Arial"/>
                <w:szCs w:val="20"/>
                <w:lang w:val="da-DK"/>
              </w:rPr>
              <w:t xml:space="preserve"> </w:t>
            </w:r>
          </w:p>
          <w:p w:rsidR="007A4E7F" w:rsidRPr="009C5C1D" w:rsidRDefault="007A4E7F" w:rsidP="00B76AEE">
            <w:pPr>
              <w:pStyle w:val="ECCParagraph"/>
              <w:spacing w:after="60"/>
              <w:jc w:val="left"/>
              <w:rPr>
                <w:rFonts w:cs="Arial"/>
                <w:szCs w:val="20"/>
                <w:lang w:val="da-DK"/>
              </w:rPr>
            </w:pPr>
            <w:r w:rsidRPr="009C5C1D">
              <w:rPr>
                <w:rFonts w:cs="Arial"/>
                <w:szCs w:val="20"/>
                <w:lang w:val="da-DK"/>
              </w:rPr>
              <w:t xml:space="preserve">EN 301 908-14 </w:t>
            </w:r>
            <w:r w:rsidR="00546D8A">
              <w:rPr>
                <w:rFonts w:cs="Arial"/>
                <w:szCs w:val="20"/>
                <w:lang w:val="da-DK"/>
              </w:rPr>
              <w:fldChar w:fldCharType="begin"/>
            </w:r>
            <w:r w:rsidR="00546D8A" w:rsidRPr="007327D1">
              <w:rPr>
                <w:rFonts w:cs="Arial"/>
                <w:szCs w:val="20"/>
                <w:lang w:val="da-DK"/>
              </w:rPr>
              <w:instrText xml:space="preserve"> REF _Ref498595449 \r \h </w:instrText>
            </w:r>
            <w:r w:rsidR="00546D8A">
              <w:rPr>
                <w:rFonts w:cs="Arial"/>
                <w:szCs w:val="20"/>
                <w:lang w:val="da-DK"/>
              </w:rPr>
            </w:r>
            <w:r w:rsidR="00546D8A">
              <w:rPr>
                <w:rFonts w:cs="Arial"/>
                <w:szCs w:val="20"/>
                <w:lang w:val="da-DK"/>
              </w:rPr>
              <w:fldChar w:fldCharType="separate"/>
            </w:r>
            <w:r w:rsidR="00C111CB">
              <w:rPr>
                <w:rFonts w:cs="Arial"/>
                <w:szCs w:val="20"/>
                <w:lang w:val="da-DK"/>
              </w:rPr>
              <w:fldChar w:fldCharType="begin"/>
            </w:r>
            <w:r w:rsidR="00C111CB">
              <w:rPr>
                <w:rFonts w:cs="Arial"/>
                <w:szCs w:val="20"/>
                <w:lang w:val="da-DK"/>
              </w:rPr>
              <w:instrText xml:space="preserve"> REF _Ref508109778 \r \h </w:instrText>
            </w:r>
            <w:r w:rsidR="00C111CB">
              <w:rPr>
                <w:rFonts w:cs="Arial"/>
                <w:szCs w:val="20"/>
                <w:lang w:val="da-DK"/>
              </w:rPr>
            </w:r>
            <w:r w:rsidR="00C111CB">
              <w:rPr>
                <w:rFonts w:cs="Arial"/>
                <w:szCs w:val="20"/>
                <w:lang w:val="da-DK"/>
              </w:rPr>
              <w:fldChar w:fldCharType="separate"/>
            </w:r>
            <w:r w:rsidR="00C111CB">
              <w:rPr>
                <w:rFonts w:cs="Arial"/>
                <w:szCs w:val="20"/>
                <w:lang w:val="da-DK"/>
              </w:rPr>
              <w:t>[10]</w:t>
            </w:r>
            <w:r w:rsidR="00C111CB">
              <w:rPr>
                <w:rFonts w:cs="Arial"/>
                <w:szCs w:val="20"/>
                <w:lang w:val="da-DK"/>
              </w:rPr>
              <w:fldChar w:fldCharType="end"/>
            </w:r>
            <w:r w:rsidR="00546D8A">
              <w:rPr>
                <w:rFonts w:cs="Arial"/>
                <w:szCs w:val="20"/>
                <w:lang w:val="da-DK"/>
              </w:rPr>
              <w:fldChar w:fldCharType="end"/>
            </w:r>
          </w:p>
          <w:p w:rsidR="007A4E7F" w:rsidRPr="00490738" w:rsidRDefault="007A4E7F" w:rsidP="00B76AEE">
            <w:pPr>
              <w:pStyle w:val="ECCParagraph"/>
              <w:spacing w:after="60"/>
              <w:jc w:val="left"/>
              <w:rPr>
                <w:rFonts w:cs="Arial"/>
                <w:szCs w:val="20"/>
                <w:lang w:val="fr-FR"/>
              </w:rPr>
            </w:pPr>
            <w:r w:rsidRPr="00490738">
              <w:rPr>
                <w:rFonts w:cs="Arial"/>
                <w:szCs w:val="20"/>
                <w:lang w:val="fr-FR"/>
              </w:rPr>
              <w:t>EN 301 908-15</w:t>
            </w:r>
            <w:r w:rsidR="00546D8A">
              <w:rPr>
                <w:rFonts w:cs="Arial"/>
                <w:szCs w:val="20"/>
                <w:lang w:val="fr-FR"/>
              </w:rPr>
              <w:t xml:space="preserve"> </w:t>
            </w:r>
            <w:r w:rsidR="002B565D">
              <w:rPr>
                <w:rFonts w:cs="Arial"/>
                <w:lang w:val="fr-FR"/>
              </w:rPr>
              <w:fldChar w:fldCharType="begin"/>
            </w:r>
            <w:r w:rsidR="002B565D">
              <w:rPr>
                <w:rFonts w:cs="Arial"/>
                <w:lang w:val="fr-FR"/>
              </w:rPr>
              <w:instrText xml:space="preserve"> REF _Ref508110020 \r \h </w:instrText>
            </w:r>
            <w:r w:rsidR="002B565D">
              <w:rPr>
                <w:rFonts w:cs="Arial"/>
                <w:lang w:val="fr-FR"/>
              </w:rPr>
            </w:r>
            <w:r w:rsidR="002B565D">
              <w:rPr>
                <w:rFonts w:cs="Arial"/>
                <w:lang w:val="fr-FR"/>
              </w:rPr>
              <w:fldChar w:fldCharType="separate"/>
            </w:r>
            <w:r w:rsidR="009D1B2D">
              <w:rPr>
                <w:rFonts w:cs="Arial"/>
                <w:lang w:val="fr-FR"/>
              </w:rPr>
              <w:t>[12]</w:t>
            </w:r>
            <w:r w:rsidR="002B565D">
              <w:rPr>
                <w:rFonts w:cs="Arial"/>
                <w:lang w:val="fr-FR"/>
              </w:rPr>
              <w:fldChar w:fldCharType="end"/>
            </w:r>
            <w:r w:rsidR="002B565D" w:rsidDel="002B565D">
              <w:rPr>
                <w:rFonts w:cs="Arial"/>
                <w:szCs w:val="20"/>
                <w:lang w:val="fr-FR"/>
              </w:rPr>
              <w:t xml:space="preserve"> </w:t>
            </w:r>
          </w:p>
          <w:p w:rsidR="007A4E7F" w:rsidRPr="00490738" w:rsidRDefault="007A4E7F" w:rsidP="00C93A9D">
            <w:pPr>
              <w:pStyle w:val="ECCParagraph"/>
              <w:spacing w:after="60"/>
              <w:jc w:val="left"/>
              <w:rPr>
                <w:rFonts w:cs="Arial"/>
                <w:szCs w:val="20"/>
                <w:lang w:val="da-DK"/>
              </w:rPr>
            </w:pPr>
            <w:r w:rsidRPr="00490738">
              <w:rPr>
                <w:rFonts w:cs="Arial"/>
                <w:szCs w:val="20"/>
                <w:lang w:val="da-DK"/>
              </w:rPr>
              <w:t>EN 301 908-18</w:t>
            </w:r>
            <w:r w:rsidR="00546D8A">
              <w:rPr>
                <w:rFonts w:cs="Arial"/>
                <w:szCs w:val="20"/>
                <w:lang w:val="da-DK"/>
              </w:rPr>
              <w:t xml:space="preserve"> </w:t>
            </w:r>
            <w:r w:rsidR="00C93A9D">
              <w:rPr>
                <w:rFonts w:cs="Arial"/>
                <w:szCs w:val="20"/>
                <w:lang w:val="da-DK"/>
              </w:rPr>
              <w:t xml:space="preserve"> </w:t>
            </w:r>
            <w:r w:rsidR="00C93A9D">
              <w:rPr>
                <w:rFonts w:cs="Arial"/>
                <w:szCs w:val="20"/>
                <w:lang w:val="da-DK"/>
              </w:rPr>
              <w:fldChar w:fldCharType="begin"/>
            </w:r>
            <w:r w:rsidR="00C93A9D">
              <w:rPr>
                <w:rFonts w:cs="Arial"/>
                <w:szCs w:val="20"/>
                <w:lang w:val="da-DK"/>
              </w:rPr>
              <w:instrText xml:space="preserve"> REF _Ref508110624 \r \h </w:instrText>
            </w:r>
            <w:r w:rsidR="00C93A9D">
              <w:rPr>
                <w:rFonts w:cs="Arial"/>
                <w:szCs w:val="20"/>
                <w:lang w:val="da-DK"/>
              </w:rPr>
            </w:r>
            <w:r w:rsidR="00C93A9D">
              <w:rPr>
                <w:rFonts w:cs="Arial"/>
                <w:szCs w:val="20"/>
                <w:lang w:val="da-DK"/>
              </w:rPr>
              <w:fldChar w:fldCharType="separate"/>
            </w:r>
            <w:r w:rsidR="009D1B2D">
              <w:rPr>
                <w:rFonts w:cs="Arial"/>
                <w:szCs w:val="20"/>
                <w:lang w:val="da-DK"/>
              </w:rPr>
              <w:t>[7]</w:t>
            </w:r>
            <w:r w:rsidR="00C93A9D">
              <w:rPr>
                <w:rFonts w:cs="Arial"/>
                <w:szCs w:val="20"/>
                <w:lang w:val="da-DK"/>
              </w:rPr>
              <w:fldChar w:fldCharType="end"/>
            </w:r>
            <w:r w:rsidR="00C93A9D" w:rsidDel="00C93A9D">
              <w:rPr>
                <w:rFonts w:cs="Arial"/>
                <w:szCs w:val="20"/>
                <w:lang w:val="da-DK"/>
              </w:rPr>
              <w:t xml:space="preserve"> </w:t>
            </w:r>
          </w:p>
        </w:tc>
        <w:tc>
          <w:tcPr>
            <w:tcW w:w="6237" w:type="dxa"/>
          </w:tcPr>
          <w:p w:rsidR="007A4E7F" w:rsidRPr="00B76AEE" w:rsidRDefault="007A4E7F" w:rsidP="00B76AEE">
            <w:pPr>
              <w:pStyle w:val="ECCTabletext"/>
              <w:jc w:val="left"/>
            </w:pPr>
            <w:r w:rsidRPr="00B76AEE">
              <w:t>Standalone mode:</w:t>
            </w:r>
          </w:p>
          <w:p w:rsidR="007A4E7F" w:rsidRPr="00B76AEE" w:rsidRDefault="007A4E7F" w:rsidP="00B76AEE">
            <w:pPr>
              <w:pStyle w:val="ECCTabletext"/>
              <w:jc w:val="left"/>
            </w:pPr>
            <w:r w:rsidRPr="00B76AEE">
              <w:t>A frequency separation of 200 kHz or more between the standalone NB-IoT channel edge of one network and the UMTS/LTE channel edge of the neighbouring network.</w:t>
            </w:r>
          </w:p>
          <w:p w:rsidR="007A4E7F" w:rsidRPr="00B76AEE" w:rsidRDefault="007A4E7F" w:rsidP="00B76AEE">
            <w:pPr>
              <w:pStyle w:val="ECCTabletext"/>
              <w:jc w:val="left"/>
            </w:pPr>
            <w:r w:rsidRPr="00B76AEE">
              <w:t>A frequency separation of 200 kHz or more between the standalone NB-IoT channel edge of one network and the GSM channel edge of the neighbouring network.</w:t>
            </w:r>
          </w:p>
          <w:p w:rsidR="007A4E7F" w:rsidRPr="00B76AEE" w:rsidRDefault="007A4E7F" w:rsidP="00B76AEE">
            <w:pPr>
              <w:pStyle w:val="ECCTabletext"/>
              <w:jc w:val="left"/>
            </w:pPr>
          </w:p>
          <w:p w:rsidR="007A4E7F" w:rsidRPr="00B76AEE" w:rsidRDefault="007A4E7F" w:rsidP="00B76AEE">
            <w:pPr>
              <w:pStyle w:val="ECCTabletext"/>
              <w:jc w:val="left"/>
            </w:pPr>
            <w:r w:rsidRPr="00B76AEE">
              <w:t>In</w:t>
            </w:r>
            <w:r w:rsidR="00DC7EE2">
              <w:t>-</w:t>
            </w:r>
            <w:r w:rsidRPr="00B76AEE">
              <w:t xml:space="preserve">band mode: same parameters as for LTE </w:t>
            </w:r>
            <w:r w:rsidR="00495BBD" w:rsidRPr="00B76AEE">
              <w:t xml:space="preserve">in EC Decision 2011/251/EU </w:t>
            </w:r>
            <w:r w:rsidR="00787171">
              <w:fldChar w:fldCharType="begin"/>
            </w:r>
            <w:r w:rsidR="00787171">
              <w:instrText xml:space="preserve"> REF _Ref508109621 \r \h </w:instrText>
            </w:r>
            <w:r w:rsidR="00787171">
              <w:fldChar w:fldCharType="separate"/>
            </w:r>
            <w:r w:rsidR="009D1B2D">
              <w:t>[5]</w:t>
            </w:r>
            <w:r w:rsidR="00787171">
              <w:fldChar w:fldCharType="end"/>
            </w:r>
            <w:r w:rsidR="00546D8A" w:rsidRPr="00B76AEE">
              <w:t xml:space="preserve"> </w:t>
            </w:r>
            <w:r w:rsidRPr="00B76AEE">
              <w:t>apply</w:t>
            </w:r>
          </w:p>
          <w:p w:rsidR="007A4E7F" w:rsidRPr="00B76AEE" w:rsidRDefault="007A4E7F" w:rsidP="00B76AEE">
            <w:pPr>
              <w:pStyle w:val="ECCTabletext"/>
              <w:jc w:val="left"/>
            </w:pPr>
          </w:p>
          <w:p w:rsidR="007A4E7F" w:rsidRPr="00756DA5" w:rsidRDefault="007A4E7F" w:rsidP="00B76AEE">
            <w:pPr>
              <w:pStyle w:val="ECCTabletext"/>
              <w:jc w:val="left"/>
            </w:pPr>
            <w:r w:rsidRPr="00B76AEE">
              <w:t>Guard band mode: A frequency separation of 200 kHz or more, between the NB-IoT channel edge and the edge of the operator’s block, taking into account existing guard bands between operators block edges or the edge of the operating band (adjacent to other services).</w:t>
            </w:r>
          </w:p>
        </w:tc>
      </w:tr>
    </w:tbl>
    <w:p w:rsidR="00911E6B" w:rsidRPr="00756DA5" w:rsidRDefault="00911E6B" w:rsidP="00287E9E">
      <w:pPr>
        <w:pStyle w:val="ECCParagraph"/>
        <w:rPr>
          <w:rFonts w:cs="Arial"/>
        </w:rPr>
      </w:pPr>
    </w:p>
    <w:p w:rsidR="00911E6B" w:rsidRPr="00756DA5" w:rsidRDefault="00911E6B" w:rsidP="00287E9E">
      <w:pPr>
        <w:pStyle w:val="ECCParagraph"/>
        <w:rPr>
          <w:rFonts w:cs="Arial"/>
        </w:rPr>
      </w:pPr>
    </w:p>
    <w:p w:rsidR="00320616" w:rsidRPr="00756DA5" w:rsidRDefault="00320616" w:rsidP="00320616">
      <w:pPr>
        <w:pStyle w:val="ECCParagraph"/>
        <w:rPr>
          <w:rFonts w:cs="Arial"/>
        </w:rPr>
      </w:pPr>
    </w:p>
    <w:p w:rsidR="00AB46DF" w:rsidRDefault="003C3EE4" w:rsidP="00AB46DF">
      <w:pPr>
        <w:pStyle w:val="Heading1"/>
      </w:pPr>
      <w:bookmarkStart w:id="34" w:name="_Toc508112852"/>
      <w:r w:rsidRPr="00756DA5">
        <w:lastRenderedPageBreak/>
        <w:t>Conclusions</w:t>
      </w:r>
      <w:bookmarkEnd w:id="34"/>
    </w:p>
    <w:p w:rsidR="00B10ECC" w:rsidRPr="0058775D" w:rsidRDefault="0058775D" w:rsidP="0058775D">
      <w:pPr>
        <w:pStyle w:val="ECCParagraph"/>
      </w:pPr>
      <w:r>
        <w:rPr>
          <w:rFonts w:cs="Arial"/>
        </w:rPr>
        <w:t xml:space="preserve">This </w:t>
      </w:r>
      <w:r w:rsidRPr="00756DA5">
        <w:rPr>
          <w:rFonts w:cs="Arial"/>
        </w:rPr>
        <w:t xml:space="preserve">CEPT </w:t>
      </w:r>
      <w:r>
        <w:rPr>
          <w:rFonts w:cs="Arial"/>
        </w:rPr>
        <w:t>Report</w:t>
      </w:r>
      <w:r w:rsidR="00B10ECC" w:rsidRPr="0058775D">
        <w:t xml:space="preserve"> is the response to the tasks of the EC Mandate. </w:t>
      </w:r>
    </w:p>
    <w:p w:rsidR="00B10ECC" w:rsidRPr="0058775D" w:rsidRDefault="00D16A7D" w:rsidP="0058775D">
      <w:pPr>
        <w:pStyle w:val="ECCParagraph"/>
      </w:pPr>
      <w:r w:rsidRPr="0058775D">
        <w:t>It has be</w:t>
      </w:r>
      <w:r w:rsidR="00356B45" w:rsidRPr="0058775D">
        <w:t xml:space="preserve">en developed on the basis of </w:t>
      </w:r>
      <w:r w:rsidR="00B10ECC" w:rsidRPr="0058775D">
        <w:t>ECC Report 266</w:t>
      </w:r>
      <w:r w:rsidRPr="0058775D">
        <w:t xml:space="preserve"> </w:t>
      </w:r>
      <w:r w:rsidR="004235B6">
        <w:fldChar w:fldCharType="begin"/>
      </w:r>
      <w:r w:rsidR="004235B6">
        <w:instrText xml:space="preserve"> REF _Ref491272265 \r \h </w:instrText>
      </w:r>
      <w:r w:rsidR="004235B6">
        <w:fldChar w:fldCharType="separate"/>
      </w:r>
      <w:r w:rsidR="009D1B2D">
        <w:t>[1]</w:t>
      </w:r>
      <w:r w:rsidR="004235B6">
        <w:fldChar w:fldCharType="end"/>
      </w:r>
      <w:r w:rsidR="004235B6">
        <w:t xml:space="preserve"> </w:t>
      </w:r>
      <w:r w:rsidRPr="0058775D">
        <w:t>which</w:t>
      </w:r>
      <w:r w:rsidR="00B10ECC" w:rsidRPr="0058775D">
        <w:t xml:space="preserve"> studied the suitability of the current ECC regulatory framework for the usage of Wideband and Narrowband M2M in a range of frequency bands, including 900 MHz and 1800 MHz. The report concluded the following:</w:t>
      </w:r>
    </w:p>
    <w:p w:rsidR="005676A6" w:rsidRPr="00756DA5" w:rsidRDefault="005676A6" w:rsidP="005676A6">
      <w:pPr>
        <w:pStyle w:val="ECCNumberedBullets"/>
        <w:rPr>
          <w:rFonts w:cs="Arial"/>
          <w:lang w:val="en-GB"/>
        </w:rPr>
      </w:pPr>
      <w:r w:rsidRPr="00756DA5">
        <w:rPr>
          <w:rFonts w:cs="Arial"/>
          <w:lang w:val="en-GB"/>
        </w:rPr>
        <w:t>LTE-MTC/eMTC and EC-GSM IoT are implemented as intrinsic parts of existing LTE and GSM technologies respectively. Therefore, no change to the ECC regulatory framework is needed to address LTE-MTC/eMTC and EC-GSM-IoT;</w:t>
      </w:r>
    </w:p>
    <w:p w:rsidR="003A3B71" w:rsidRPr="00756DA5" w:rsidRDefault="00356B45" w:rsidP="00911E6B">
      <w:pPr>
        <w:pStyle w:val="ECCNumberedBullets"/>
        <w:rPr>
          <w:lang w:val="en-GB"/>
        </w:rPr>
      </w:pPr>
      <w:r w:rsidRPr="00756DA5">
        <w:rPr>
          <w:lang w:val="en-GB"/>
        </w:rPr>
        <w:t>Revision of the relevant regulatory framework</w:t>
      </w:r>
      <w:r w:rsidR="005676A6" w:rsidRPr="00756DA5">
        <w:rPr>
          <w:lang w:val="en-GB"/>
        </w:rPr>
        <w:t xml:space="preserve"> is necessary to accommodate the use of guard band and standalone NB-IoT in the 900 MHz and 1800 MHz bands.</w:t>
      </w:r>
    </w:p>
    <w:p w:rsidR="001F2CD7" w:rsidRPr="00756DA5" w:rsidRDefault="001F2CD7" w:rsidP="001F2CD7">
      <w:pPr>
        <w:pStyle w:val="ECCNumberedBullets"/>
        <w:numPr>
          <w:ilvl w:val="0"/>
          <w:numId w:val="0"/>
        </w:numPr>
        <w:rPr>
          <w:lang w:val="en-GB"/>
        </w:rPr>
      </w:pPr>
    </w:p>
    <w:p w:rsidR="00B10ECC" w:rsidRPr="00B84810" w:rsidRDefault="003A3B71" w:rsidP="00B76AEE">
      <w:pPr>
        <w:pStyle w:val="ECCParagraph"/>
      </w:pPr>
      <w:r w:rsidRPr="00B76AEE">
        <w:t xml:space="preserve">CEPT proposes the technical conditions in section 5 to update the EC framework </w:t>
      </w:r>
      <w:r w:rsidR="009D74E2" w:rsidRPr="00B76AEE">
        <w:t xml:space="preserve">for </w:t>
      </w:r>
      <w:r w:rsidRPr="000B3DAE">
        <w:t>EC</w:t>
      </w:r>
      <w:r w:rsidR="009D74E2" w:rsidRPr="005E7772">
        <w:t>-</w:t>
      </w:r>
      <w:r w:rsidRPr="005E7772">
        <w:t>GSM</w:t>
      </w:r>
      <w:r w:rsidR="009D74E2" w:rsidRPr="005E7772">
        <w:t>-</w:t>
      </w:r>
      <w:r w:rsidRPr="00DC7EE2">
        <w:t>IoT, LTE MTC/LTE</w:t>
      </w:r>
      <w:r w:rsidR="009D74E2" w:rsidRPr="00F05652">
        <w:t>-</w:t>
      </w:r>
      <w:r w:rsidRPr="00F05652">
        <w:t>eMTC and NB IoT.</w:t>
      </w:r>
    </w:p>
    <w:p w:rsidR="00D16A7D" w:rsidRPr="00401F1B" w:rsidRDefault="00D16A7D" w:rsidP="000B3DAE">
      <w:pPr>
        <w:pStyle w:val="ECCParagraph"/>
      </w:pPr>
      <w:r w:rsidRPr="00337627">
        <w:t>The proposed technical conditions in section 5 above</w:t>
      </w:r>
      <w:r w:rsidR="003A3B71" w:rsidRPr="00337627">
        <w:t xml:space="preserve"> applying to EC GSM IoT, LTE MTC/LTE eMTC and NB</w:t>
      </w:r>
      <w:r w:rsidR="00322C38" w:rsidRPr="001C530B">
        <w:t>-</w:t>
      </w:r>
      <w:r w:rsidR="003A3B71" w:rsidRPr="00A23EA5">
        <w:t>IoT have</w:t>
      </w:r>
      <w:r w:rsidRPr="00A23EA5">
        <w:t xml:space="preserve"> been </w:t>
      </w:r>
      <w:r w:rsidR="003A3B71" w:rsidRPr="004413AF">
        <w:t xml:space="preserve">also </w:t>
      </w:r>
      <w:r w:rsidRPr="0017310D">
        <w:t xml:space="preserve">considered for the relevant ECC </w:t>
      </w:r>
      <w:r w:rsidR="00356B45" w:rsidRPr="00401F1B">
        <w:t xml:space="preserve">framework, </w:t>
      </w:r>
      <w:r w:rsidRPr="00401F1B">
        <w:t>which will be updated accordingly. It ensures coherence between ECC and EC frameworks</w:t>
      </w:r>
      <w:r w:rsidR="003A3B71" w:rsidRPr="00401F1B">
        <w:t xml:space="preserve">. </w:t>
      </w:r>
    </w:p>
    <w:p w:rsidR="00AB46DF" w:rsidRDefault="003A3B71" w:rsidP="00D133EC">
      <w:pPr>
        <w:pStyle w:val="ECCParagraph"/>
        <w:rPr>
          <w:rFonts w:cs="Arial"/>
        </w:rPr>
      </w:pPr>
      <w:r w:rsidRPr="00401F1B">
        <w:t>CEPT will develop relevant cross-border coordination deliverable to support bi</w:t>
      </w:r>
      <w:r w:rsidR="007F623A" w:rsidRPr="00401F1B">
        <w:t>-</w:t>
      </w:r>
      <w:r w:rsidRPr="00401F1B">
        <w:t>lateral and multi-lateral cross border coordination process between administrations including EU Member States. CEPT did not identify unmanageable cross border coordination issues resulting from the introduction of the 3 above technologies in these frequency bands</w:t>
      </w:r>
      <w:r w:rsidRPr="009F46C1">
        <w:t>.</w:t>
      </w:r>
    </w:p>
    <w:p w:rsidR="00B76AEE" w:rsidRPr="00756DA5" w:rsidRDefault="00B76AEE" w:rsidP="00AB46DF">
      <w:pPr>
        <w:outlineLvl w:val="2"/>
        <w:rPr>
          <w:rFonts w:cs="Arial"/>
          <w:lang w:val="en-GB"/>
        </w:rPr>
      </w:pPr>
    </w:p>
    <w:p w:rsidR="00AB46DF" w:rsidRPr="00756DA5" w:rsidRDefault="00AB46DF" w:rsidP="00490738">
      <w:pPr>
        <w:framePr w:w="7885" w:wrap="auto" w:hAnchor="text"/>
        <w:rPr>
          <w:rFonts w:cs="Arial"/>
          <w:lang w:val="en-GB"/>
        </w:rPr>
        <w:sectPr w:rsidR="00AB46DF" w:rsidRPr="00756DA5" w:rsidSect="00F26674">
          <w:pgSz w:w="11907" w:h="16840" w:code="9"/>
          <w:pgMar w:top="1440" w:right="1134" w:bottom="1440" w:left="1134" w:header="709" w:footer="709" w:gutter="0"/>
          <w:cols w:space="708"/>
          <w:docGrid w:linePitch="360"/>
        </w:sectPr>
      </w:pPr>
    </w:p>
    <w:p w:rsidR="00AB46DF" w:rsidRPr="00756DA5" w:rsidRDefault="003C3EE4" w:rsidP="00AB46DF">
      <w:pPr>
        <w:pStyle w:val="ECCAnnexheading1"/>
      </w:pPr>
      <w:bookmarkStart w:id="35" w:name="_Ref491271521"/>
      <w:bookmarkStart w:id="36" w:name="_Toc508112853"/>
      <w:r w:rsidRPr="00756DA5">
        <w:lastRenderedPageBreak/>
        <w:t>cept mandate</w:t>
      </w:r>
      <w:bookmarkEnd w:id="35"/>
      <w:bookmarkEnd w:id="36"/>
    </w:p>
    <w:tbl>
      <w:tblPr>
        <w:tblW w:w="9469" w:type="dxa"/>
        <w:tblLayout w:type="fixed"/>
        <w:tblCellMar>
          <w:left w:w="0" w:type="dxa"/>
          <w:right w:w="0" w:type="dxa"/>
        </w:tblCellMar>
        <w:tblLook w:val="0000" w:firstRow="0" w:lastRow="0" w:firstColumn="0" w:lastColumn="0" w:noHBand="0" w:noVBand="0"/>
      </w:tblPr>
      <w:tblGrid>
        <w:gridCol w:w="1814"/>
        <w:gridCol w:w="7655"/>
      </w:tblGrid>
      <w:tr w:rsidR="00DA360A" w:rsidRPr="00756DA5" w:rsidTr="00506286">
        <w:trPr>
          <w:trHeight w:val="1440"/>
        </w:trPr>
        <w:tc>
          <w:tcPr>
            <w:tcW w:w="1814" w:type="dxa"/>
          </w:tcPr>
          <w:p w:rsidR="00DA360A" w:rsidRPr="00756DA5" w:rsidRDefault="00DA360A" w:rsidP="00506286">
            <w:pPr>
              <w:widowControl w:val="0"/>
              <w:ind w:right="-454"/>
              <w:jc w:val="both"/>
              <w:rPr>
                <w:rFonts w:cs="Arial"/>
                <w:snapToGrid w:val="0"/>
                <w:sz w:val="24"/>
                <w:szCs w:val="20"/>
                <w:lang w:val="en-GB"/>
              </w:rPr>
            </w:pPr>
            <w:r w:rsidRPr="00756DA5">
              <w:rPr>
                <w:rFonts w:cs="Arial"/>
                <w:noProof/>
                <w:sz w:val="24"/>
                <w:szCs w:val="20"/>
                <w:lang w:val="da-DK" w:eastAsia="da-DK"/>
              </w:rPr>
              <w:drawing>
                <wp:inline distT="0" distB="0" distL="0" distR="0" wp14:anchorId="4AB6260D" wp14:editId="48DE8E0C">
                  <wp:extent cx="1113790" cy="542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13790" cy="542925"/>
                          </a:xfrm>
                          <a:prstGeom prst="rect">
                            <a:avLst/>
                          </a:prstGeom>
                          <a:noFill/>
                          <a:ln>
                            <a:noFill/>
                          </a:ln>
                        </pic:spPr>
                      </pic:pic>
                    </a:graphicData>
                  </a:graphic>
                </wp:inline>
              </w:drawing>
            </w:r>
          </w:p>
        </w:tc>
        <w:tc>
          <w:tcPr>
            <w:tcW w:w="7655" w:type="dxa"/>
          </w:tcPr>
          <w:p w:rsidR="00DA360A" w:rsidRPr="00756DA5" w:rsidRDefault="00DA360A" w:rsidP="00506286">
            <w:pPr>
              <w:widowControl w:val="0"/>
              <w:ind w:right="-454"/>
              <w:jc w:val="both"/>
              <w:rPr>
                <w:rFonts w:cs="Arial"/>
                <w:snapToGrid w:val="0"/>
                <w:sz w:val="24"/>
                <w:szCs w:val="20"/>
                <w:lang w:val="en-GB"/>
              </w:rPr>
            </w:pPr>
            <w:r w:rsidRPr="00756DA5">
              <w:rPr>
                <w:rFonts w:cs="Arial"/>
                <w:snapToGrid w:val="0"/>
                <w:sz w:val="24"/>
                <w:szCs w:val="20"/>
                <w:lang w:val="en-GB"/>
              </w:rPr>
              <w:t>EUROPEAN COMMISSION</w:t>
            </w:r>
          </w:p>
          <w:p w:rsidR="00DA360A" w:rsidRPr="00756DA5" w:rsidRDefault="00DA360A" w:rsidP="00506286">
            <w:pPr>
              <w:widowControl w:val="0"/>
              <w:ind w:right="-454"/>
              <w:rPr>
                <w:rFonts w:cs="Arial"/>
                <w:snapToGrid w:val="0"/>
                <w:sz w:val="16"/>
                <w:szCs w:val="20"/>
                <w:lang w:val="en-GB"/>
              </w:rPr>
            </w:pPr>
            <w:r w:rsidRPr="00756DA5">
              <w:rPr>
                <w:rFonts w:cs="Arial"/>
                <w:snapToGrid w:val="0"/>
                <w:sz w:val="16"/>
                <w:szCs w:val="20"/>
                <w:lang w:val="en-GB"/>
              </w:rPr>
              <w:t>Communications Networks Content &amp; Technology Directorate-General</w:t>
            </w:r>
          </w:p>
          <w:p w:rsidR="00DA360A" w:rsidRPr="00756DA5" w:rsidRDefault="00DA360A" w:rsidP="00506286">
            <w:pPr>
              <w:widowControl w:val="0"/>
              <w:ind w:right="-454"/>
              <w:rPr>
                <w:rFonts w:cs="Arial"/>
                <w:snapToGrid w:val="0"/>
                <w:sz w:val="16"/>
                <w:szCs w:val="20"/>
                <w:lang w:val="en-GB"/>
              </w:rPr>
            </w:pPr>
          </w:p>
          <w:p w:rsidR="00DA360A" w:rsidRPr="00756DA5" w:rsidRDefault="00DA360A" w:rsidP="00506286">
            <w:pPr>
              <w:widowControl w:val="0"/>
              <w:ind w:right="-454"/>
              <w:rPr>
                <w:rFonts w:cs="Arial"/>
                <w:snapToGrid w:val="0"/>
                <w:sz w:val="16"/>
                <w:szCs w:val="20"/>
                <w:lang w:val="en-GB"/>
              </w:rPr>
            </w:pPr>
            <w:r w:rsidRPr="00756DA5">
              <w:rPr>
                <w:rFonts w:cs="Arial"/>
                <w:snapToGrid w:val="0"/>
                <w:sz w:val="16"/>
                <w:szCs w:val="20"/>
                <w:lang w:val="en-GB"/>
              </w:rPr>
              <w:t>Electronic Communications Networks &amp; Services</w:t>
            </w:r>
          </w:p>
          <w:p w:rsidR="00DA360A" w:rsidRPr="00756DA5" w:rsidRDefault="00DA360A" w:rsidP="00506286">
            <w:pPr>
              <w:ind w:right="85"/>
              <w:rPr>
                <w:rFonts w:cs="Arial"/>
                <w:b/>
                <w:snapToGrid w:val="0"/>
                <w:sz w:val="16"/>
                <w:szCs w:val="20"/>
                <w:lang w:val="en-GB"/>
              </w:rPr>
            </w:pPr>
            <w:r w:rsidRPr="00756DA5">
              <w:rPr>
                <w:rFonts w:cs="Arial"/>
                <w:b/>
                <w:snapToGrid w:val="0"/>
                <w:sz w:val="16"/>
                <w:szCs w:val="20"/>
                <w:lang w:val="en-GB"/>
              </w:rPr>
              <w:t xml:space="preserve">Spectrum </w:t>
            </w:r>
          </w:p>
          <w:p w:rsidR="00DA360A" w:rsidRPr="00756DA5" w:rsidRDefault="00DA360A" w:rsidP="00506286">
            <w:pPr>
              <w:widowControl w:val="0"/>
              <w:ind w:right="-454"/>
              <w:rPr>
                <w:rFonts w:cs="Arial"/>
                <w:snapToGrid w:val="0"/>
                <w:sz w:val="16"/>
                <w:szCs w:val="20"/>
                <w:lang w:val="en-GB"/>
              </w:rPr>
            </w:pPr>
          </w:p>
        </w:tc>
      </w:tr>
    </w:tbl>
    <w:p w:rsidR="00DA360A" w:rsidRPr="00756DA5" w:rsidRDefault="00DA360A" w:rsidP="00DA360A">
      <w:pPr>
        <w:jc w:val="center"/>
        <w:rPr>
          <w:rFonts w:cs="Arial"/>
          <w:b/>
          <w:lang w:val="en-GB"/>
        </w:rPr>
      </w:pPr>
    </w:p>
    <w:p w:rsidR="00DA360A" w:rsidRPr="00756DA5" w:rsidRDefault="00DA360A" w:rsidP="00DA360A">
      <w:pPr>
        <w:ind w:left="5103" w:right="-567"/>
        <w:rPr>
          <w:rFonts w:cs="Arial"/>
          <w:sz w:val="24"/>
          <w:szCs w:val="20"/>
          <w:lang w:val="en-GB" w:eastAsia="fr-BE"/>
        </w:rPr>
      </w:pPr>
      <w:r w:rsidRPr="00756DA5">
        <w:rPr>
          <w:rFonts w:cs="Arial"/>
          <w:sz w:val="24"/>
          <w:szCs w:val="20"/>
          <w:lang w:val="en-GB" w:eastAsia="fr-BE"/>
        </w:rPr>
        <w:t>Brussels, 12 July 2017</w:t>
      </w:r>
    </w:p>
    <w:p w:rsidR="00DA360A" w:rsidRPr="00756DA5" w:rsidRDefault="00DA360A" w:rsidP="00DA360A">
      <w:pPr>
        <w:spacing w:after="240"/>
        <w:ind w:left="5103"/>
        <w:rPr>
          <w:rFonts w:cs="Arial"/>
          <w:sz w:val="24"/>
          <w:lang w:val="en-GB" w:eastAsia="fr-BE"/>
        </w:rPr>
      </w:pPr>
      <w:r w:rsidRPr="00756DA5">
        <w:rPr>
          <w:rFonts w:cs="Arial"/>
          <w:sz w:val="24"/>
          <w:lang w:val="en-GB" w:eastAsia="fr-BE"/>
        </w:rPr>
        <w:t>DG CONNECT/B4</w:t>
      </w:r>
    </w:p>
    <w:p w:rsidR="00DA360A" w:rsidRPr="00756DA5" w:rsidRDefault="00DA360A" w:rsidP="00DA360A">
      <w:pPr>
        <w:spacing w:before="240" w:after="600"/>
        <w:ind w:left="5103"/>
        <w:rPr>
          <w:rFonts w:cs="Arial"/>
          <w:b/>
          <w:sz w:val="24"/>
          <w:szCs w:val="20"/>
          <w:lang w:val="en-GB" w:eastAsia="fr-BE"/>
        </w:rPr>
      </w:pPr>
      <w:r w:rsidRPr="00756DA5">
        <w:rPr>
          <w:rFonts w:cs="Arial"/>
          <w:b/>
          <w:sz w:val="24"/>
          <w:szCs w:val="20"/>
          <w:lang w:val="en-GB" w:eastAsia="fr-BE"/>
        </w:rPr>
        <w:t>RSCOM17-22rev1</w:t>
      </w:r>
    </w:p>
    <w:p w:rsidR="00DA360A" w:rsidRPr="00756DA5" w:rsidRDefault="00DA360A" w:rsidP="00DA360A">
      <w:pPr>
        <w:rPr>
          <w:rFonts w:cs="Arial"/>
          <w:b/>
          <w:lang w:val="en-GB"/>
        </w:rPr>
      </w:pPr>
    </w:p>
    <w:p w:rsidR="00DA360A" w:rsidRPr="00756DA5" w:rsidRDefault="00DA360A" w:rsidP="00DA360A">
      <w:pPr>
        <w:pStyle w:val="AddressTR"/>
        <w:pBdr>
          <w:top w:val="double" w:sz="4" w:space="1" w:color="auto"/>
          <w:left w:val="double" w:sz="4" w:space="4" w:color="auto"/>
          <w:bottom w:val="double" w:sz="4" w:space="1" w:color="auto"/>
          <w:right w:val="double" w:sz="4" w:space="3" w:color="auto"/>
        </w:pBdr>
        <w:jc w:val="center"/>
        <w:rPr>
          <w:rFonts w:ascii="Arial" w:hAnsi="Arial" w:cs="Arial"/>
          <w:b/>
        </w:rPr>
      </w:pPr>
      <w:r w:rsidRPr="00756DA5">
        <w:rPr>
          <w:rFonts w:ascii="Arial" w:hAnsi="Arial" w:cs="Arial"/>
          <w:b/>
        </w:rPr>
        <w:br/>
        <w:t>FINAL</w:t>
      </w:r>
      <w:r w:rsidRPr="00756DA5">
        <w:rPr>
          <w:rFonts w:ascii="Arial" w:hAnsi="Arial" w:cs="Arial"/>
          <w:b/>
        </w:rPr>
        <w:br/>
      </w:r>
    </w:p>
    <w:p w:rsidR="00DA360A" w:rsidRPr="00756DA5" w:rsidRDefault="00DA360A" w:rsidP="00DA360A">
      <w:pPr>
        <w:tabs>
          <w:tab w:val="left" w:pos="3205"/>
        </w:tabs>
        <w:rPr>
          <w:rFonts w:cs="Arial"/>
          <w:b/>
          <w:lang w:val="en-GB"/>
        </w:rPr>
      </w:pPr>
      <w:r w:rsidRPr="00756DA5">
        <w:rPr>
          <w:rFonts w:cs="Arial"/>
          <w:b/>
          <w:lang w:val="en-GB"/>
        </w:rPr>
        <w:tab/>
      </w:r>
    </w:p>
    <w:p w:rsidR="00DA360A" w:rsidRPr="00756DA5" w:rsidRDefault="00DA360A" w:rsidP="00DA360A">
      <w:pPr>
        <w:spacing w:after="240"/>
        <w:jc w:val="center"/>
        <w:rPr>
          <w:rFonts w:cs="Arial"/>
          <w:b/>
          <w:sz w:val="32"/>
          <w:szCs w:val="20"/>
          <w:lang w:val="en-GB" w:eastAsia="fr-BE"/>
        </w:rPr>
      </w:pPr>
      <w:r w:rsidRPr="00756DA5">
        <w:rPr>
          <w:rFonts w:cs="Arial"/>
          <w:b/>
          <w:sz w:val="32"/>
          <w:szCs w:val="20"/>
          <w:lang w:val="en-GB" w:eastAsia="fr-BE"/>
        </w:rPr>
        <w:t>RADIO SPECTRUM COMMITTEE</w:t>
      </w:r>
    </w:p>
    <w:p w:rsidR="00DA360A" w:rsidRPr="00756DA5" w:rsidRDefault="00DA360A" w:rsidP="00DA360A">
      <w:pPr>
        <w:spacing w:after="360"/>
        <w:jc w:val="center"/>
        <w:rPr>
          <w:rFonts w:cs="Arial"/>
          <w:b/>
          <w:sz w:val="28"/>
          <w:szCs w:val="20"/>
          <w:lang w:val="en-GB" w:eastAsia="fr-BE"/>
        </w:rPr>
      </w:pPr>
      <w:r w:rsidRPr="00756DA5">
        <w:rPr>
          <w:rFonts w:cs="Arial"/>
          <w:b/>
          <w:sz w:val="28"/>
          <w:szCs w:val="20"/>
          <w:lang w:val="en-GB" w:eastAsia="fr-BE"/>
        </w:rPr>
        <w:t>Working Document</w:t>
      </w:r>
    </w:p>
    <w:p w:rsidR="00DA360A" w:rsidRPr="00756DA5" w:rsidRDefault="00DA360A" w:rsidP="00DA360A">
      <w:pPr>
        <w:pBdr>
          <w:top w:val="double" w:sz="4" w:space="1" w:color="auto"/>
          <w:left w:val="double" w:sz="4" w:space="4" w:color="auto"/>
          <w:bottom w:val="double" w:sz="4" w:space="5" w:color="auto"/>
          <w:right w:val="double" w:sz="4" w:space="4" w:color="auto"/>
        </w:pBdr>
        <w:tabs>
          <w:tab w:val="center" w:pos="4308"/>
          <w:tab w:val="left" w:pos="7035"/>
        </w:tabs>
        <w:spacing w:after="240"/>
        <w:jc w:val="center"/>
        <w:rPr>
          <w:rFonts w:cs="Arial"/>
          <w:b/>
          <w:sz w:val="24"/>
          <w:lang w:val="en-GB" w:eastAsia="fr-BE"/>
        </w:rPr>
      </w:pPr>
      <w:r w:rsidRPr="00756DA5">
        <w:rPr>
          <w:rFonts w:cs="Arial"/>
          <w:b/>
          <w:sz w:val="24"/>
          <w:lang w:val="en-GB" w:eastAsia="fr-BE"/>
        </w:rPr>
        <w:t xml:space="preserve">Opinion of the RSC </w:t>
      </w:r>
      <w:r w:rsidRPr="00756DA5">
        <w:rPr>
          <w:rFonts w:cs="Arial"/>
          <w:b/>
          <w:sz w:val="24"/>
          <w:lang w:val="en-GB" w:eastAsia="fr-BE"/>
        </w:rPr>
        <w:br/>
        <w:t>pursuant to Advisory Procedure under Article 4 of Regulation 182/2011/EU and Article 4.2 of Radio Spectrum Decision 676/2002/EC</w:t>
      </w:r>
    </w:p>
    <w:p w:rsidR="00DA360A" w:rsidRPr="00756DA5" w:rsidRDefault="00DA360A" w:rsidP="00DA360A">
      <w:pPr>
        <w:spacing w:before="240" w:after="240"/>
        <w:ind w:left="1418" w:hanging="1418"/>
        <w:rPr>
          <w:rFonts w:cs="Arial"/>
          <w:b/>
          <w:sz w:val="24"/>
          <w:szCs w:val="20"/>
          <w:lang w:val="en-GB" w:eastAsia="fr-BE"/>
        </w:rPr>
      </w:pPr>
    </w:p>
    <w:p w:rsidR="00DA360A" w:rsidRPr="00756DA5" w:rsidRDefault="00DA360A" w:rsidP="00DA360A">
      <w:pPr>
        <w:spacing w:before="240" w:after="240"/>
        <w:ind w:left="1418" w:hanging="1418"/>
        <w:jc w:val="both"/>
        <w:rPr>
          <w:rFonts w:cs="Arial"/>
          <w:b/>
          <w:sz w:val="24"/>
          <w:szCs w:val="20"/>
          <w:lang w:val="en-GB" w:eastAsia="fr-BE"/>
        </w:rPr>
      </w:pPr>
      <w:r w:rsidRPr="00756DA5">
        <w:rPr>
          <w:rFonts w:cs="Arial"/>
          <w:b/>
          <w:sz w:val="24"/>
          <w:szCs w:val="20"/>
          <w:lang w:val="en-GB" w:eastAsia="fr-BE"/>
        </w:rPr>
        <w:t>Subject:</w:t>
      </w:r>
      <w:r w:rsidRPr="00756DA5">
        <w:rPr>
          <w:rFonts w:cs="Arial"/>
          <w:b/>
          <w:sz w:val="24"/>
          <w:szCs w:val="20"/>
          <w:lang w:val="en-GB" w:eastAsia="fr-BE"/>
        </w:rPr>
        <w:tab/>
        <w:t>Mandate to CEPT to review the harmonised technical conditions for use of the 900 MHz and 1800 MHz frequency bands for terrestrial wireless broadband electronic communications services in support of the Internet of Things in the Union</w:t>
      </w:r>
    </w:p>
    <w:p w:rsidR="00DA360A" w:rsidRPr="00756DA5" w:rsidRDefault="00DA360A" w:rsidP="00DA360A">
      <w:pPr>
        <w:spacing w:before="240" w:after="240"/>
        <w:ind w:left="1418" w:hanging="1418"/>
        <w:jc w:val="both"/>
        <w:rPr>
          <w:rFonts w:cs="Arial"/>
          <w:b/>
          <w:sz w:val="24"/>
          <w:szCs w:val="20"/>
          <w:lang w:val="en-GB" w:eastAsia="fr-BE"/>
        </w:rPr>
      </w:pPr>
    </w:p>
    <w:p w:rsidR="00DA360A" w:rsidRPr="00756DA5" w:rsidRDefault="00DA360A" w:rsidP="00DA360A">
      <w:pPr>
        <w:spacing w:before="240" w:after="240"/>
        <w:ind w:left="1418" w:hanging="1418"/>
        <w:jc w:val="both"/>
        <w:rPr>
          <w:rFonts w:cs="Arial"/>
          <w:b/>
          <w:sz w:val="24"/>
          <w:szCs w:val="20"/>
          <w:lang w:val="en-GB" w:eastAsia="fr-BE"/>
        </w:rPr>
      </w:pPr>
    </w:p>
    <w:p w:rsidR="00DA360A" w:rsidRPr="00756DA5" w:rsidRDefault="00DA360A" w:rsidP="00DA360A">
      <w:pPr>
        <w:pBdr>
          <w:top w:val="single" w:sz="4" w:space="1" w:color="auto"/>
          <w:left w:val="single" w:sz="4" w:space="4" w:color="auto"/>
          <w:bottom w:val="single" w:sz="4" w:space="1" w:color="auto"/>
          <w:right w:val="single" w:sz="4" w:space="4" w:color="auto"/>
        </w:pBdr>
        <w:spacing w:after="240"/>
        <w:jc w:val="center"/>
        <w:rPr>
          <w:rFonts w:cs="Arial"/>
          <w:i/>
          <w:snapToGrid w:val="0"/>
          <w:sz w:val="24"/>
          <w:szCs w:val="20"/>
          <w:lang w:val="en-GB"/>
        </w:rPr>
      </w:pPr>
      <w:r w:rsidRPr="00756DA5">
        <w:rPr>
          <w:rFonts w:cs="Arial"/>
          <w:i/>
          <w:snapToGrid w:val="0"/>
          <w:sz w:val="24"/>
          <w:szCs w:val="20"/>
          <w:lang w:val="en-GB"/>
        </w:rPr>
        <w:t>This is a Committee working document which does not necessarily reflect the official position of the Commission. No inferences should be drawn from this document as to the precise form or content of future measures to be submitted by the Commission. The Commission accepts no responsibility or liability whatsoever with regard to any information or data referred to in this document.</w:t>
      </w:r>
    </w:p>
    <w:p w:rsidR="00DA360A" w:rsidRPr="00756DA5" w:rsidRDefault="00DA360A" w:rsidP="00DA360A">
      <w:pPr>
        <w:rPr>
          <w:rFonts w:cs="Arial"/>
          <w:b/>
          <w:smallCaps/>
          <w:sz w:val="24"/>
          <w:lang w:val="en-GB"/>
        </w:rPr>
      </w:pPr>
      <w:r w:rsidRPr="00756DA5">
        <w:rPr>
          <w:rFonts w:cs="Arial"/>
          <w:b/>
          <w:smallCaps/>
          <w:sz w:val="24"/>
          <w:lang w:val="en-GB"/>
        </w:rPr>
        <w:br w:type="page"/>
      </w:r>
    </w:p>
    <w:p w:rsidR="00DA360A" w:rsidRPr="00756DA5" w:rsidRDefault="00DA360A" w:rsidP="00DA360A">
      <w:pPr>
        <w:jc w:val="center"/>
        <w:rPr>
          <w:rFonts w:cs="Arial"/>
          <w:b/>
          <w:smallCaps/>
          <w:sz w:val="24"/>
          <w:lang w:val="en-GB"/>
        </w:rPr>
      </w:pPr>
      <w:r w:rsidRPr="00756DA5">
        <w:rPr>
          <w:rFonts w:cs="Arial"/>
          <w:b/>
          <w:smallCaps/>
          <w:sz w:val="24"/>
          <w:lang w:val="en-GB"/>
        </w:rPr>
        <w:lastRenderedPageBreak/>
        <w:t>MANDATE TO THE CEPT</w:t>
      </w:r>
    </w:p>
    <w:p w:rsidR="00DA360A" w:rsidRPr="00756DA5" w:rsidRDefault="00DA360A" w:rsidP="00DA360A">
      <w:pPr>
        <w:jc w:val="center"/>
        <w:rPr>
          <w:rFonts w:cs="Arial"/>
          <w:b/>
          <w:smallCaps/>
          <w:lang w:val="en-GB"/>
        </w:rPr>
      </w:pPr>
      <w:r w:rsidRPr="00756DA5">
        <w:rPr>
          <w:rFonts w:cs="Arial"/>
          <w:b/>
          <w:smallCaps/>
          <w:lang w:val="en-GB"/>
        </w:rPr>
        <w:t>TO REVIEW THE HARMONISED TECHNICAL CONDITIONS FOR USE OF THE 900 MHZ AND 1800 MHZ FREQUENCY BANDS FOR TERRESTRIAL WIRELESS BROADBAND ELECTRONIC COMMUNICATIONS SERVICES IN SUPPORT OF THE INTERNET OF THINGS IN THE UNION</w:t>
      </w:r>
    </w:p>
    <w:p w:rsidR="00DA360A" w:rsidRPr="00756DA5" w:rsidRDefault="00DA360A" w:rsidP="00DA360A">
      <w:pPr>
        <w:rPr>
          <w:rFonts w:cs="Arial"/>
          <w:b/>
          <w:sz w:val="24"/>
          <w:lang w:val="en-GB"/>
        </w:rPr>
      </w:pPr>
    </w:p>
    <w:p w:rsidR="00DA360A" w:rsidRPr="00756DA5" w:rsidRDefault="00DA360A" w:rsidP="00DA360A">
      <w:pPr>
        <w:rPr>
          <w:rFonts w:cs="Arial"/>
          <w:b/>
          <w:smallCaps/>
          <w:lang w:val="en-GB"/>
        </w:rPr>
      </w:pPr>
      <w:r w:rsidRPr="00756DA5">
        <w:rPr>
          <w:rFonts w:cs="Arial"/>
          <w:b/>
          <w:smallCaps/>
          <w:lang w:val="en-GB"/>
        </w:rPr>
        <w:t>PURPOSE</w:t>
      </w:r>
    </w:p>
    <w:p w:rsidR="00DA360A" w:rsidRPr="00756DA5" w:rsidRDefault="00DA360A" w:rsidP="00DA360A">
      <w:pPr>
        <w:spacing w:after="240"/>
        <w:jc w:val="both"/>
        <w:rPr>
          <w:rFonts w:cs="Arial"/>
          <w:sz w:val="24"/>
          <w:lang w:val="en-GB" w:eastAsia="fr-BE"/>
        </w:rPr>
      </w:pPr>
      <w:r w:rsidRPr="00756DA5">
        <w:rPr>
          <w:rFonts w:cs="Arial"/>
          <w:sz w:val="24"/>
          <w:lang w:val="en-GB" w:eastAsia="fr-BE"/>
        </w:rPr>
        <w:t xml:space="preserve">This Mandate aims at reviewing and adapting, if necessary, the EU-harmonised technical conditions for the continued use of the EU-harmonised 880-915 MHz / 925-960 MHz ('900 MHz') and 1710-1785 MHz / 1805-1880 MHz ('1800 MHz') frequency bands for terrestrial wireless broadband (WBB) electronic communications services (ECS) with view to responding to evolution of market demand with particular focus on applications for the Internet of Things (IoT) including machine-type communications. Its deliverables should observe the principle of technology and service neutrality, promote flexible and efficient spectrum use and facilitate economies of scale of equipment. </w:t>
      </w:r>
    </w:p>
    <w:p w:rsidR="00DA360A" w:rsidRPr="00756DA5" w:rsidRDefault="00DA360A" w:rsidP="00DA360A">
      <w:pPr>
        <w:spacing w:after="240"/>
        <w:jc w:val="both"/>
        <w:rPr>
          <w:rFonts w:cs="Arial"/>
          <w:sz w:val="24"/>
          <w:lang w:val="en-GB" w:eastAsia="fr-BE"/>
        </w:rPr>
      </w:pPr>
      <w:r w:rsidRPr="00756DA5">
        <w:rPr>
          <w:rFonts w:cs="Arial"/>
          <w:sz w:val="24"/>
          <w:lang w:val="en-GB" w:eastAsia="fr-BE"/>
        </w:rPr>
        <w:t xml:space="preserve">The Commission is monitoring standardisation and market developments related to 5G and will assess in due time the need to amend the technical conditions in both bands, based on a follow-up mandate to CEPT, in order to ensure these are '5G-ready'. </w:t>
      </w:r>
    </w:p>
    <w:p w:rsidR="00DA360A" w:rsidRPr="00756DA5" w:rsidRDefault="00DA360A" w:rsidP="00DA360A">
      <w:pPr>
        <w:spacing w:after="240"/>
        <w:rPr>
          <w:rFonts w:cs="Arial"/>
          <w:b/>
          <w:smallCaps/>
          <w:lang w:val="en-GB"/>
        </w:rPr>
      </w:pPr>
    </w:p>
    <w:p w:rsidR="00DA360A" w:rsidRPr="00756DA5" w:rsidRDefault="00DA360A" w:rsidP="00DA360A">
      <w:pPr>
        <w:spacing w:after="240"/>
        <w:rPr>
          <w:rFonts w:cs="Arial"/>
          <w:b/>
          <w:smallCaps/>
          <w:lang w:val="en-GB"/>
        </w:rPr>
      </w:pPr>
      <w:r w:rsidRPr="00756DA5">
        <w:rPr>
          <w:rFonts w:cs="Arial"/>
          <w:b/>
          <w:smallCaps/>
          <w:lang w:val="en-GB"/>
        </w:rPr>
        <w:t>POLICY CONTEXT AND INPUTS</w:t>
      </w:r>
    </w:p>
    <w:p w:rsidR="00DA360A" w:rsidRPr="00756DA5" w:rsidRDefault="00DA360A" w:rsidP="00DA360A">
      <w:pPr>
        <w:spacing w:after="240"/>
        <w:jc w:val="both"/>
        <w:rPr>
          <w:rFonts w:cs="Arial"/>
          <w:sz w:val="24"/>
          <w:lang w:val="en-GB" w:eastAsia="fr-BE"/>
        </w:rPr>
      </w:pPr>
      <w:r w:rsidRPr="00756DA5">
        <w:rPr>
          <w:rFonts w:cs="Arial"/>
          <w:sz w:val="24"/>
          <w:lang w:val="en-GB" w:eastAsia="fr-BE"/>
        </w:rPr>
        <w:t xml:space="preserve">The ITU-R vision for the next-generation (5G) mobile telecommunications sets out three major 5G usage scenarios – enhanced mobile broadband, massive machine type communications, and ultra-reliable and low latency communications. In particular, the latter two scenarios imply that pervasive IoT wireless communications are timely integrated in spectrum usage conditions for relevant EU-harmonised bands. </w:t>
      </w:r>
    </w:p>
    <w:p w:rsidR="00DA360A" w:rsidRPr="00756DA5" w:rsidRDefault="00DA360A" w:rsidP="00DA360A">
      <w:pPr>
        <w:spacing w:after="240"/>
        <w:jc w:val="both"/>
        <w:rPr>
          <w:rFonts w:cs="Arial"/>
          <w:sz w:val="24"/>
          <w:lang w:val="en-GB" w:eastAsia="fr-BE"/>
        </w:rPr>
      </w:pPr>
      <w:r w:rsidRPr="00756DA5">
        <w:rPr>
          <w:rFonts w:cs="Arial"/>
          <w:sz w:val="24"/>
          <w:lang w:val="en-GB" w:eastAsia="fr-BE"/>
        </w:rPr>
        <w:t>In terms of IoT, there are multiple technologies using different bands. Regarding mobile cellular bands, three novel technologies have been defined: (i) Extended Coverage GSM IoT, (ii) LTE Machine Type Communication (MTC) and evolved MTC (eMTC), and (iii) Narrowband IoT (NB-IoT) which can operate in an in-band, guard-band or stand-alone mode. These technologies can be readily used in bands designated for terrestrial WBB ECS. 5G standardisation is making progress at 3GPP</w:t>
      </w:r>
      <w:r w:rsidRPr="00756DA5">
        <w:rPr>
          <w:rStyle w:val="FootnoteReference"/>
          <w:rFonts w:cs="Arial"/>
          <w:sz w:val="24"/>
          <w:lang w:val="en-GB" w:eastAsia="fr-BE"/>
        </w:rPr>
        <w:footnoteReference w:id="2"/>
      </w:r>
      <w:r w:rsidRPr="00756DA5">
        <w:rPr>
          <w:rFonts w:cs="Arial"/>
          <w:sz w:val="24"/>
          <w:lang w:val="en-GB" w:eastAsia="fr-BE"/>
        </w:rPr>
        <w:t xml:space="preserve"> with the goal to deliver comprehensive norms, including on IoT use, at the end of 2019. A major track of 5G standardisation is dedicated to the so-called New Radio (NR) interface. </w:t>
      </w:r>
    </w:p>
    <w:p w:rsidR="00DA360A" w:rsidRPr="00756DA5" w:rsidRDefault="00DA360A" w:rsidP="00DA360A">
      <w:pPr>
        <w:spacing w:after="240"/>
        <w:jc w:val="both"/>
        <w:rPr>
          <w:rFonts w:cs="Arial"/>
          <w:sz w:val="24"/>
          <w:lang w:val="en-GB" w:eastAsia="fr-BE"/>
        </w:rPr>
      </w:pPr>
      <w:r w:rsidRPr="00756DA5">
        <w:rPr>
          <w:rFonts w:cs="Arial"/>
          <w:sz w:val="24"/>
          <w:lang w:val="en-GB" w:eastAsia="fr-BE"/>
        </w:rPr>
        <w:t>The 900 MHz and 1800 MHz frequency bands are harmonised for terrestrial WBB ECS</w:t>
      </w:r>
      <w:r w:rsidRPr="00756DA5">
        <w:rPr>
          <w:rStyle w:val="FootnoteReference"/>
          <w:rFonts w:cs="Arial"/>
          <w:sz w:val="24"/>
          <w:lang w:val="en-GB" w:eastAsia="fr-BE"/>
        </w:rPr>
        <w:footnoteReference w:id="3"/>
      </w:r>
      <w:r w:rsidRPr="00756DA5">
        <w:rPr>
          <w:rFonts w:cs="Arial"/>
          <w:sz w:val="24"/>
          <w:lang w:val="en-GB" w:eastAsia="fr-BE"/>
        </w:rPr>
        <w:t xml:space="preserve"> in a technology-neutral way on the basis of multiple wireless communications standards, which ensure coexistence with GSM systems. At present, the 1800 MHz band is a leading band for 4G deployments as it accommodates more than 45% of the world-wide LTE networks</w:t>
      </w:r>
      <w:r w:rsidRPr="00756DA5">
        <w:rPr>
          <w:rStyle w:val="FootnoteReference"/>
          <w:rFonts w:cs="Arial"/>
          <w:sz w:val="24"/>
          <w:lang w:val="en-GB" w:eastAsia="fr-BE"/>
        </w:rPr>
        <w:footnoteReference w:id="4"/>
      </w:r>
      <w:r w:rsidRPr="00756DA5">
        <w:rPr>
          <w:rFonts w:cs="Arial"/>
          <w:sz w:val="24"/>
          <w:lang w:val="en-GB" w:eastAsia="fr-BE"/>
        </w:rPr>
        <w:t>. At the same time, both bands are still used for 2G technology (GSM and its enhancements), including for machine-type communications.</w:t>
      </w:r>
    </w:p>
    <w:p w:rsidR="00DA360A" w:rsidRPr="00756DA5" w:rsidRDefault="00DA360A" w:rsidP="00DA360A">
      <w:pPr>
        <w:spacing w:after="240"/>
        <w:jc w:val="both"/>
        <w:rPr>
          <w:rFonts w:cs="Arial"/>
          <w:sz w:val="24"/>
          <w:lang w:val="en-GB" w:eastAsia="fr-BE"/>
        </w:rPr>
      </w:pPr>
      <w:r w:rsidRPr="00756DA5">
        <w:rPr>
          <w:rFonts w:cs="Arial"/>
          <w:sz w:val="24"/>
          <w:lang w:val="en-GB" w:eastAsia="fr-BE"/>
        </w:rPr>
        <w:t>In its Spectrum Roadmap for IoT</w:t>
      </w:r>
      <w:r w:rsidRPr="00756DA5">
        <w:rPr>
          <w:rStyle w:val="FootnoteReference"/>
          <w:rFonts w:cs="Arial"/>
          <w:sz w:val="24"/>
          <w:lang w:val="en-GB" w:eastAsia="fr-BE"/>
        </w:rPr>
        <w:footnoteReference w:id="5"/>
      </w:r>
      <w:r w:rsidRPr="00756DA5">
        <w:rPr>
          <w:rFonts w:cs="Arial"/>
          <w:sz w:val="24"/>
          <w:lang w:val="en-GB" w:eastAsia="fr-BE"/>
        </w:rPr>
        <w:t xml:space="preserve">, the Radio Spectrum Policy Group (RSPG) takes the view that designating additional bands for IoT is not needed as further access to spectrum </w:t>
      </w:r>
      <w:r w:rsidRPr="00756DA5">
        <w:rPr>
          <w:rFonts w:cs="Arial"/>
          <w:sz w:val="24"/>
          <w:lang w:val="en-GB" w:eastAsia="fr-BE"/>
        </w:rPr>
        <w:lastRenderedPageBreak/>
        <w:t>for IoT can be enabled in other ways, including through technical harmonisation measures which allow IoT use. In this regard, as frequency bands designated for WBB ECS may be used for emerging IoT applications and services, it should be ensured in line with the principle of technology neutrality that the existing harmonised technical conditions in such bands fit with IoT requirements.</w:t>
      </w:r>
    </w:p>
    <w:p w:rsidR="00DA360A" w:rsidRPr="00756DA5" w:rsidRDefault="00DA360A" w:rsidP="00DA360A">
      <w:pPr>
        <w:spacing w:after="240"/>
        <w:jc w:val="both"/>
        <w:rPr>
          <w:rFonts w:cs="Arial"/>
          <w:sz w:val="24"/>
          <w:lang w:val="en-GB" w:eastAsia="fr-BE"/>
        </w:rPr>
      </w:pPr>
      <w:r w:rsidRPr="00756DA5">
        <w:rPr>
          <w:rFonts w:cs="Arial"/>
          <w:sz w:val="24"/>
          <w:lang w:val="en-GB" w:eastAsia="fr-BE"/>
        </w:rPr>
        <w:t xml:space="preserve">Therefore, the suitability of the EU regulatory framework for the 900 MHz and 1800 MHz bands needs to be studied with particular focus on IoT applications. Such approach would incentivise investment, reduce equipment cost and capital expenditure through economies of scale, and render benefits for businesses and citizens. For the sake of  continuity in the regulatory framework, these studies should focus on applicable </w:t>
      </w:r>
      <w:r w:rsidRPr="00756DA5">
        <w:rPr>
          <w:rFonts w:cs="Arial"/>
          <w:i/>
          <w:sz w:val="24"/>
          <w:lang w:val="en-GB" w:eastAsia="fr-BE"/>
        </w:rPr>
        <w:t xml:space="preserve">standards </w:t>
      </w:r>
      <w:r w:rsidRPr="00756DA5">
        <w:rPr>
          <w:rFonts w:cs="Arial"/>
          <w:sz w:val="24"/>
          <w:lang w:val="en-GB" w:eastAsia="fr-BE"/>
        </w:rPr>
        <w:t>and relevant frequency parameters and also ensure co-existence with current deployments in both bands.</w:t>
      </w:r>
    </w:p>
    <w:p w:rsidR="00DA360A" w:rsidRPr="00756DA5" w:rsidRDefault="00DA360A" w:rsidP="00DA360A">
      <w:pPr>
        <w:spacing w:after="240"/>
        <w:jc w:val="both"/>
        <w:rPr>
          <w:rFonts w:cs="Arial"/>
          <w:sz w:val="24"/>
          <w:lang w:val="en-GB" w:eastAsia="fr-BE"/>
        </w:rPr>
      </w:pPr>
      <w:r w:rsidRPr="00756DA5">
        <w:rPr>
          <w:rFonts w:cs="Arial"/>
          <w:sz w:val="24"/>
          <w:lang w:val="en-GB" w:eastAsia="fr-BE"/>
        </w:rPr>
        <w:t>CEPT has completed analysis of the technical conditions for the future deployment of wideband and narrowband machine-to-machine communications in EU-harmonised bands currently in use for terrestrial WBB ECS (s. ECC Report 266</w:t>
      </w:r>
      <w:r w:rsidRPr="00756DA5">
        <w:rPr>
          <w:rStyle w:val="FootnoteReference"/>
          <w:rFonts w:cs="Arial"/>
          <w:sz w:val="24"/>
          <w:lang w:val="en-GB" w:eastAsia="fr-BE"/>
        </w:rPr>
        <w:footnoteReference w:id="6"/>
      </w:r>
      <w:r w:rsidRPr="00756DA5">
        <w:rPr>
          <w:rFonts w:cs="Arial"/>
          <w:sz w:val="24"/>
          <w:lang w:val="en-GB" w:eastAsia="fr-BE"/>
        </w:rPr>
        <w:t xml:space="preserve">). The outcome of these studies would generate synergies in delivering results under this Mandate within a short timeframe and may also advise on the need to review the technical conditions in other EU-harmonised bands. According to ECC Report 266, for the EU-harmonised frequency bands under FDD mode other than the 900 MHz and 1800 MHz bands, the current regulatory framework based on least restrictive technical conditions (BEM) does not require a particular update for usage for IoT, including the three novel technologies as described above. </w:t>
      </w:r>
    </w:p>
    <w:p w:rsidR="00DA360A" w:rsidRPr="00756DA5" w:rsidRDefault="00DA360A" w:rsidP="00DA360A">
      <w:pPr>
        <w:spacing w:after="240"/>
        <w:jc w:val="both"/>
        <w:rPr>
          <w:rFonts w:cs="Arial"/>
          <w:sz w:val="24"/>
          <w:lang w:val="en-GB" w:eastAsia="fr-BE"/>
        </w:rPr>
      </w:pPr>
      <w:r w:rsidRPr="00756DA5">
        <w:rPr>
          <w:rFonts w:cs="Arial"/>
          <w:sz w:val="24"/>
          <w:lang w:val="en-GB" w:eastAsia="fr-BE"/>
        </w:rPr>
        <w:t>In its "Strategic Roadmap towards 5G for Europe: Opinion on spectrum related aspects for next-generation wireless systems (5G)"</w:t>
      </w:r>
      <w:r w:rsidRPr="00756DA5">
        <w:rPr>
          <w:rStyle w:val="FootnoteReference"/>
          <w:rFonts w:cs="Arial"/>
          <w:sz w:val="24"/>
          <w:lang w:val="en-GB" w:eastAsia="fr-BE"/>
        </w:rPr>
        <w:footnoteReference w:id="7"/>
      </w:r>
      <w:r w:rsidRPr="00756DA5">
        <w:rPr>
          <w:rFonts w:cs="Arial"/>
          <w:sz w:val="24"/>
          <w:lang w:val="en-GB" w:eastAsia="fr-BE"/>
        </w:rPr>
        <w:t xml:space="preserve">, the RSPG recognises the need to ensure that technical and regulatory conditions for all EU-harmonised frequency bands for wireless broadband electronic communications services </w:t>
      </w:r>
      <w:r w:rsidRPr="00756DA5">
        <w:rPr>
          <w:rFonts w:cs="Arial"/>
          <w:i/>
          <w:sz w:val="24"/>
          <w:lang w:val="en-GB" w:eastAsia="fr-BE"/>
        </w:rPr>
        <w:t>are fit for 5G use.</w:t>
      </w:r>
      <w:r w:rsidRPr="00756DA5">
        <w:rPr>
          <w:rFonts w:cs="Arial"/>
          <w:sz w:val="24"/>
          <w:lang w:val="en-GB" w:eastAsia="fr-BE"/>
        </w:rPr>
        <w:t xml:space="preserve"> The Commission services are monitoring technology and market developments on 5G and will respond to any need to amend the technical conditions of EU-harmonised bands used for terrestrial WBB ECS (including the 900 MHz and 1800 MHz bands) in a follow-up mandate to CEPT. </w:t>
      </w:r>
    </w:p>
    <w:p w:rsidR="00DA360A" w:rsidRPr="00756DA5" w:rsidRDefault="00DA360A" w:rsidP="00DA360A">
      <w:pPr>
        <w:rPr>
          <w:rFonts w:cs="Arial"/>
          <w:b/>
          <w:lang w:val="en-GB"/>
        </w:rPr>
      </w:pPr>
    </w:p>
    <w:p w:rsidR="00DA360A" w:rsidRPr="00756DA5" w:rsidRDefault="00DA360A" w:rsidP="00DA360A">
      <w:pPr>
        <w:rPr>
          <w:rFonts w:cs="Arial"/>
          <w:b/>
          <w:lang w:val="en-GB"/>
        </w:rPr>
      </w:pPr>
      <w:r w:rsidRPr="00756DA5">
        <w:rPr>
          <w:rFonts w:cs="Arial"/>
          <w:b/>
          <w:lang w:val="en-GB"/>
        </w:rPr>
        <w:t>JUSTIFICATION</w:t>
      </w:r>
    </w:p>
    <w:p w:rsidR="00DA360A" w:rsidRPr="00756DA5" w:rsidRDefault="00DA360A" w:rsidP="00DA360A">
      <w:pPr>
        <w:spacing w:after="240"/>
        <w:jc w:val="both"/>
        <w:rPr>
          <w:rFonts w:cs="Arial"/>
          <w:sz w:val="24"/>
          <w:szCs w:val="20"/>
          <w:lang w:val="en-GB" w:eastAsia="fr-BE"/>
        </w:rPr>
      </w:pPr>
      <w:r w:rsidRPr="00756DA5">
        <w:rPr>
          <w:rFonts w:cs="Arial"/>
          <w:sz w:val="24"/>
          <w:szCs w:val="20"/>
          <w:lang w:val="en-GB" w:eastAsia="fr-BE"/>
        </w:rPr>
        <w:t xml:space="preserve">Pursuant to Article 4(2) of the Radio Spectrum Decision the Commission may issue mandates to the CEPT for the development of technical implementing measures with a view to ensuring harmonised conditions for the availability and efficient use of radio spectrum necessary for the functioning of the internal market. Such mandates shall set the tasks to be performed and their timetable. Pursuant to Article 1 of the Radio Spectrum Decision, activities under the Decision must facilitate policy making with regard to the strategic planning and harmonisation of radio spectrum use as well as ensure the effective implementation of radio spectrum policy in the EU while serving the aim of coordination of policy approaches. Furthermore, they shall take due account of the work of international organisations related to spectrum management such as the ITU and the CEPT. </w:t>
      </w:r>
    </w:p>
    <w:p w:rsidR="00DA360A" w:rsidRPr="00756DA5" w:rsidRDefault="00DA360A" w:rsidP="00DA360A">
      <w:pPr>
        <w:spacing w:after="240"/>
        <w:jc w:val="both"/>
        <w:rPr>
          <w:rFonts w:cs="Arial"/>
          <w:sz w:val="24"/>
          <w:szCs w:val="20"/>
          <w:lang w:val="en-GB" w:eastAsia="fr-BE"/>
        </w:rPr>
      </w:pPr>
      <w:r w:rsidRPr="00756DA5">
        <w:rPr>
          <w:rFonts w:cs="Arial"/>
          <w:sz w:val="24"/>
          <w:szCs w:val="20"/>
          <w:lang w:val="en-GB" w:eastAsia="fr-BE"/>
        </w:rPr>
        <w:lastRenderedPageBreak/>
        <w:t>The Radio Spectrum Policy Programme (RSPP) requires Member States and the Commission to foster the development of standards and the harmonisation of spectrum allocation for IoT communications across the Union</w:t>
      </w:r>
      <w:r w:rsidRPr="00756DA5">
        <w:rPr>
          <w:rStyle w:val="FootnoteReference"/>
          <w:rFonts w:cs="Arial"/>
          <w:sz w:val="24"/>
          <w:szCs w:val="20"/>
          <w:lang w:val="en-GB" w:eastAsia="fr-BE"/>
        </w:rPr>
        <w:footnoteReference w:id="8"/>
      </w:r>
      <w:r w:rsidRPr="00756DA5">
        <w:rPr>
          <w:rFonts w:cs="Arial"/>
          <w:sz w:val="24"/>
          <w:szCs w:val="20"/>
          <w:lang w:val="en-GB" w:eastAsia="fr-BE"/>
        </w:rPr>
        <w:t xml:space="preserve">. </w:t>
      </w:r>
    </w:p>
    <w:p w:rsidR="00DA360A" w:rsidRPr="00756DA5" w:rsidRDefault="00DA360A" w:rsidP="00DA360A">
      <w:pPr>
        <w:spacing w:after="240"/>
        <w:jc w:val="both"/>
        <w:rPr>
          <w:rFonts w:cs="Arial"/>
          <w:sz w:val="24"/>
          <w:szCs w:val="20"/>
          <w:lang w:val="en-GB" w:eastAsia="fr-BE"/>
        </w:rPr>
      </w:pPr>
      <w:r w:rsidRPr="00756DA5">
        <w:rPr>
          <w:rFonts w:cs="Arial"/>
          <w:sz w:val="24"/>
          <w:szCs w:val="20"/>
          <w:lang w:val="en-GB" w:eastAsia="fr-BE"/>
        </w:rPr>
        <w:t>Advances in standardisation regarding IoT, also relevant for the evolution towards 5G, call for a swift and coordinated Union-level process on updating the technical conditions in EU-harmonised bands, wherever necessary. Therefore, the harmonised technical conditions for terrestrial WBB ECS in the 900 and 1800 MHz frequency bands should be reviewed and timely adapted to cater for growing IoT use in the short term. Such approach will contribute to the overarching Union policy objective of providing high-quality (wireless) connectivity</w:t>
      </w:r>
      <w:r w:rsidRPr="00756DA5">
        <w:rPr>
          <w:rFonts w:cs="Arial"/>
          <w:sz w:val="24"/>
          <w:lang w:val="en-GB" w:eastAsia="fr-BE"/>
        </w:rPr>
        <w:t>.</w:t>
      </w:r>
    </w:p>
    <w:p w:rsidR="00DA360A" w:rsidRPr="00756DA5" w:rsidRDefault="00DA360A" w:rsidP="00DA360A">
      <w:pPr>
        <w:rPr>
          <w:rFonts w:cs="Arial"/>
          <w:b/>
          <w:lang w:val="en-GB"/>
        </w:rPr>
      </w:pPr>
    </w:p>
    <w:p w:rsidR="00DA360A" w:rsidRPr="00756DA5" w:rsidRDefault="00DA360A" w:rsidP="00DA360A">
      <w:pPr>
        <w:rPr>
          <w:rFonts w:cs="Arial"/>
          <w:b/>
          <w:lang w:val="en-GB"/>
        </w:rPr>
      </w:pPr>
      <w:r w:rsidRPr="00756DA5">
        <w:rPr>
          <w:rFonts w:cs="Arial"/>
          <w:b/>
          <w:lang w:val="en-GB"/>
        </w:rPr>
        <w:t xml:space="preserve">TASK ORDER AND SCHEDULE </w:t>
      </w:r>
    </w:p>
    <w:p w:rsidR="00DA360A" w:rsidRPr="00756DA5" w:rsidRDefault="00DA360A" w:rsidP="00DA360A">
      <w:pPr>
        <w:spacing w:after="240"/>
        <w:jc w:val="both"/>
        <w:rPr>
          <w:rFonts w:cs="Arial"/>
          <w:sz w:val="24"/>
          <w:szCs w:val="20"/>
          <w:lang w:val="en-GB" w:eastAsia="fr-BE"/>
        </w:rPr>
      </w:pPr>
      <w:r w:rsidRPr="00756DA5">
        <w:rPr>
          <w:rFonts w:cs="Arial"/>
          <w:sz w:val="24"/>
          <w:szCs w:val="20"/>
          <w:lang w:val="en-GB" w:eastAsia="fr-BE"/>
        </w:rPr>
        <w:t xml:space="preserve">CEPT is herewith mandated to review the </w:t>
      </w:r>
      <w:r w:rsidRPr="00756DA5">
        <w:rPr>
          <w:rFonts w:cs="Arial"/>
          <w:sz w:val="24"/>
          <w:lang w:val="en-GB" w:eastAsia="fr-BE"/>
        </w:rPr>
        <w:t>harmonised technical conditions for spectrum use in the 900 MHz and 1800 MHz frequency bands for the continued provision of</w:t>
      </w:r>
      <w:r w:rsidRPr="00756DA5">
        <w:rPr>
          <w:rFonts w:cs="Arial"/>
          <w:sz w:val="24"/>
          <w:szCs w:val="20"/>
          <w:lang w:val="en-GB" w:eastAsia="fr-BE"/>
        </w:rPr>
        <w:t xml:space="preserve"> terrestrial wireless broadband electronic communications services with view to supporting </w:t>
      </w:r>
      <w:r w:rsidRPr="00756DA5">
        <w:rPr>
          <w:rFonts w:cs="Arial"/>
          <w:sz w:val="24"/>
          <w:lang w:val="en-GB" w:eastAsia="fr-BE"/>
        </w:rPr>
        <w:t xml:space="preserve">IoT usage scenarios and applications. CEPT should give </w:t>
      </w:r>
      <w:r w:rsidRPr="00756DA5">
        <w:rPr>
          <w:rFonts w:cs="Arial"/>
          <w:sz w:val="24"/>
          <w:szCs w:val="20"/>
          <w:lang w:val="en-GB" w:eastAsia="fr-BE"/>
        </w:rPr>
        <w:t>utmost consideration</w:t>
      </w:r>
      <w:r w:rsidRPr="00756DA5">
        <w:rPr>
          <w:rFonts w:cs="Arial"/>
          <w:sz w:val="24"/>
          <w:lang w:val="en-GB" w:eastAsia="fr-BE"/>
        </w:rPr>
        <w:t xml:space="preserve"> to </w:t>
      </w:r>
      <w:r w:rsidRPr="00756DA5">
        <w:rPr>
          <w:rFonts w:cs="Arial"/>
          <w:sz w:val="24"/>
          <w:szCs w:val="20"/>
          <w:lang w:val="en-GB" w:eastAsia="fr-BE"/>
        </w:rPr>
        <w:t>overarching Union-level spectrum policy objectives</w:t>
      </w:r>
      <w:r w:rsidRPr="00756DA5">
        <w:rPr>
          <w:rFonts w:cs="Arial"/>
          <w:sz w:val="24"/>
          <w:szCs w:val="20"/>
          <w:vertAlign w:val="superscript"/>
          <w:lang w:val="en-GB" w:eastAsia="fr-BE"/>
        </w:rPr>
        <w:footnoteReference w:id="9"/>
      </w:r>
      <w:r w:rsidRPr="00756DA5">
        <w:rPr>
          <w:rFonts w:cs="Arial"/>
          <w:sz w:val="24"/>
          <w:szCs w:val="20"/>
          <w:lang w:val="en-GB" w:eastAsia="fr-BE"/>
        </w:rPr>
        <w:t xml:space="preserve"> such as efficient spectrum use and take utmost account of applicable principles of Union law such as technological and service neutrality, non-discrimination and proportionality insofar as technically possible. </w:t>
      </w:r>
    </w:p>
    <w:p w:rsidR="00DA360A" w:rsidRPr="00756DA5" w:rsidRDefault="00DA360A" w:rsidP="00DA360A">
      <w:pPr>
        <w:spacing w:after="240"/>
        <w:jc w:val="both"/>
        <w:rPr>
          <w:rFonts w:cs="Arial"/>
          <w:sz w:val="24"/>
          <w:szCs w:val="20"/>
          <w:lang w:val="en-GB" w:eastAsia="fr-BE"/>
        </w:rPr>
      </w:pPr>
      <w:r w:rsidRPr="00756DA5">
        <w:rPr>
          <w:rFonts w:cs="Arial"/>
          <w:sz w:val="24"/>
          <w:szCs w:val="20"/>
          <w:lang w:val="en-GB" w:eastAsia="fr-BE"/>
        </w:rPr>
        <w:t xml:space="preserve">CEPT is requested to collaborate actively with the European Telecommunications Standardisation Institute (ETSI) which develops harmonised standards for conformity under the Radio Equipment Directive. In particular, CEPT should also take into consideration emerging technologies and ETSI (harmonised) standards which facilitate shared spectrum use and foster economies of scale. </w:t>
      </w:r>
    </w:p>
    <w:p w:rsidR="00DA360A" w:rsidRPr="00756DA5" w:rsidRDefault="00DA360A" w:rsidP="00DA360A">
      <w:pPr>
        <w:spacing w:after="240"/>
        <w:jc w:val="both"/>
        <w:rPr>
          <w:rFonts w:cs="Arial"/>
          <w:sz w:val="24"/>
          <w:szCs w:val="20"/>
          <w:lang w:val="en-GB" w:eastAsia="fr-BE"/>
        </w:rPr>
      </w:pPr>
      <w:r w:rsidRPr="00756DA5">
        <w:rPr>
          <w:rFonts w:cs="Arial"/>
          <w:sz w:val="24"/>
          <w:szCs w:val="20"/>
          <w:lang w:val="en-GB" w:eastAsia="fr-BE"/>
        </w:rPr>
        <w:t xml:space="preserve">In particular, CEPT is </w:t>
      </w:r>
      <w:r w:rsidRPr="00756DA5">
        <w:rPr>
          <w:rFonts w:cs="Arial"/>
          <w:sz w:val="24"/>
          <w:szCs w:val="20"/>
          <w:u w:val="single"/>
          <w:lang w:val="en-GB" w:eastAsia="fr-BE"/>
        </w:rPr>
        <w:t>tasked</w:t>
      </w:r>
      <w:r w:rsidRPr="00756DA5">
        <w:rPr>
          <w:rFonts w:cs="Arial"/>
          <w:sz w:val="24"/>
          <w:szCs w:val="20"/>
          <w:lang w:val="en-GB" w:eastAsia="fr-BE"/>
        </w:rPr>
        <w:t xml:space="preserve"> to:</w:t>
      </w:r>
    </w:p>
    <w:p w:rsidR="00DA360A" w:rsidRPr="00756DA5" w:rsidRDefault="00DA360A" w:rsidP="006C1626">
      <w:pPr>
        <w:pStyle w:val="ListParagraph"/>
        <w:numPr>
          <w:ilvl w:val="0"/>
          <w:numId w:val="10"/>
        </w:numPr>
        <w:spacing w:before="120" w:after="120" w:line="240" w:lineRule="auto"/>
        <w:contextualSpacing w:val="0"/>
        <w:jc w:val="both"/>
        <w:rPr>
          <w:rFonts w:ascii="Arial" w:eastAsia="Times New Roman" w:hAnsi="Arial" w:cs="Arial"/>
          <w:sz w:val="24"/>
          <w:szCs w:val="20"/>
          <w:lang w:eastAsia="fr-BE"/>
        </w:rPr>
      </w:pPr>
      <w:r w:rsidRPr="00756DA5">
        <w:rPr>
          <w:rFonts w:ascii="Arial" w:eastAsia="Times New Roman" w:hAnsi="Arial" w:cs="Arial"/>
          <w:i/>
          <w:sz w:val="24"/>
          <w:szCs w:val="20"/>
          <w:lang w:eastAsia="fr-BE"/>
        </w:rPr>
        <w:t>Study and assess</w:t>
      </w:r>
      <w:r w:rsidRPr="00756DA5">
        <w:rPr>
          <w:rFonts w:ascii="Arial" w:eastAsia="Times New Roman" w:hAnsi="Arial" w:cs="Arial"/>
          <w:sz w:val="24"/>
          <w:szCs w:val="20"/>
          <w:lang w:eastAsia="fr-BE"/>
        </w:rPr>
        <w:t xml:space="preserve"> the harmonised technical conditions applicable to the </w:t>
      </w:r>
      <w:r w:rsidRPr="00756DA5">
        <w:rPr>
          <w:rFonts w:ascii="Arial" w:eastAsia="Times New Roman" w:hAnsi="Arial" w:cs="Arial"/>
          <w:b/>
          <w:sz w:val="24"/>
          <w:szCs w:val="20"/>
          <w:lang w:eastAsia="fr-BE"/>
        </w:rPr>
        <w:t xml:space="preserve">880-915 MHz / 925-960 MHz and 1710-1785 MHz / 1805-1880 MHz </w:t>
      </w:r>
      <w:r w:rsidRPr="00756DA5">
        <w:rPr>
          <w:rFonts w:ascii="Arial" w:eastAsia="Times New Roman" w:hAnsi="Arial" w:cs="Arial"/>
          <w:sz w:val="24"/>
          <w:szCs w:val="20"/>
          <w:lang w:eastAsia="fr-BE"/>
        </w:rPr>
        <w:t>frequency bands</w:t>
      </w:r>
      <w:r w:rsidRPr="00756DA5">
        <w:rPr>
          <w:rFonts w:ascii="Arial" w:eastAsia="Times New Roman" w:hAnsi="Arial" w:cs="Arial"/>
          <w:i/>
          <w:sz w:val="24"/>
          <w:szCs w:val="20"/>
          <w:lang w:eastAsia="fr-BE"/>
        </w:rPr>
        <w:t xml:space="preserve"> </w:t>
      </w:r>
      <w:r w:rsidRPr="00756DA5">
        <w:rPr>
          <w:rFonts w:ascii="Arial" w:eastAsia="Times New Roman" w:hAnsi="Arial" w:cs="Arial"/>
          <w:sz w:val="24"/>
          <w:szCs w:val="20"/>
          <w:lang w:eastAsia="fr-BE"/>
        </w:rPr>
        <w:t>with view to their suitability for IoT applications.</w:t>
      </w:r>
    </w:p>
    <w:p w:rsidR="00DA360A" w:rsidRPr="00756DA5" w:rsidRDefault="00DA360A" w:rsidP="006C1626">
      <w:pPr>
        <w:pStyle w:val="ListParagraph"/>
        <w:numPr>
          <w:ilvl w:val="0"/>
          <w:numId w:val="10"/>
        </w:numPr>
        <w:spacing w:before="120" w:after="120" w:line="240" w:lineRule="auto"/>
        <w:contextualSpacing w:val="0"/>
        <w:jc w:val="both"/>
        <w:rPr>
          <w:rFonts w:ascii="Arial" w:eastAsia="Times New Roman" w:hAnsi="Arial" w:cs="Arial"/>
          <w:sz w:val="24"/>
          <w:szCs w:val="20"/>
          <w:lang w:eastAsia="fr-BE"/>
        </w:rPr>
      </w:pPr>
      <w:r w:rsidRPr="00756DA5">
        <w:rPr>
          <w:rFonts w:ascii="Arial" w:eastAsia="Times New Roman" w:hAnsi="Arial" w:cs="Arial"/>
          <w:sz w:val="24"/>
          <w:szCs w:val="20"/>
          <w:lang w:eastAsia="fr-BE"/>
        </w:rPr>
        <w:t xml:space="preserve">Based on the results under Task 1, </w:t>
      </w:r>
      <w:r w:rsidRPr="00756DA5">
        <w:rPr>
          <w:rFonts w:ascii="Arial" w:eastAsia="Times New Roman" w:hAnsi="Arial" w:cs="Arial"/>
          <w:i/>
          <w:sz w:val="24"/>
          <w:szCs w:val="20"/>
          <w:lang w:eastAsia="fr-BE"/>
        </w:rPr>
        <w:t>amend, if necessary</w:t>
      </w:r>
      <w:r w:rsidRPr="00756DA5">
        <w:rPr>
          <w:rFonts w:ascii="Arial" w:eastAsia="Times New Roman" w:hAnsi="Arial" w:cs="Arial"/>
          <w:sz w:val="24"/>
          <w:szCs w:val="20"/>
          <w:lang w:eastAsia="fr-BE"/>
        </w:rPr>
        <w:t xml:space="preserve">, the harmonised technical conditions applicable to both bands, with focus on applicable technology standards, for the provision of terrestrial wireless broadband electronic communications services, so as to ensure both, backward compatibility with existing use, and suitability for IoT applications. </w:t>
      </w:r>
    </w:p>
    <w:p w:rsidR="00DA360A" w:rsidRPr="00756DA5" w:rsidRDefault="00DA360A" w:rsidP="00DA360A">
      <w:pPr>
        <w:spacing w:before="120" w:after="120"/>
        <w:ind w:left="720"/>
        <w:jc w:val="both"/>
        <w:rPr>
          <w:rFonts w:cs="Arial"/>
          <w:sz w:val="24"/>
          <w:szCs w:val="20"/>
          <w:lang w:val="en-GB" w:eastAsia="fr-BE"/>
        </w:rPr>
      </w:pPr>
      <w:r w:rsidRPr="00756DA5">
        <w:rPr>
          <w:rFonts w:cs="Arial"/>
          <w:sz w:val="24"/>
          <w:szCs w:val="20"/>
          <w:lang w:val="en-GB" w:eastAsia="fr-BE"/>
        </w:rPr>
        <w:t xml:space="preserve">The amended technical conditions to address IoT use should also be sufficient to ensure co-existence with GSM and other incumbent services and services/applications in adjacent bands, in line with their regulatory status, including at the EU outer borders. </w:t>
      </w:r>
    </w:p>
    <w:p w:rsidR="00DA360A" w:rsidRPr="00756DA5" w:rsidRDefault="00DA360A" w:rsidP="00DA360A">
      <w:pPr>
        <w:spacing w:before="240" w:after="240"/>
        <w:rPr>
          <w:rFonts w:cs="Arial"/>
          <w:sz w:val="24"/>
          <w:szCs w:val="20"/>
          <w:lang w:val="en-GB" w:eastAsia="fr-BE"/>
        </w:rPr>
      </w:pPr>
    </w:p>
    <w:p w:rsidR="00DA360A" w:rsidRPr="00756DA5" w:rsidRDefault="00DA360A" w:rsidP="00DA360A">
      <w:pPr>
        <w:spacing w:before="240" w:after="240"/>
        <w:rPr>
          <w:rFonts w:cs="Arial"/>
          <w:sz w:val="24"/>
          <w:szCs w:val="20"/>
          <w:lang w:val="en-GB" w:eastAsia="fr-BE"/>
        </w:rPr>
      </w:pPr>
      <w:r w:rsidRPr="00756DA5">
        <w:rPr>
          <w:rFonts w:cs="Arial"/>
          <w:sz w:val="24"/>
          <w:szCs w:val="20"/>
          <w:lang w:val="en-GB" w:eastAsia="fr-BE"/>
        </w:rPr>
        <w:t>CEPT should provide deliverables according to the following schedule:</w:t>
      </w:r>
    </w:p>
    <w:tbl>
      <w:tblPr>
        <w:tblStyle w:val="TableGrid"/>
        <w:tblW w:w="0" w:type="auto"/>
        <w:jc w:val="center"/>
        <w:tblLook w:val="04A0" w:firstRow="1" w:lastRow="0" w:firstColumn="1" w:lastColumn="0" w:noHBand="0" w:noVBand="1"/>
      </w:tblPr>
      <w:tblGrid>
        <w:gridCol w:w="1701"/>
        <w:gridCol w:w="3686"/>
        <w:gridCol w:w="3613"/>
      </w:tblGrid>
      <w:tr w:rsidR="00DA360A" w:rsidRPr="00756DA5" w:rsidTr="00506286">
        <w:trPr>
          <w:jc w:val="center"/>
        </w:trPr>
        <w:tc>
          <w:tcPr>
            <w:tcW w:w="1701" w:type="dxa"/>
          </w:tcPr>
          <w:p w:rsidR="00DA360A" w:rsidRPr="00756DA5" w:rsidRDefault="00DA360A" w:rsidP="00506286">
            <w:pPr>
              <w:jc w:val="center"/>
              <w:rPr>
                <w:rFonts w:cs="Arial"/>
                <w:b/>
                <w:sz w:val="24"/>
                <w:szCs w:val="20"/>
                <w:lang w:val="en-GB" w:eastAsia="fr-BE"/>
              </w:rPr>
            </w:pPr>
            <w:r w:rsidRPr="00756DA5">
              <w:rPr>
                <w:rFonts w:cs="Arial"/>
                <w:b/>
                <w:sz w:val="24"/>
                <w:szCs w:val="20"/>
                <w:lang w:val="en-GB" w:eastAsia="fr-BE"/>
              </w:rPr>
              <w:t xml:space="preserve">Delivery </w:t>
            </w:r>
            <w:r w:rsidRPr="00756DA5">
              <w:rPr>
                <w:rFonts w:cs="Arial"/>
                <w:b/>
                <w:sz w:val="24"/>
                <w:szCs w:val="20"/>
                <w:lang w:val="en-GB" w:eastAsia="fr-BE"/>
              </w:rPr>
              <w:lastRenderedPageBreak/>
              <w:t>Date</w:t>
            </w:r>
          </w:p>
        </w:tc>
        <w:tc>
          <w:tcPr>
            <w:tcW w:w="3686" w:type="dxa"/>
          </w:tcPr>
          <w:p w:rsidR="00DA360A" w:rsidRPr="00756DA5" w:rsidRDefault="00DA360A" w:rsidP="00506286">
            <w:pPr>
              <w:jc w:val="center"/>
              <w:rPr>
                <w:rFonts w:cs="Arial"/>
                <w:b/>
                <w:sz w:val="24"/>
                <w:szCs w:val="20"/>
                <w:lang w:val="en-GB" w:eastAsia="fr-BE"/>
              </w:rPr>
            </w:pPr>
            <w:r w:rsidRPr="00756DA5">
              <w:rPr>
                <w:rFonts w:cs="Arial"/>
                <w:b/>
                <w:sz w:val="24"/>
                <w:szCs w:val="20"/>
                <w:lang w:val="en-GB" w:eastAsia="fr-BE"/>
              </w:rPr>
              <w:lastRenderedPageBreak/>
              <w:t>Deliverable</w:t>
            </w:r>
          </w:p>
        </w:tc>
        <w:tc>
          <w:tcPr>
            <w:tcW w:w="3613" w:type="dxa"/>
          </w:tcPr>
          <w:p w:rsidR="00DA360A" w:rsidRPr="00756DA5" w:rsidRDefault="00DA360A" w:rsidP="00506286">
            <w:pPr>
              <w:jc w:val="center"/>
              <w:rPr>
                <w:rFonts w:cs="Arial"/>
                <w:b/>
                <w:sz w:val="24"/>
                <w:szCs w:val="20"/>
                <w:lang w:val="en-GB" w:eastAsia="fr-BE"/>
              </w:rPr>
            </w:pPr>
            <w:r w:rsidRPr="00756DA5">
              <w:rPr>
                <w:rFonts w:cs="Arial"/>
                <w:b/>
                <w:sz w:val="24"/>
                <w:szCs w:val="20"/>
                <w:lang w:val="en-GB" w:eastAsia="fr-BE"/>
              </w:rPr>
              <w:t>Subject</w:t>
            </w:r>
          </w:p>
        </w:tc>
      </w:tr>
      <w:tr w:rsidR="00DA360A" w:rsidRPr="00756DA5" w:rsidTr="00506286">
        <w:trPr>
          <w:jc w:val="center"/>
        </w:trPr>
        <w:tc>
          <w:tcPr>
            <w:tcW w:w="1701" w:type="dxa"/>
            <w:vAlign w:val="center"/>
          </w:tcPr>
          <w:p w:rsidR="00DA360A" w:rsidRPr="00756DA5" w:rsidRDefault="00DA360A" w:rsidP="00506286">
            <w:pPr>
              <w:rPr>
                <w:rFonts w:cs="Arial"/>
                <w:sz w:val="24"/>
                <w:szCs w:val="20"/>
                <w:lang w:val="en-GB" w:eastAsia="fr-BE"/>
              </w:rPr>
            </w:pPr>
          </w:p>
          <w:p w:rsidR="00DA360A" w:rsidRPr="00756DA5" w:rsidRDefault="00DA360A" w:rsidP="00506286">
            <w:pPr>
              <w:rPr>
                <w:rFonts w:cs="Arial"/>
                <w:sz w:val="24"/>
                <w:szCs w:val="20"/>
                <w:lang w:val="en-GB" w:eastAsia="fr-BE"/>
              </w:rPr>
            </w:pPr>
            <w:r w:rsidRPr="00756DA5">
              <w:rPr>
                <w:rFonts w:cs="Arial"/>
                <w:sz w:val="24"/>
                <w:szCs w:val="20"/>
                <w:lang w:val="en-GB" w:eastAsia="fr-BE"/>
              </w:rPr>
              <w:t>November 2017</w:t>
            </w:r>
            <w:r w:rsidRPr="00756DA5">
              <w:rPr>
                <w:rStyle w:val="FootnoteReference"/>
                <w:rFonts w:cs="Arial"/>
                <w:sz w:val="24"/>
                <w:szCs w:val="20"/>
                <w:lang w:val="en-GB" w:eastAsia="fr-BE"/>
              </w:rPr>
              <w:footnoteReference w:id="10"/>
            </w:r>
          </w:p>
          <w:p w:rsidR="00DA360A" w:rsidRPr="00756DA5" w:rsidRDefault="00DA360A" w:rsidP="00506286">
            <w:pPr>
              <w:rPr>
                <w:rFonts w:cs="Arial"/>
                <w:sz w:val="24"/>
                <w:szCs w:val="20"/>
                <w:lang w:val="en-GB" w:eastAsia="fr-BE"/>
              </w:rPr>
            </w:pPr>
          </w:p>
        </w:tc>
        <w:tc>
          <w:tcPr>
            <w:tcW w:w="3686" w:type="dxa"/>
            <w:vAlign w:val="center"/>
          </w:tcPr>
          <w:p w:rsidR="00DA360A" w:rsidRPr="00756DA5" w:rsidRDefault="00DA360A" w:rsidP="00506286">
            <w:pPr>
              <w:rPr>
                <w:rFonts w:cs="Arial"/>
                <w:sz w:val="24"/>
                <w:szCs w:val="20"/>
                <w:lang w:val="en-GB" w:eastAsia="fr-BE"/>
              </w:rPr>
            </w:pPr>
            <w:r w:rsidRPr="00756DA5">
              <w:rPr>
                <w:rFonts w:cs="Arial"/>
                <w:sz w:val="24"/>
                <w:szCs w:val="20"/>
                <w:lang w:val="en-GB" w:eastAsia="fr-BE"/>
              </w:rPr>
              <w:t>Draft Report from the CEPT to the Commission</w:t>
            </w:r>
          </w:p>
        </w:tc>
        <w:tc>
          <w:tcPr>
            <w:tcW w:w="3613" w:type="dxa"/>
            <w:vAlign w:val="center"/>
          </w:tcPr>
          <w:p w:rsidR="00DA360A" w:rsidRPr="00756DA5" w:rsidRDefault="00DA360A" w:rsidP="00506286">
            <w:pPr>
              <w:rPr>
                <w:rFonts w:cs="Arial"/>
                <w:sz w:val="24"/>
                <w:szCs w:val="20"/>
                <w:lang w:val="en-GB" w:eastAsia="fr-BE"/>
              </w:rPr>
            </w:pPr>
            <w:r w:rsidRPr="00756DA5">
              <w:rPr>
                <w:rFonts w:cs="Arial"/>
                <w:sz w:val="24"/>
                <w:szCs w:val="20"/>
                <w:lang w:val="en-GB" w:eastAsia="fr-BE"/>
              </w:rPr>
              <w:t>Description of the work undertaken and the results.</w:t>
            </w:r>
          </w:p>
        </w:tc>
      </w:tr>
      <w:tr w:rsidR="00DA360A" w:rsidRPr="00756DA5" w:rsidTr="00506286">
        <w:trPr>
          <w:jc w:val="center"/>
        </w:trPr>
        <w:tc>
          <w:tcPr>
            <w:tcW w:w="1701" w:type="dxa"/>
            <w:vAlign w:val="center"/>
          </w:tcPr>
          <w:p w:rsidR="00DA360A" w:rsidRPr="00756DA5" w:rsidRDefault="00DA360A" w:rsidP="00506286">
            <w:pPr>
              <w:rPr>
                <w:rFonts w:cs="Arial"/>
                <w:sz w:val="24"/>
                <w:szCs w:val="20"/>
                <w:lang w:val="en-GB" w:eastAsia="fr-BE"/>
              </w:rPr>
            </w:pPr>
          </w:p>
          <w:p w:rsidR="00DA360A" w:rsidRPr="00756DA5" w:rsidRDefault="00DA360A" w:rsidP="00506286">
            <w:pPr>
              <w:rPr>
                <w:rFonts w:cs="Arial"/>
                <w:sz w:val="24"/>
                <w:szCs w:val="20"/>
                <w:lang w:val="en-GB" w:eastAsia="fr-BE"/>
              </w:rPr>
            </w:pPr>
            <w:r w:rsidRPr="00756DA5">
              <w:rPr>
                <w:rFonts w:cs="Arial"/>
                <w:sz w:val="24"/>
                <w:szCs w:val="20"/>
                <w:lang w:val="en-GB" w:eastAsia="fr-BE"/>
              </w:rPr>
              <w:t>March 2018</w:t>
            </w:r>
            <w:r w:rsidRPr="00756DA5">
              <w:rPr>
                <w:rStyle w:val="FootnoteReference"/>
                <w:rFonts w:cs="Arial"/>
                <w:sz w:val="24"/>
                <w:szCs w:val="20"/>
                <w:lang w:val="en-GB" w:eastAsia="fr-BE"/>
              </w:rPr>
              <w:footnoteReference w:id="11"/>
            </w:r>
          </w:p>
          <w:p w:rsidR="00DA360A" w:rsidRPr="00756DA5" w:rsidRDefault="00DA360A" w:rsidP="00506286">
            <w:pPr>
              <w:rPr>
                <w:rFonts w:cs="Arial"/>
                <w:sz w:val="24"/>
                <w:szCs w:val="20"/>
                <w:lang w:val="en-GB" w:eastAsia="fr-BE"/>
              </w:rPr>
            </w:pPr>
          </w:p>
        </w:tc>
        <w:tc>
          <w:tcPr>
            <w:tcW w:w="3686" w:type="dxa"/>
            <w:vAlign w:val="center"/>
          </w:tcPr>
          <w:p w:rsidR="00DA360A" w:rsidRPr="00756DA5" w:rsidRDefault="00DA360A" w:rsidP="00506286">
            <w:pPr>
              <w:rPr>
                <w:rFonts w:cs="Arial"/>
                <w:sz w:val="24"/>
                <w:szCs w:val="20"/>
                <w:lang w:val="en-GB" w:eastAsia="fr-BE"/>
              </w:rPr>
            </w:pPr>
            <w:r w:rsidRPr="00756DA5">
              <w:rPr>
                <w:rFonts w:cs="Arial"/>
                <w:sz w:val="24"/>
                <w:szCs w:val="20"/>
                <w:lang w:val="en-GB" w:eastAsia="fr-BE"/>
              </w:rPr>
              <w:t>Final Report from the CEPT to the Commission taking into account the outcome of the public consultation</w:t>
            </w:r>
          </w:p>
        </w:tc>
        <w:tc>
          <w:tcPr>
            <w:tcW w:w="3613" w:type="dxa"/>
            <w:vAlign w:val="center"/>
          </w:tcPr>
          <w:p w:rsidR="00DA360A" w:rsidRPr="00756DA5" w:rsidRDefault="00DA360A" w:rsidP="00506286">
            <w:pPr>
              <w:rPr>
                <w:rFonts w:cs="Arial"/>
                <w:sz w:val="24"/>
                <w:szCs w:val="20"/>
                <w:lang w:val="en-GB" w:eastAsia="fr-BE"/>
              </w:rPr>
            </w:pPr>
            <w:r w:rsidRPr="00756DA5">
              <w:rPr>
                <w:rFonts w:cs="Arial"/>
                <w:sz w:val="24"/>
                <w:szCs w:val="20"/>
                <w:lang w:val="en-GB" w:eastAsia="fr-BE"/>
              </w:rPr>
              <w:t>Description of the work undertaken and the results.</w:t>
            </w:r>
          </w:p>
        </w:tc>
      </w:tr>
    </w:tbl>
    <w:p w:rsidR="00DA360A" w:rsidRPr="00756DA5" w:rsidRDefault="00DA360A" w:rsidP="00DA360A">
      <w:pPr>
        <w:rPr>
          <w:rFonts w:cs="Arial"/>
          <w:sz w:val="24"/>
          <w:szCs w:val="20"/>
          <w:lang w:val="en-GB" w:eastAsia="fr-BE"/>
        </w:rPr>
      </w:pPr>
    </w:p>
    <w:p w:rsidR="00DA360A" w:rsidRPr="00756DA5" w:rsidRDefault="00DA360A" w:rsidP="00DA360A">
      <w:pPr>
        <w:spacing w:after="240"/>
        <w:jc w:val="both"/>
        <w:rPr>
          <w:rFonts w:cs="Arial"/>
          <w:sz w:val="24"/>
          <w:szCs w:val="20"/>
          <w:lang w:val="en-GB" w:eastAsia="fr-BE"/>
        </w:rPr>
      </w:pPr>
      <w:r w:rsidRPr="00756DA5">
        <w:rPr>
          <w:rFonts w:cs="Arial"/>
          <w:sz w:val="24"/>
          <w:szCs w:val="20"/>
          <w:lang w:val="en-GB" w:eastAsia="fr-BE"/>
        </w:rPr>
        <w:t xml:space="preserve">CEPT is requested to report on the progress of its work pursuant to this Mandate in advance of all meetings of the Radio Spectrum Committee taking place during the course of the Mandate. </w:t>
      </w:r>
    </w:p>
    <w:p w:rsidR="00DA360A" w:rsidRPr="00756DA5" w:rsidRDefault="00DA360A" w:rsidP="00DA360A">
      <w:pPr>
        <w:spacing w:after="240"/>
        <w:jc w:val="both"/>
        <w:rPr>
          <w:rFonts w:cs="Arial"/>
          <w:sz w:val="24"/>
          <w:szCs w:val="20"/>
          <w:lang w:val="en-GB" w:eastAsia="fr-BE"/>
        </w:rPr>
      </w:pPr>
      <w:r w:rsidRPr="00756DA5">
        <w:rPr>
          <w:rFonts w:cs="Arial"/>
          <w:sz w:val="24"/>
          <w:szCs w:val="20"/>
          <w:lang w:val="en-GB" w:eastAsia="fr-BE"/>
        </w:rPr>
        <w:t>The Commission, with the assistance of the Radio Spectrum Committee and pursuant to the Radio Spectrum Decision, may consider applying the results of this mandate in the EU, pursuant to Article 4 of the Radio Spectrum Decision and subject to the results of the spectrum inventory and relevant guidance of the RSPG.</w:t>
      </w:r>
    </w:p>
    <w:p w:rsidR="00DA360A" w:rsidRPr="00756DA5" w:rsidRDefault="00DA360A" w:rsidP="00DA360A">
      <w:pPr>
        <w:rPr>
          <w:rFonts w:cs="Arial"/>
          <w:lang w:val="en-GB"/>
        </w:rPr>
      </w:pPr>
    </w:p>
    <w:p w:rsidR="00DA360A" w:rsidRPr="00756DA5" w:rsidRDefault="00DA360A" w:rsidP="00DA360A">
      <w:pPr>
        <w:pStyle w:val="ECCParagraph"/>
        <w:rPr>
          <w:rFonts w:cs="Arial"/>
        </w:rPr>
      </w:pPr>
    </w:p>
    <w:p w:rsidR="00AB46DF" w:rsidRPr="00756DA5" w:rsidRDefault="003C3EE4" w:rsidP="00AB46DF">
      <w:pPr>
        <w:pStyle w:val="ECCAnnexheading1"/>
      </w:pPr>
      <w:bookmarkStart w:id="37" w:name="_Toc508112854"/>
      <w:r w:rsidRPr="00756DA5">
        <w:lastRenderedPageBreak/>
        <w:t>List of reference</w:t>
      </w:r>
      <w:bookmarkEnd w:id="37"/>
    </w:p>
    <w:p w:rsidR="00AB46DF" w:rsidRPr="00756DA5" w:rsidRDefault="00304FF6" w:rsidP="00304FF6">
      <w:pPr>
        <w:pStyle w:val="reference"/>
        <w:numPr>
          <w:ilvl w:val="0"/>
          <w:numId w:val="6"/>
        </w:numPr>
        <w:rPr>
          <w:rFonts w:cs="Arial"/>
          <w:lang w:val="en-GB"/>
        </w:rPr>
      </w:pPr>
      <w:bookmarkStart w:id="38" w:name="_Ref491272265"/>
      <w:r w:rsidRPr="00756DA5">
        <w:rPr>
          <w:rFonts w:cs="Arial"/>
          <w:lang w:val="en-GB"/>
        </w:rPr>
        <w:t>ECC Report 266</w:t>
      </w:r>
      <w:r w:rsidR="00B445A6" w:rsidRPr="00756DA5">
        <w:rPr>
          <w:rFonts w:cs="Arial"/>
          <w:lang w:val="en-GB"/>
        </w:rPr>
        <w:t xml:space="preserve"> - </w:t>
      </w:r>
      <w:r w:rsidRPr="00756DA5">
        <w:rPr>
          <w:rFonts w:cs="Arial"/>
          <w:lang w:val="en-GB"/>
        </w:rPr>
        <w:t>The suitability of the current ECC regulatory framework for the usage of Wideband and Narrowband M2M in the frequency bands 700 MHz, 800 MHz, 900 MHz, 1800 MHz, 2.1 GHz and 2.6 GHz, 30 June 2017</w:t>
      </w:r>
      <w:bookmarkEnd w:id="38"/>
    </w:p>
    <w:p w:rsidR="00860EF9" w:rsidRPr="00BA1527" w:rsidRDefault="00860EF9" w:rsidP="00860EF9">
      <w:pPr>
        <w:pStyle w:val="reference"/>
        <w:numPr>
          <w:ilvl w:val="0"/>
          <w:numId w:val="6"/>
        </w:numPr>
        <w:rPr>
          <w:rFonts w:cs="Arial"/>
          <w:lang w:val="en-GB"/>
        </w:rPr>
      </w:pPr>
      <w:bookmarkStart w:id="39" w:name="_Ref508109429"/>
      <w:bookmarkStart w:id="40" w:name="_Ref474314529"/>
      <w:r>
        <w:t>Directive</w:t>
      </w:r>
      <w:r w:rsidRPr="00756DA5">
        <w:t xml:space="preserve"> 2009/114/EC</w:t>
      </w:r>
      <w:r>
        <w:t xml:space="preserve"> </w:t>
      </w:r>
      <w:r w:rsidRPr="00BC222D">
        <w:t>of the European Parliament and of the Council of 16 September 2009 amending Council Directive 87/372/EEC on the frequency bands to be reserved for the coordinated introduction of public pan-European cellular digital land-based mobile communications in the Community</w:t>
      </w:r>
      <w:bookmarkEnd w:id="39"/>
    </w:p>
    <w:p w:rsidR="00860EF9" w:rsidRDefault="00860EF9" w:rsidP="00860EF9">
      <w:pPr>
        <w:pStyle w:val="reference"/>
        <w:numPr>
          <w:ilvl w:val="0"/>
          <w:numId w:val="6"/>
        </w:numPr>
        <w:rPr>
          <w:lang w:val="en-GB"/>
        </w:rPr>
      </w:pPr>
      <w:bookmarkStart w:id="41" w:name="_Ref504554678"/>
      <w:bookmarkStart w:id="42" w:name="_Ref508109453"/>
      <w:bookmarkStart w:id="43" w:name="_Ref474249449"/>
      <w:bookmarkStart w:id="44" w:name="_Ref498595433"/>
      <w:bookmarkStart w:id="45" w:name="_Ref474249456"/>
      <w:bookmarkEnd w:id="40"/>
      <w:r w:rsidRPr="00D20EE0">
        <w:rPr>
          <w:lang w:val="en-GB"/>
        </w:rPr>
        <w:t>3GPP TS 36.101</w:t>
      </w:r>
      <w:bookmarkEnd w:id="41"/>
      <w:r>
        <w:rPr>
          <w:lang w:val="en-GB"/>
        </w:rPr>
        <w:t xml:space="preserve"> V15.1.0</w:t>
      </w:r>
      <w:r w:rsidRPr="00D20EE0">
        <w:rPr>
          <w:lang w:val="en-GB"/>
        </w:rPr>
        <w:t>: Evolved Universal Ter</w:t>
      </w:r>
      <w:r>
        <w:rPr>
          <w:lang w:val="en-GB"/>
        </w:rPr>
        <w:t xml:space="preserve">restrial Radio Access (E-UTRA); </w:t>
      </w:r>
      <w:r w:rsidRPr="00D20EE0">
        <w:rPr>
          <w:lang w:val="en-GB"/>
        </w:rPr>
        <w:t>User Equipment (UE) radio transmission and reception</w:t>
      </w:r>
      <w:r>
        <w:rPr>
          <w:lang w:val="en-GB"/>
        </w:rPr>
        <w:t xml:space="preserve"> </w:t>
      </w:r>
      <w:r w:rsidRPr="00D20EE0">
        <w:rPr>
          <w:lang w:val="en-GB"/>
        </w:rPr>
        <w:t>(Release 15)</w:t>
      </w:r>
      <w:bookmarkEnd w:id="42"/>
    </w:p>
    <w:p w:rsidR="00860EF9" w:rsidRPr="00981887" w:rsidRDefault="00860EF9" w:rsidP="00860EF9">
      <w:pPr>
        <w:pStyle w:val="reference"/>
        <w:numPr>
          <w:ilvl w:val="0"/>
          <w:numId w:val="6"/>
        </w:numPr>
        <w:rPr>
          <w:rFonts w:cs="Arial"/>
          <w:lang w:val="en-GB"/>
        </w:rPr>
      </w:pPr>
      <w:bookmarkStart w:id="46" w:name="_Ref508109466"/>
      <w:r>
        <w:rPr>
          <w:lang w:val="en-GB"/>
        </w:rPr>
        <w:t>3GPP TS 36.104</w:t>
      </w:r>
      <w:r w:rsidRPr="00D20EE0">
        <w:rPr>
          <w:lang w:val="en-GB"/>
        </w:rPr>
        <w:t xml:space="preserve"> </w:t>
      </w:r>
      <w:r>
        <w:rPr>
          <w:lang w:val="en-GB"/>
        </w:rPr>
        <w:t>V15.1.0</w:t>
      </w:r>
      <w:r w:rsidRPr="00D20EE0">
        <w:rPr>
          <w:lang w:val="en-GB"/>
        </w:rPr>
        <w:t xml:space="preserve">: </w:t>
      </w:r>
      <w:r>
        <w:rPr>
          <w:lang w:val="en-GB"/>
        </w:rPr>
        <w:t xml:space="preserve"> </w:t>
      </w:r>
      <w:r>
        <w:t>Evolved Universal Terrestrial Radio Access (E-UTRA); Base Station (BS) radio transmission and reception</w:t>
      </w:r>
      <w:bookmarkEnd w:id="46"/>
    </w:p>
    <w:p w:rsidR="00860EF9" w:rsidRPr="00756DA5" w:rsidRDefault="00860EF9" w:rsidP="00860EF9">
      <w:pPr>
        <w:pStyle w:val="reference"/>
        <w:numPr>
          <w:ilvl w:val="0"/>
          <w:numId w:val="6"/>
        </w:numPr>
        <w:rPr>
          <w:rFonts w:cs="Arial"/>
          <w:lang w:val="en-GB"/>
        </w:rPr>
      </w:pPr>
      <w:bookmarkStart w:id="47" w:name="_Ref508109621"/>
      <w:r w:rsidRPr="00756DA5">
        <w:rPr>
          <w:rFonts w:cs="Arial"/>
          <w:lang w:val="en-GB"/>
        </w:rPr>
        <w:t>EC Decision 2011/251/EU - Commission Implementing Decision of 18 April 2011 amending Decision 2009/766/EC on the harmonisation of the 900 MHz and 1800 MHz frequency bands for terrestrial systems capable of providing pan-European electronic communications services in the Community</w:t>
      </w:r>
      <w:bookmarkEnd w:id="47"/>
    </w:p>
    <w:p w:rsidR="00860EF9" w:rsidRPr="009B6377" w:rsidRDefault="00860EF9" w:rsidP="00860EF9">
      <w:pPr>
        <w:pStyle w:val="ECCReference"/>
        <w:numPr>
          <w:ilvl w:val="0"/>
          <w:numId w:val="5"/>
        </w:numPr>
      </w:pPr>
      <w:bookmarkStart w:id="48" w:name="_Ref508109734"/>
      <w:r w:rsidRPr="009B6377">
        <w:t>ETSI EN 301 908-13</w:t>
      </w:r>
      <w:r>
        <w:t xml:space="preserve"> V11.1.1 - IMT cellular networks; Harmoni</w:t>
      </w:r>
      <w:r w:rsidR="007327D1">
        <w:t>s</w:t>
      </w:r>
      <w:r>
        <w:t>ed EN covering the essential requirements of article 3.2 of the R&amp;TTE Directive; Part 13: Evolved Universal Terrestrial Radio Access (E-UTRA)User Equipment (UE)</w:t>
      </w:r>
      <w:bookmarkEnd w:id="48"/>
    </w:p>
    <w:p w:rsidR="00860EF9" w:rsidRPr="009B6377" w:rsidRDefault="00860EF9" w:rsidP="00860EF9">
      <w:pPr>
        <w:pStyle w:val="ECCReference"/>
        <w:numPr>
          <w:ilvl w:val="0"/>
          <w:numId w:val="5"/>
        </w:numPr>
      </w:pPr>
      <w:bookmarkStart w:id="49" w:name="_Ref508110624"/>
      <w:r w:rsidRPr="009B6377">
        <w:t>ETSI EN 301 908-18</w:t>
      </w:r>
      <w:r>
        <w:t xml:space="preserve"> V11.1.1 - IMT cellular networks; Harmoni</w:t>
      </w:r>
      <w:r w:rsidR="007327D1">
        <w:t>s</w:t>
      </w:r>
      <w:r>
        <w:t>ed EN covering the essential requirements of article 3.2 of the R&amp;TTE Directive; Part 18: E-UTRA, UTRA and GSM/EDGE  Multi-Standard Radio (MSR) Base Station (BS)</w:t>
      </w:r>
      <w:bookmarkEnd w:id="49"/>
    </w:p>
    <w:p w:rsidR="00860EF9" w:rsidRPr="009B6377" w:rsidRDefault="00860EF9" w:rsidP="00860EF9">
      <w:pPr>
        <w:pStyle w:val="ECCReference"/>
        <w:numPr>
          <w:ilvl w:val="0"/>
          <w:numId w:val="5"/>
        </w:numPr>
      </w:pPr>
      <w:bookmarkStart w:id="50" w:name="_Ref508110523"/>
      <w:r w:rsidRPr="009B6377">
        <w:t>ETSI EN 301 502</w:t>
      </w:r>
      <w:r>
        <w:t xml:space="preserve"> V11.1.1 - </w:t>
      </w:r>
      <w:r w:rsidRPr="00112B47">
        <w:t>Global System for Mobile communications (GSM);</w:t>
      </w:r>
      <w:r>
        <w:t xml:space="preserve"> Harmoni</w:t>
      </w:r>
      <w:r w:rsidR="007327D1">
        <w:t>s</w:t>
      </w:r>
      <w:r>
        <w:t>ed EN covering the essential requirements of article 3.2 of the R&amp;TTE Directive</w:t>
      </w:r>
      <w:bookmarkEnd w:id="50"/>
    </w:p>
    <w:p w:rsidR="00860EF9" w:rsidRPr="009B6377" w:rsidRDefault="00860EF9" w:rsidP="00860EF9">
      <w:pPr>
        <w:pStyle w:val="ECCReference"/>
        <w:numPr>
          <w:ilvl w:val="0"/>
          <w:numId w:val="5"/>
        </w:numPr>
      </w:pPr>
      <w:bookmarkStart w:id="51" w:name="_Ref508110588"/>
      <w:r w:rsidRPr="00112B47">
        <w:t>ETSI EN 301 511 V9.0.2 - Global System for Mobile communications (GSM); Harmoni</w:t>
      </w:r>
      <w:r w:rsidR="007327D1">
        <w:t>s</w:t>
      </w:r>
      <w:r w:rsidRPr="00112B47">
        <w:t xml:space="preserve">ed EN for mobile stations </w:t>
      </w:r>
      <w:r>
        <w:t>in the GSM 900 and GSM 1800 bands covering essential requirements of article 3.2 of the R&amp;TTE directive (1999/5/EC)</w:t>
      </w:r>
      <w:bookmarkEnd w:id="51"/>
    </w:p>
    <w:p w:rsidR="00860EF9" w:rsidRPr="009B6377" w:rsidRDefault="00860EF9" w:rsidP="00860EF9">
      <w:pPr>
        <w:pStyle w:val="ECCReference"/>
        <w:numPr>
          <w:ilvl w:val="0"/>
          <w:numId w:val="5"/>
        </w:numPr>
      </w:pPr>
      <w:bookmarkStart w:id="52" w:name="_Ref508109778"/>
      <w:r w:rsidRPr="009B6377">
        <w:t>ETSI EN 301 908-14</w:t>
      </w:r>
      <w:r>
        <w:t xml:space="preserve"> v11.1.1- IMT cellular networks; Harmonised Standard covering the essential requirements of article 3.2 of the Directive 2014/53/EU; Part 14: Evolved Universal Terrestrial Radio Access (E-UTRA) Base Stations (BS)</w:t>
      </w:r>
      <w:bookmarkEnd w:id="52"/>
    </w:p>
    <w:p w:rsidR="00860EF9" w:rsidRDefault="00860EF9" w:rsidP="00860EF9">
      <w:pPr>
        <w:pStyle w:val="ECCReference"/>
        <w:numPr>
          <w:ilvl w:val="0"/>
          <w:numId w:val="5"/>
        </w:numPr>
      </w:pPr>
      <w:bookmarkStart w:id="53" w:name="_Ref508109767"/>
      <w:r w:rsidRPr="009B6377">
        <w:t>ETSI EN 301 908-1</w:t>
      </w:r>
      <w:r>
        <w:t xml:space="preserve"> V11.1.1 - IMT cellular networks; Harmoni</w:t>
      </w:r>
      <w:r w:rsidR="007327D1">
        <w:t>s</w:t>
      </w:r>
      <w:r>
        <w:t>ed EN covering the essential requirements of article 3.2 of the R&amp;TTE Directive; Part 1: Introduction and common requirements</w:t>
      </w:r>
      <w:bookmarkEnd w:id="53"/>
    </w:p>
    <w:p w:rsidR="00860EF9" w:rsidRPr="009B6377" w:rsidRDefault="00860EF9" w:rsidP="00860EF9">
      <w:pPr>
        <w:pStyle w:val="reference"/>
      </w:pPr>
      <w:bookmarkStart w:id="54" w:name="_Ref508110020"/>
      <w:r w:rsidRPr="009E37E3">
        <w:rPr>
          <w:rFonts w:eastAsia="Calibri"/>
          <w:lang w:val="en-GB"/>
        </w:rPr>
        <w:t xml:space="preserve">ETSI EN 301 908-15 V11.1.2 - </w:t>
      </w:r>
      <w:r w:rsidRPr="009E37E3">
        <w:rPr>
          <w:rFonts w:eastAsia="Calibri"/>
          <w:szCs w:val="22"/>
          <w:lang w:val="en-GB"/>
        </w:rPr>
        <w:t>IMT cellular networks; Harmonised Standard covering the essential requirements</w:t>
      </w:r>
      <w:r>
        <w:rPr>
          <w:rFonts w:eastAsia="Calibri"/>
          <w:szCs w:val="22"/>
          <w:lang w:val="en-GB"/>
        </w:rPr>
        <w:t xml:space="preserve"> </w:t>
      </w:r>
      <w:r w:rsidRPr="009E37E3">
        <w:rPr>
          <w:rFonts w:eastAsia="Calibri"/>
          <w:szCs w:val="22"/>
          <w:lang w:val="en-GB"/>
        </w:rPr>
        <w:t>of article 3.2 of Directive 2014/53/EU; Part 15: Evolved Universal Terrestrial Radio Access (E-UTRA FDD) Repeaters</w:t>
      </w:r>
      <w:bookmarkEnd w:id="43"/>
      <w:bookmarkEnd w:id="44"/>
      <w:bookmarkEnd w:id="45"/>
      <w:bookmarkEnd w:id="54"/>
    </w:p>
    <w:sectPr w:rsidR="00860EF9" w:rsidRPr="009B6377" w:rsidSect="00AB46DF">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6B4" w:rsidRDefault="000536B4" w:rsidP="00AB46DF">
      <w:r>
        <w:separator/>
      </w:r>
    </w:p>
  </w:endnote>
  <w:endnote w:type="continuationSeparator" w:id="0">
    <w:p w:rsidR="000536B4" w:rsidRDefault="000536B4" w:rsidP="00AB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6B4" w:rsidRDefault="000536B4" w:rsidP="00AB46DF">
      <w:r>
        <w:separator/>
      </w:r>
    </w:p>
  </w:footnote>
  <w:footnote w:type="continuationSeparator" w:id="0">
    <w:p w:rsidR="000536B4" w:rsidRDefault="000536B4" w:rsidP="00AB46DF">
      <w:r>
        <w:continuationSeparator/>
      </w:r>
    </w:p>
  </w:footnote>
  <w:footnote w:id="1">
    <w:p w:rsidR="000536B4" w:rsidRDefault="000536B4" w:rsidP="00C67861">
      <w:pPr>
        <w:pStyle w:val="FootnoteText"/>
        <w:rPr>
          <w:rFonts w:eastAsia="Calibri"/>
          <w:sz w:val="16"/>
          <w:szCs w:val="16"/>
        </w:rPr>
      </w:pPr>
      <w:r w:rsidRPr="001F2CD7">
        <w:rPr>
          <w:rStyle w:val="FootnoteReference"/>
          <w:sz w:val="16"/>
        </w:rPr>
        <w:footnoteRef/>
      </w:r>
      <w:r>
        <w:t xml:space="preserve"> </w:t>
      </w:r>
      <w:r w:rsidRPr="001F2CD7">
        <w:rPr>
          <w:sz w:val="16"/>
        </w:rPr>
        <w:t>In 3GPP terms, LTE-MTC corresponds to LTE Cat-1 or LTE Cat-0 and LTE-eMTC corresponds to LTE Cat-M1.</w:t>
      </w:r>
    </w:p>
  </w:footnote>
  <w:footnote w:id="2">
    <w:p w:rsidR="000536B4" w:rsidRPr="00BC4D4A" w:rsidRDefault="000536B4" w:rsidP="00DA360A">
      <w:pPr>
        <w:pStyle w:val="FootnoteText"/>
      </w:pPr>
      <w:r w:rsidRPr="00BC4D4A">
        <w:rPr>
          <w:rStyle w:val="FootnoteReference"/>
        </w:rPr>
        <w:footnoteRef/>
      </w:r>
      <w:r w:rsidRPr="00BC4D4A">
        <w:t xml:space="preserve"> 3GPP Releases 15 and 16</w:t>
      </w:r>
    </w:p>
  </w:footnote>
  <w:footnote w:id="3">
    <w:p w:rsidR="000536B4" w:rsidRPr="00BC4D4A" w:rsidRDefault="000536B4" w:rsidP="00DA360A">
      <w:pPr>
        <w:pStyle w:val="FootnoteText"/>
      </w:pPr>
      <w:r w:rsidRPr="00BC4D4A">
        <w:rPr>
          <w:rStyle w:val="FootnoteReference"/>
        </w:rPr>
        <w:footnoteRef/>
      </w:r>
      <w:r w:rsidRPr="00BC4D4A">
        <w:t xml:space="preserve"> By virtue of Council Directive 87/372/EEC as amended by Directive 2009/114/EC, and Commission Decision 2009/766/EC as amended by Commission Decision 2011/251/EU</w:t>
      </w:r>
    </w:p>
  </w:footnote>
  <w:footnote w:id="4">
    <w:p w:rsidR="000536B4" w:rsidRPr="001F2CD7" w:rsidRDefault="000536B4" w:rsidP="00DA360A">
      <w:pPr>
        <w:pStyle w:val="FootnoteText"/>
      </w:pPr>
      <w:r w:rsidRPr="00BC4D4A">
        <w:rPr>
          <w:rStyle w:val="FootnoteReference"/>
        </w:rPr>
        <w:footnoteRef/>
      </w:r>
      <w:r w:rsidRPr="001F2CD7">
        <w:t xml:space="preserve"> Source: Global mobile Suppliers Association, November 2016</w:t>
      </w:r>
    </w:p>
  </w:footnote>
  <w:footnote w:id="5">
    <w:p w:rsidR="000536B4" w:rsidRPr="00F4720D" w:rsidRDefault="000536B4" w:rsidP="00DA360A">
      <w:pPr>
        <w:pStyle w:val="FootnoteText"/>
        <w:rPr>
          <w:lang w:val="pt-PT"/>
        </w:rPr>
      </w:pPr>
      <w:r w:rsidRPr="00BC4D4A">
        <w:rPr>
          <w:rStyle w:val="FootnoteReference"/>
        </w:rPr>
        <w:footnoteRef/>
      </w:r>
      <w:r w:rsidRPr="00F4720D">
        <w:rPr>
          <w:lang w:val="pt-PT"/>
        </w:rPr>
        <w:t xml:space="preserve"> RSPG17-006 final</w:t>
      </w:r>
    </w:p>
  </w:footnote>
  <w:footnote w:id="6">
    <w:p w:rsidR="000536B4" w:rsidRPr="00F4720D" w:rsidRDefault="000536B4" w:rsidP="00DA360A">
      <w:pPr>
        <w:pStyle w:val="FootnoteText"/>
        <w:rPr>
          <w:lang w:val="pt-PT"/>
        </w:rPr>
      </w:pPr>
      <w:r w:rsidRPr="00BC4D4A">
        <w:rPr>
          <w:rStyle w:val="FootnoteReference"/>
        </w:rPr>
        <w:footnoteRef/>
      </w:r>
      <w:r w:rsidRPr="00F4720D">
        <w:rPr>
          <w:lang w:val="pt-PT"/>
        </w:rPr>
        <w:t xml:space="preserve"> Link: </w:t>
      </w:r>
      <w:hyperlink r:id="rId1" w:history="1">
        <w:r w:rsidRPr="006E6CA1">
          <w:rPr>
            <w:rStyle w:val="Hyperlink"/>
            <w:lang w:val="pt-PT"/>
          </w:rPr>
          <w:t>http://www.erodocdb.dk/Docs/doc98/official/pdf/ECCRep266.pdf</w:t>
        </w:r>
      </w:hyperlink>
      <w:r>
        <w:rPr>
          <w:lang w:val="pt-PT"/>
        </w:rPr>
        <w:t xml:space="preserve"> </w:t>
      </w:r>
    </w:p>
  </w:footnote>
  <w:footnote w:id="7">
    <w:p w:rsidR="000536B4" w:rsidRPr="00563DD1" w:rsidRDefault="000536B4" w:rsidP="00DA360A">
      <w:pPr>
        <w:pStyle w:val="FootnoteText"/>
        <w:rPr>
          <w:lang w:val="pt-PT"/>
        </w:rPr>
      </w:pPr>
      <w:r w:rsidRPr="00BC4D4A">
        <w:rPr>
          <w:rStyle w:val="FootnoteReference"/>
        </w:rPr>
        <w:footnoteRef/>
      </w:r>
      <w:r w:rsidRPr="00563DD1">
        <w:rPr>
          <w:lang w:val="pt-PT"/>
        </w:rPr>
        <w:t xml:space="preserve"> RSPG16-032 final</w:t>
      </w:r>
    </w:p>
  </w:footnote>
  <w:footnote w:id="8">
    <w:p w:rsidR="000536B4" w:rsidRPr="00563DD1" w:rsidRDefault="000536B4" w:rsidP="00DA360A">
      <w:pPr>
        <w:pStyle w:val="FootnoteText"/>
        <w:rPr>
          <w:lang w:val="fr-FR"/>
        </w:rPr>
      </w:pPr>
      <w:r w:rsidRPr="00BC4D4A">
        <w:rPr>
          <w:rStyle w:val="FootnoteReference"/>
        </w:rPr>
        <w:footnoteRef/>
      </w:r>
      <w:r w:rsidRPr="00563DD1">
        <w:rPr>
          <w:lang w:val="fr-FR"/>
        </w:rPr>
        <w:t xml:space="preserve"> Article 8(6), RSPP, s. </w:t>
      </w:r>
      <w:hyperlink r:id="rId2" w:history="1">
        <w:r w:rsidRPr="00563DD1">
          <w:rPr>
            <w:rStyle w:val="Hyperlink"/>
            <w:lang w:val="fr-FR"/>
          </w:rPr>
          <w:t>http://eur-lex.europa.eu/legal-content/EN/ALL/?uri=CELEX:32012D0243</w:t>
        </w:r>
      </w:hyperlink>
      <w:r w:rsidRPr="00563DD1">
        <w:rPr>
          <w:lang w:val="fr-FR"/>
        </w:rPr>
        <w:t xml:space="preserve"> </w:t>
      </w:r>
    </w:p>
  </w:footnote>
  <w:footnote w:id="9">
    <w:p w:rsidR="000536B4" w:rsidRPr="00BC4D4A" w:rsidRDefault="000536B4" w:rsidP="00DA360A">
      <w:pPr>
        <w:pStyle w:val="FootnoteText"/>
        <w:rPr>
          <w:rFonts w:ascii="Times New Roman" w:hAnsi="Times New Roman"/>
          <w:sz w:val="18"/>
          <w:szCs w:val="18"/>
        </w:rPr>
      </w:pPr>
      <w:r w:rsidRPr="00BC4D4A">
        <w:rPr>
          <w:rStyle w:val="FootnoteReference"/>
          <w:rFonts w:ascii="Times New Roman" w:hAnsi="Times New Roman"/>
          <w:sz w:val="18"/>
          <w:szCs w:val="18"/>
        </w:rPr>
        <w:footnoteRef/>
      </w:r>
      <w:r w:rsidRPr="00BC4D4A">
        <w:rPr>
          <w:rFonts w:ascii="Times New Roman" w:hAnsi="Times New Roman"/>
          <w:sz w:val="18"/>
          <w:szCs w:val="18"/>
        </w:rPr>
        <w:t xml:space="preserve"> Enshrined in the RSPP and the Radio Spectrum Decision</w:t>
      </w:r>
    </w:p>
  </w:footnote>
  <w:footnote w:id="10">
    <w:p w:rsidR="000536B4" w:rsidRPr="00BC4D4A" w:rsidRDefault="000536B4" w:rsidP="00DA360A">
      <w:pPr>
        <w:pStyle w:val="FootnoteText"/>
        <w:rPr>
          <w:rFonts w:ascii="Times New Roman" w:hAnsi="Times New Roman"/>
          <w:sz w:val="18"/>
          <w:szCs w:val="18"/>
        </w:rPr>
      </w:pPr>
      <w:r w:rsidRPr="00BC4D4A">
        <w:rPr>
          <w:rStyle w:val="FootnoteReference"/>
          <w:rFonts w:ascii="Times New Roman" w:hAnsi="Times New Roman"/>
          <w:sz w:val="18"/>
          <w:szCs w:val="18"/>
        </w:rPr>
        <w:footnoteRef/>
      </w:r>
      <w:r w:rsidRPr="00BC4D4A">
        <w:rPr>
          <w:rFonts w:ascii="Times New Roman" w:hAnsi="Times New Roman"/>
          <w:sz w:val="18"/>
          <w:szCs w:val="18"/>
        </w:rPr>
        <w:t xml:space="preserve"> Subject to a public consultation</w:t>
      </w:r>
    </w:p>
  </w:footnote>
  <w:footnote w:id="11">
    <w:p w:rsidR="000536B4" w:rsidRPr="00F4720D" w:rsidRDefault="000536B4" w:rsidP="00DA360A">
      <w:pPr>
        <w:pStyle w:val="FootnoteText"/>
        <w:rPr>
          <w:rFonts w:ascii="Times New Roman" w:hAnsi="Times New Roman"/>
          <w:sz w:val="18"/>
          <w:szCs w:val="18"/>
        </w:rPr>
      </w:pPr>
      <w:r w:rsidRPr="00F4720D">
        <w:rPr>
          <w:rStyle w:val="FootnoteReference"/>
          <w:rFonts w:ascii="Times New Roman" w:hAnsi="Times New Roman"/>
          <w:sz w:val="18"/>
          <w:szCs w:val="18"/>
        </w:rPr>
        <w:footnoteRef/>
      </w:r>
      <w:r w:rsidRPr="00F4720D">
        <w:rPr>
          <w:rFonts w:ascii="Times New Roman" w:hAnsi="Times New Roman"/>
          <w:sz w:val="18"/>
          <w:szCs w:val="18"/>
        </w:rPr>
        <w:t xml:space="preserve"> In time for the </w:t>
      </w:r>
      <w:r>
        <w:rPr>
          <w:rFonts w:ascii="Times New Roman" w:hAnsi="Times New Roman"/>
          <w:sz w:val="18"/>
          <w:szCs w:val="18"/>
        </w:rPr>
        <w:t>RSC meeting in March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6B4" w:rsidRDefault="000536B4" w:rsidP="00D133EC">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6B4" w:rsidRPr="006E5939" w:rsidRDefault="000536B4" w:rsidP="006E5939">
    <w:pPr>
      <w:pStyle w:val="Header"/>
    </w:pPr>
    <w:r>
      <w:rPr>
        <w:lang w:val="da-DK"/>
      </w:rPr>
      <w:t>CEPT REPORT 66 -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CF6341" w:rsidRPr="00CF6341">
      <w:rPr>
        <w:noProof/>
        <w:szCs w:val="16"/>
        <w:lang w:val="da-DK"/>
      </w:rPr>
      <w:t>4</w:t>
    </w:r>
    <w:r>
      <w:rPr>
        <w:noProof/>
        <w:szCs w:val="16"/>
        <w:lang w:val="da-DK"/>
      </w:rPr>
      <w:fldChar w:fldCharType="end"/>
    </w:r>
    <w:r w:rsidRPr="00961ECA">
      <w:rPr>
        <w:lang w:val="da-DK"/>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6B4" w:rsidRPr="006E5939" w:rsidRDefault="000536B4" w:rsidP="00961ECA">
    <w:pPr>
      <w:pStyle w:val="Header"/>
      <w:jc w:val="right"/>
    </w:pPr>
    <w:r>
      <w:rPr>
        <w:lang w:val="da-DK"/>
      </w:rPr>
      <w:t>CEPT REPORT 66 -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CF6341" w:rsidRPr="00CF6341">
      <w:rPr>
        <w:noProof/>
        <w:szCs w:val="16"/>
        <w:lang w:val="da-DK"/>
      </w:rPr>
      <w:t>3</w:t>
    </w:r>
    <w:r>
      <w:rPr>
        <w:noProof/>
        <w:szCs w:val="16"/>
        <w:lang w:val="da-DK"/>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6B4" w:rsidRPr="001223D0" w:rsidRDefault="000536B4" w:rsidP="00AB46DF">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225.4pt;height:58.7pt" o:bullet="t">
        <v:imagedata r:id="rId1" o:title="Editor's Note"/>
      </v:shape>
    </w:pict>
  </w:numPicBullet>
  <w:abstractNum w:abstractNumId="0">
    <w:nsid w:val="0A145E77"/>
    <w:multiLevelType w:val="hybridMultilevel"/>
    <w:tmpl w:val="6BAC05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1E1218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4">
    <w:nsid w:val="1D1727D6"/>
    <w:multiLevelType w:val="hybridMultilevel"/>
    <w:tmpl w:val="F5D206FC"/>
    <w:lvl w:ilvl="0" w:tplc="0407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7">
    <w:nsid w:val="2ECC7D8D"/>
    <w:multiLevelType w:val="multilevel"/>
    <w:tmpl w:val="FCEC7FBC"/>
    <w:numStyleLink w:val="ECCBullets"/>
  </w:abstractNum>
  <w:abstractNum w:abstractNumId="8">
    <w:nsid w:val="36144A2E"/>
    <w:multiLevelType w:val="hybridMultilevel"/>
    <w:tmpl w:val="F1C81966"/>
    <w:lvl w:ilvl="0" w:tplc="0407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D163F7A"/>
    <w:multiLevelType w:val="multilevel"/>
    <w:tmpl w:val="02CEEBD6"/>
    <w:lvl w:ilvl="0">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1">
    <w:nsid w:val="3DB621BD"/>
    <w:multiLevelType w:val="hybridMultilevel"/>
    <w:tmpl w:val="075237BC"/>
    <w:lvl w:ilvl="0" w:tplc="147AD42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2337F5"/>
    <w:multiLevelType w:val="hybridMultilevel"/>
    <w:tmpl w:val="D25A54C4"/>
    <w:lvl w:ilvl="0" w:tplc="432447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4F2C03E1"/>
    <w:multiLevelType w:val="hybridMultilevel"/>
    <w:tmpl w:val="F6C20D8C"/>
    <w:lvl w:ilvl="0" w:tplc="147AD42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C9214DC"/>
    <w:multiLevelType w:val="multilevel"/>
    <w:tmpl w:val="70EEBD5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7">
    <w:nsid w:val="659E20B3"/>
    <w:multiLevelType w:val="hybridMultilevel"/>
    <w:tmpl w:val="9FEA55BA"/>
    <w:lvl w:ilvl="0" w:tplc="56CC27A0">
      <w:start w:val="1"/>
      <w:numFmt w:val="lowerLetter"/>
      <w:lvlText w:val="%1."/>
      <w:lvlJc w:val="left"/>
      <w:pPr>
        <w:tabs>
          <w:tab w:val="num" w:pos="705"/>
        </w:tabs>
        <w:ind w:left="705" w:hanging="705"/>
      </w:pPr>
      <w:rPr>
        <w:rFonts w:ascii="Arial" w:hAnsi="Arial" w:cs="Times New Roman" w:hint="default"/>
        <w:color w:val="C00000"/>
        <w:sz w:val="2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8">
    <w:nsid w:val="6BB669FE"/>
    <w:multiLevelType w:val="hybridMultilevel"/>
    <w:tmpl w:val="5E8480AA"/>
    <w:lvl w:ilvl="0" w:tplc="147AD42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076401A"/>
    <w:multiLevelType w:val="multilevel"/>
    <w:tmpl w:val="FCEC7FBC"/>
    <w:numStyleLink w:val="ECCBullets"/>
  </w:abstractNum>
  <w:abstractNum w:abstractNumId="20">
    <w:nsid w:val="71C84BA5"/>
    <w:multiLevelType w:val="hybridMultilevel"/>
    <w:tmpl w:val="7B6C42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21"/>
  </w:num>
  <w:num w:numId="3">
    <w:abstractNumId w:val="14"/>
  </w:num>
  <w:num w:numId="4">
    <w:abstractNumId w:val="5"/>
  </w:num>
  <w:num w:numId="5">
    <w:abstractNumId w:val="12"/>
  </w:num>
  <w:num w:numId="6">
    <w:abstractNumId w:val="12"/>
    <w:lvlOverride w:ilvl="0">
      <w:startOverride w:val="1"/>
    </w:lvlOverride>
  </w:num>
  <w:num w:numId="7">
    <w:abstractNumId w:val="3"/>
  </w:num>
  <w:num w:numId="8">
    <w:abstractNumId w:val="10"/>
  </w:num>
  <w:num w:numId="9">
    <w:abstractNumId w:val="6"/>
  </w:num>
  <w:num w:numId="10">
    <w:abstractNumId w:val="13"/>
  </w:num>
  <w:num w:numId="11">
    <w:abstractNumId w:val="1"/>
  </w:num>
  <w:num w:numId="12">
    <w:abstractNumId w:val="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7"/>
  </w:num>
  <w:num w:numId="16">
    <w:abstractNumId w:val="15"/>
  </w:num>
  <w:num w:numId="17">
    <w:abstractNumId w:val="11"/>
  </w:num>
  <w:num w:numId="18">
    <w:abstractNumId w:val="0"/>
  </w:num>
  <w:num w:numId="19">
    <w:abstractNumId w:val="20"/>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8"/>
  </w:num>
  <w:num w:numId="29">
    <w:abstractNumId w:val="4"/>
  </w:num>
  <w:num w:numId="30">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ve Green">
    <w15:presenceInfo w15:providerId="None" w15:userId="Steve Gre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removePersonalInformation/>
  <w:removeDateAndTime/>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ocumentProtection w:edit="trackedChanges" w:enforcement="1" w:cryptProviderType="rsaFull" w:cryptAlgorithmClass="hash" w:cryptAlgorithmType="typeAny" w:cryptAlgorithmSid="4" w:cryptSpinCount="100000" w:hash="sx2doXVyg5b4Op/LmtRFxfZvwzE=" w:salt="kcwsifmFHa8VwcLWtGQsuQ=="/>
  <w:defaultTabStop w:val="720"/>
  <w:hyphenationZone w:val="425"/>
  <w:evenAndOddHeaders/>
  <w:characterSpacingControl w:val="doNotCompress"/>
  <w:hdrShapeDefaults>
    <o:shapedefaults v:ext="edit" spidmax="2049">
      <o:colormru v:ext="edit" colors="#7b6c58,#887e6e,#b0a696,#82828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60A"/>
    <w:rsid w:val="000348C1"/>
    <w:rsid w:val="0005207D"/>
    <w:rsid w:val="000536B4"/>
    <w:rsid w:val="00080AF2"/>
    <w:rsid w:val="00092EE5"/>
    <w:rsid w:val="00094746"/>
    <w:rsid w:val="000A6A95"/>
    <w:rsid w:val="000B3DAE"/>
    <w:rsid w:val="000C30BC"/>
    <w:rsid w:val="000D40D8"/>
    <w:rsid w:val="000E53C2"/>
    <w:rsid w:val="000E79C9"/>
    <w:rsid w:val="00126A9F"/>
    <w:rsid w:val="00132E15"/>
    <w:rsid w:val="001406E6"/>
    <w:rsid w:val="00166B36"/>
    <w:rsid w:val="001730C2"/>
    <w:rsid w:val="0017310D"/>
    <w:rsid w:val="00180F3A"/>
    <w:rsid w:val="001820F3"/>
    <w:rsid w:val="00185AD2"/>
    <w:rsid w:val="001A3BDC"/>
    <w:rsid w:val="001C530B"/>
    <w:rsid w:val="001E4CAF"/>
    <w:rsid w:val="001E5663"/>
    <w:rsid w:val="001E6B01"/>
    <w:rsid w:val="001F2575"/>
    <w:rsid w:val="001F2CD7"/>
    <w:rsid w:val="00216BE1"/>
    <w:rsid w:val="002209A7"/>
    <w:rsid w:val="00241295"/>
    <w:rsid w:val="00252D1B"/>
    <w:rsid w:val="00252E45"/>
    <w:rsid w:val="00257791"/>
    <w:rsid w:val="002647C7"/>
    <w:rsid w:val="00287E9E"/>
    <w:rsid w:val="002A449F"/>
    <w:rsid w:val="002B565D"/>
    <w:rsid w:val="002C6031"/>
    <w:rsid w:val="002E1ABD"/>
    <w:rsid w:val="00304FF6"/>
    <w:rsid w:val="00307D2B"/>
    <w:rsid w:val="00307EF7"/>
    <w:rsid w:val="00320616"/>
    <w:rsid w:val="00322C38"/>
    <w:rsid w:val="00324AED"/>
    <w:rsid w:val="003355DB"/>
    <w:rsid w:val="00337627"/>
    <w:rsid w:val="0034362A"/>
    <w:rsid w:val="00356B45"/>
    <w:rsid w:val="00357262"/>
    <w:rsid w:val="00363B2D"/>
    <w:rsid w:val="00367F1A"/>
    <w:rsid w:val="00387350"/>
    <w:rsid w:val="003962D1"/>
    <w:rsid w:val="003A3B71"/>
    <w:rsid w:val="003B4FCF"/>
    <w:rsid w:val="003C3EE4"/>
    <w:rsid w:val="003E4F50"/>
    <w:rsid w:val="003E6CDD"/>
    <w:rsid w:val="0040027B"/>
    <w:rsid w:val="00401F1B"/>
    <w:rsid w:val="004235B6"/>
    <w:rsid w:val="004271EC"/>
    <w:rsid w:val="00435736"/>
    <w:rsid w:val="00437AF2"/>
    <w:rsid w:val="004413AF"/>
    <w:rsid w:val="00450EFF"/>
    <w:rsid w:val="004548ED"/>
    <w:rsid w:val="0046658E"/>
    <w:rsid w:val="00475CFD"/>
    <w:rsid w:val="004827DA"/>
    <w:rsid w:val="00487D41"/>
    <w:rsid w:val="00490738"/>
    <w:rsid w:val="00495BBD"/>
    <w:rsid w:val="004A1B0F"/>
    <w:rsid w:val="004B5A19"/>
    <w:rsid w:val="004C5C20"/>
    <w:rsid w:val="00506286"/>
    <w:rsid w:val="00512677"/>
    <w:rsid w:val="00514A08"/>
    <w:rsid w:val="005150B2"/>
    <w:rsid w:val="00525EED"/>
    <w:rsid w:val="00532049"/>
    <w:rsid w:val="00546D8A"/>
    <w:rsid w:val="005676A6"/>
    <w:rsid w:val="005723E3"/>
    <w:rsid w:val="005735C3"/>
    <w:rsid w:val="00575C2A"/>
    <w:rsid w:val="0058775D"/>
    <w:rsid w:val="005A6293"/>
    <w:rsid w:val="005B2F4B"/>
    <w:rsid w:val="005C645B"/>
    <w:rsid w:val="005E7772"/>
    <w:rsid w:val="00612394"/>
    <w:rsid w:val="006202C7"/>
    <w:rsid w:val="006210E3"/>
    <w:rsid w:val="0063008A"/>
    <w:rsid w:val="006346CB"/>
    <w:rsid w:val="006365BB"/>
    <w:rsid w:val="006378A7"/>
    <w:rsid w:val="006464CA"/>
    <w:rsid w:val="0066050B"/>
    <w:rsid w:val="00673747"/>
    <w:rsid w:val="006830E5"/>
    <w:rsid w:val="0068634A"/>
    <w:rsid w:val="006B6B4D"/>
    <w:rsid w:val="006C1626"/>
    <w:rsid w:val="006C43DF"/>
    <w:rsid w:val="006D6FF7"/>
    <w:rsid w:val="006E5939"/>
    <w:rsid w:val="006F2504"/>
    <w:rsid w:val="006F5883"/>
    <w:rsid w:val="007327D1"/>
    <w:rsid w:val="00755BF6"/>
    <w:rsid w:val="00756DA5"/>
    <w:rsid w:val="00770AA9"/>
    <w:rsid w:val="00773161"/>
    <w:rsid w:val="007735CA"/>
    <w:rsid w:val="00787171"/>
    <w:rsid w:val="007926FF"/>
    <w:rsid w:val="00796B7C"/>
    <w:rsid w:val="007A21CE"/>
    <w:rsid w:val="007A4E7F"/>
    <w:rsid w:val="007B641B"/>
    <w:rsid w:val="007D7DAD"/>
    <w:rsid w:val="007E384F"/>
    <w:rsid w:val="007F2246"/>
    <w:rsid w:val="007F5EF6"/>
    <w:rsid w:val="007F623A"/>
    <w:rsid w:val="008449AB"/>
    <w:rsid w:val="008518F7"/>
    <w:rsid w:val="008559C0"/>
    <w:rsid w:val="00860A3A"/>
    <w:rsid w:val="00860EF9"/>
    <w:rsid w:val="00866FC4"/>
    <w:rsid w:val="0088492A"/>
    <w:rsid w:val="00896FD5"/>
    <w:rsid w:val="008D0DD4"/>
    <w:rsid w:val="008F3544"/>
    <w:rsid w:val="00911E6B"/>
    <w:rsid w:val="00926184"/>
    <w:rsid w:val="00931AF3"/>
    <w:rsid w:val="00941A3F"/>
    <w:rsid w:val="00950196"/>
    <w:rsid w:val="00961ECA"/>
    <w:rsid w:val="0097227A"/>
    <w:rsid w:val="009827EF"/>
    <w:rsid w:val="00996D83"/>
    <w:rsid w:val="009A37F5"/>
    <w:rsid w:val="009C5C1D"/>
    <w:rsid w:val="009D1B2D"/>
    <w:rsid w:val="009D3309"/>
    <w:rsid w:val="009D4991"/>
    <w:rsid w:val="009D74E2"/>
    <w:rsid w:val="009E37E3"/>
    <w:rsid w:val="009F46C1"/>
    <w:rsid w:val="009F70EC"/>
    <w:rsid w:val="00A02E7F"/>
    <w:rsid w:val="00A1047A"/>
    <w:rsid w:val="00A23EA5"/>
    <w:rsid w:val="00A70AEA"/>
    <w:rsid w:val="00A906ED"/>
    <w:rsid w:val="00AB46DF"/>
    <w:rsid w:val="00AD4322"/>
    <w:rsid w:val="00B10ECC"/>
    <w:rsid w:val="00B356A1"/>
    <w:rsid w:val="00B35A92"/>
    <w:rsid w:val="00B445A6"/>
    <w:rsid w:val="00B62CDB"/>
    <w:rsid w:val="00B66BDF"/>
    <w:rsid w:val="00B73135"/>
    <w:rsid w:val="00B76AEE"/>
    <w:rsid w:val="00B775DD"/>
    <w:rsid w:val="00B84810"/>
    <w:rsid w:val="00B922F1"/>
    <w:rsid w:val="00BB2F5F"/>
    <w:rsid w:val="00C079CF"/>
    <w:rsid w:val="00C111CB"/>
    <w:rsid w:val="00C1495E"/>
    <w:rsid w:val="00C14B93"/>
    <w:rsid w:val="00C54CF8"/>
    <w:rsid w:val="00C67861"/>
    <w:rsid w:val="00C67D2F"/>
    <w:rsid w:val="00C81566"/>
    <w:rsid w:val="00C93A9D"/>
    <w:rsid w:val="00CB04DE"/>
    <w:rsid w:val="00CB2C1F"/>
    <w:rsid w:val="00CD2B34"/>
    <w:rsid w:val="00CE3551"/>
    <w:rsid w:val="00CF514A"/>
    <w:rsid w:val="00CF6341"/>
    <w:rsid w:val="00D133EC"/>
    <w:rsid w:val="00D16A7D"/>
    <w:rsid w:val="00D20E3B"/>
    <w:rsid w:val="00D32D85"/>
    <w:rsid w:val="00D32E52"/>
    <w:rsid w:val="00D331B3"/>
    <w:rsid w:val="00D41E91"/>
    <w:rsid w:val="00D579D1"/>
    <w:rsid w:val="00D72261"/>
    <w:rsid w:val="00D86675"/>
    <w:rsid w:val="00DA360A"/>
    <w:rsid w:val="00DB4090"/>
    <w:rsid w:val="00DC7EE2"/>
    <w:rsid w:val="00E32DD0"/>
    <w:rsid w:val="00E44062"/>
    <w:rsid w:val="00E74A63"/>
    <w:rsid w:val="00E96F8A"/>
    <w:rsid w:val="00EA3F40"/>
    <w:rsid w:val="00ED6A39"/>
    <w:rsid w:val="00EF3479"/>
    <w:rsid w:val="00EF5268"/>
    <w:rsid w:val="00F05652"/>
    <w:rsid w:val="00F0623F"/>
    <w:rsid w:val="00F26674"/>
    <w:rsid w:val="00F55618"/>
    <w:rsid w:val="00F648F4"/>
    <w:rsid w:val="00F64CCA"/>
    <w:rsid w:val="00F71017"/>
    <w:rsid w:val="00F71DB0"/>
    <w:rsid w:val="00F8235E"/>
    <w:rsid w:val="00F950E8"/>
    <w:rsid w:val="00FD2F22"/>
    <w:rsid w:val="00FE59A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828282"/>
    </o:shapedefaults>
    <o:shapelayout v:ext="edit">
      <o:idmap v:ext="edit" data="1"/>
    </o:shapelayout>
  </w:shapeDefaults>
  <w:decimalSymbol w:val=","/>
  <w:listSeparator w:val=";"/>
  <w14:docId w14:val="2A83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1" w:unhideWhenUsed="0" w:qFormat="1"/>
    <w:lsdException w:name="Outline List 1" w:uiPriority="0"/>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D20E3B"/>
    <w:pPr>
      <w:keepNext/>
      <w:pageBreakBefore/>
      <w:numPr>
        <w:numId w:val="1"/>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961ECA"/>
    <w:pPr>
      <w:keepNext/>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D20E3B"/>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D20E3B"/>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D20E3B"/>
    <w:pPr>
      <w:numPr>
        <w:ilvl w:val="4"/>
        <w:numId w:val="1"/>
      </w:numPr>
      <w:spacing w:before="240" w:after="60"/>
      <w:outlineLvl w:val="4"/>
    </w:pPr>
    <w:rPr>
      <w:b/>
      <w:bCs/>
      <w:i/>
      <w:iCs/>
      <w:sz w:val="26"/>
      <w:szCs w:val="26"/>
    </w:rPr>
  </w:style>
  <w:style w:type="paragraph" w:styleId="Heading6">
    <w:name w:val="heading 6"/>
    <w:basedOn w:val="Normal"/>
    <w:next w:val="Normal"/>
    <w:qFormat/>
    <w:rsid w:val="00D20E3B"/>
    <w:pPr>
      <w:numPr>
        <w:ilvl w:val="5"/>
        <w:numId w:val="1"/>
      </w:numPr>
      <w:spacing w:before="240" w:after="60"/>
      <w:outlineLvl w:val="5"/>
    </w:pPr>
    <w:rPr>
      <w:b/>
      <w:bCs/>
      <w:sz w:val="22"/>
      <w:szCs w:val="22"/>
    </w:rPr>
  </w:style>
  <w:style w:type="paragraph" w:styleId="Heading7">
    <w:name w:val="heading 7"/>
    <w:basedOn w:val="Normal"/>
    <w:next w:val="Normal"/>
    <w:qFormat/>
    <w:rsid w:val="00D20E3B"/>
    <w:pPr>
      <w:numPr>
        <w:ilvl w:val="6"/>
        <w:numId w:val="1"/>
      </w:numPr>
      <w:spacing w:before="240" w:after="60"/>
      <w:outlineLvl w:val="6"/>
    </w:pPr>
    <w:rPr>
      <w:sz w:val="24"/>
    </w:rPr>
  </w:style>
  <w:style w:type="paragraph" w:styleId="Heading8">
    <w:name w:val="heading 8"/>
    <w:basedOn w:val="Normal"/>
    <w:next w:val="Normal"/>
    <w:qFormat/>
    <w:rsid w:val="00D20E3B"/>
    <w:pPr>
      <w:numPr>
        <w:ilvl w:val="7"/>
        <w:numId w:val="1"/>
      </w:numPr>
      <w:spacing w:before="240" w:after="60"/>
      <w:outlineLvl w:val="7"/>
    </w:pPr>
    <w:rPr>
      <w:i/>
      <w:iCs/>
      <w:sz w:val="24"/>
    </w:rPr>
  </w:style>
  <w:style w:type="paragraph" w:styleId="Heading9">
    <w:name w:val="heading 9"/>
    <w:basedOn w:val="Normal"/>
    <w:next w:val="Normal"/>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styleId="Header">
    <w:name w:val="header"/>
    <w:basedOn w:val="Normal"/>
    <w:link w:val="HeaderChar"/>
    <w:uiPriority w:val="99"/>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rsid w:val="002209A7"/>
    <w:pPr>
      <w:numPr>
        <w:numId w:val="4"/>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uiPriority w:val="59"/>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
    <w:basedOn w:val="Normal"/>
    <w:link w:val="FootnoteTextChar"/>
    <w:semiHidden/>
    <w:qFormat/>
    <w:rsid w:val="008935B9"/>
    <w:rPr>
      <w:szCs w:val="20"/>
    </w:rPr>
  </w:style>
  <w:style w:type="character" w:styleId="FootnoteReference">
    <w:name w:val="footnote reference"/>
    <w:aliases w:val="Appel note de bas de p,Nota,Footnote symbol,Footnote,ECC Footnote number"/>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NoList"/>
    <w:rsid w:val="003C3EE4"/>
    <w:pPr>
      <w:numPr>
        <w:numId w:val="7"/>
      </w:numPr>
    </w:pPr>
  </w:style>
  <w:style w:type="paragraph" w:customStyle="1" w:styleId="ECCNumbered-LetteredList">
    <w:name w:val="ECC Numbered-Lettered List"/>
    <w:basedOn w:val="Normal"/>
    <w:qFormat/>
    <w:rsid w:val="00D20E3B"/>
    <w:pPr>
      <w:numPr>
        <w:numId w:val="9"/>
      </w:numPr>
    </w:pPr>
  </w:style>
  <w:style w:type="paragraph" w:customStyle="1" w:styleId="ECCNumberedBullets">
    <w:name w:val="ECC Numbered Bullets"/>
    <w:basedOn w:val="Normal"/>
    <w:rsid w:val="00D20E3B"/>
    <w:pPr>
      <w:numPr>
        <w:numId w:val="8"/>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8"/>
      </w:numPr>
    </w:pPr>
  </w:style>
  <w:style w:type="numbering" w:customStyle="1" w:styleId="ECCNumbers-Letters">
    <w:name w:val="ECC Numbers-Letters"/>
    <w:uiPriority w:val="99"/>
    <w:rsid w:val="00D20E3B"/>
    <w:pPr>
      <w:numPr>
        <w:numId w:val="9"/>
      </w:numPr>
    </w:pPr>
  </w:style>
  <w:style w:type="character" w:customStyle="1" w:styleId="FootnoteTextChar">
    <w:name w:val="Footnote Text Char"/>
    <w:aliases w:val="footnote text Char,ALTS FOOTNOTE Char"/>
    <w:basedOn w:val="DefaultParagraphFont"/>
    <w:link w:val="FootnoteText"/>
    <w:semiHidden/>
    <w:rsid w:val="00DA360A"/>
    <w:rPr>
      <w:rFonts w:ascii="Arial" w:hAnsi="Arial"/>
      <w:lang w:val="en-US"/>
    </w:rPr>
  </w:style>
  <w:style w:type="paragraph" w:customStyle="1" w:styleId="AddressTR">
    <w:name w:val="AddressTR"/>
    <w:basedOn w:val="Normal"/>
    <w:next w:val="Normal"/>
    <w:rsid w:val="00DA360A"/>
    <w:pPr>
      <w:spacing w:after="720"/>
      <w:ind w:left="5103"/>
    </w:pPr>
    <w:rPr>
      <w:rFonts w:ascii="Times New Roman" w:hAnsi="Times New Roman"/>
      <w:sz w:val="24"/>
      <w:szCs w:val="20"/>
      <w:lang w:val="en-GB" w:eastAsia="fr-BE"/>
    </w:rPr>
  </w:style>
  <w:style w:type="paragraph" w:styleId="ListParagraph">
    <w:name w:val="List Paragraph"/>
    <w:basedOn w:val="Normal"/>
    <w:uiPriority w:val="34"/>
    <w:qFormat/>
    <w:rsid w:val="00DA360A"/>
    <w:pPr>
      <w:spacing w:after="200" w:line="276" w:lineRule="auto"/>
      <w:ind w:left="720"/>
      <w:contextualSpacing/>
    </w:pPr>
    <w:rPr>
      <w:rFonts w:asciiTheme="minorHAnsi" w:eastAsiaTheme="minorHAnsi" w:hAnsiTheme="minorHAnsi" w:cstheme="minorBidi"/>
      <w:sz w:val="22"/>
      <w:szCs w:val="22"/>
      <w:lang w:val="en-GB"/>
    </w:rPr>
  </w:style>
  <w:style w:type="paragraph" w:customStyle="1" w:styleId="ECCReference">
    <w:name w:val="ECC Reference"/>
    <w:basedOn w:val="Normal"/>
    <w:rsid w:val="00B445A6"/>
    <w:pPr>
      <w:tabs>
        <w:tab w:val="num" w:pos="397"/>
      </w:tabs>
      <w:ind w:left="397" w:hanging="397"/>
      <w:jc w:val="both"/>
    </w:pPr>
    <w:rPr>
      <w:rFonts w:eastAsia="Calibri"/>
      <w:szCs w:val="22"/>
      <w:lang w:val="en-GB" w:eastAsia="ja-JP"/>
    </w:rPr>
  </w:style>
  <w:style w:type="character" w:styleId="CommentReference">
    <w:name w:val="annotation reference"/>
    <w:basedOn w:val="DefaultParagraphFont"/>
    <w:unhideWhenUsed/>
    <w:rsid w:val="006202C7"/>
    <w:rPr>
      <w:sz w:val="16"/>
      <w:szCs w:val="16"/>
    </w:rPr>
  </w:style>
  <w:style w:type="paragraph" w:styleId="CommentText">
    <w:name w:val="annotation text"/>
    <w:basedOn w:val="Normal"/>
    <w:link w:val="CommentTextChar"/>
    <w:unhideWhenUsed/>
    <w:rsid w:val="006202C7"/>
    <w:rPr>
      <w:szCs w:val="20"/>
    </w:rPr>
  </w:style>
  <w:style w:type="character" w:customStyle="1" w:styleId="CommentTextChar">
    <w:name w:val="Comment Text Char"/>
    <w:basedOn w:val="DefaultParagraphFont"/>
    <w:link w:val="CommentText"/>
    <w:rsid w:val="006202C7"/>
    <w:rPr>
      <w:rFonts w:ascii="Arial" w:hAnsi="Arial"/>
      <w:lang w:val="en-US"/>
    </w:rPr>
  </w:style>
  <w:style w:type="paragraph" w:styleId="CommentSubject">
    <w:name w:val="annotation subject"/>
    <w:basedOn w:val="CommentText"/>
    <w:next w:val="CommentText"/>
    <w:link w:val="CommentSubjectChar"/>
    <w:uiPriority w:val="99"/>
    <w:semiHidden/>
    <w:unhideWhenUsed/>
    <w:rsid w:val="006202C7"/>
    <w:rPr>
      <w:b/>
      <w:bCs/>
    </w:rPr>
  </w:style>
  <w:style w:type="character" w:customStyle="1" w:styleId="CommentSubjectChar">
    <w:name w:val="Comment Subject Char"/>
    <w:basedOn w:val="CommentTextChar"/>
    <w:link w:val="CommentSubject"/>
    <w:uiPriority w:val="99"/>
    <w:semiHidden/>
    <w:rsid w:val="006202C7"/>
    <w:rPr>
      <w:rFonts w:ascii="Arial" w:hAnsi="Arial"/>
      <w:b/>
      <w:bCs/>
      <w:lang w:val="en-US"/>
    </w:rPr>
  </w:style>
  <w:style w:type="paragraph" w:customStyle="1" w:styleId="ECCBulletsLv1">
    <w:name w:val="ECC Bullets Lv1"/>
    <w:basedOn w:val="Normal"/>
    <w:qFormat/>
    <w:rsid w:val="007F5EF6"/>
    <w:pPr>
      <w:numPr>
        <w:numId w:val="11"/>
      </w:numPr>
      <w:tabs>
        <w:tab w:val="left" w:pos="340"/>
      </w:tabs>
      <w:spacing w:before="60"/>
      <w:jc w:val="both"/>
    </w:pPr>
    <w:rPr>
      <w:rFonts w:eastAsia="Calibri"/>
      <w:szCs w:val="22"/>
      <w:lang w:val="en-GB"/>
    </w:rPr>
  </w:style>
  <w:style w:type="paragraph" w:styleId="Caption">
    <w:name w:val="caption"/>
    <w:aliases w:val="ECC Caption"/>
    <w:next w:val="Normal"/>
    <w:qFormat/>
    <w:rsid w:val="007F5EF6"/>
    <w:pPr>
      <w:keepLines/>
      <w:tabs>
        <w:tab w:val="left" w:pos="0"/>
        <w:tab w:val="center" w:pos="4820"/>
        <w:tab w:val="right" w:pos="9639"/>
      </w:tabs>
      <w:spacing w:before="240" w:after="240"/>
      <w:contextualSpacing/>
      <w:jc w:val="center"/>
    </w:pPr>
    <w:rPr>
      <w:rFonts w:ascii="Arial" w:hAnsi="Arial"/>
      <w:b/>
      <w:bCs/>
      <w:color w:val="D2232A"/>
      <w:lang w:val="da-DK"/>
    </w:rPr>
  </w:style>
  <w:style w:type="table" w:customStyle="1" w:styleId="ECCTable-redheader">
    <w:name w:val="ECC Table - red header"/>
    <w:basedOn w:val="TableNormal"/>
    <w:uiPriority w:val="99"/>
    <w:rsid w:val="007F5EF6"/>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Autospacing="0" w:afterLines="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Tabletext">
    <w:name w:val="ECC Table text"/>
    <w:basedOn w:val="Normal"/>
    <w:qFormat/>
    <w:rsid w:val="00B775DD"/>
    <w:pPr>
      <w:spacing w:after="60"/>
      <w:jc w:val="both"/>
    </w:pPr>
    <w:rPr>
      <w:rFonts w:eastAsia="Calibri"/>
      <w:szCs w:val="22"/>
      <w:lang w:val="en-GB"/>
    </w:rPr>
  </w:style>
  <w:style w:type="character" w:customStyle="1" w:styleId="ECCHLbold">
    <w:name w:val="ECC HL bold"/>
    <w:uiPriority w:val="1"/>
    <w:qFormat/>
    <w:rsid w:val="00B775DD"/>
    <w:rPr>
      <w:b/>
      <w:bCs w:val="0"/>
    </w:rPr>
  </w:style>
  <w:style w:type="paragraph" w:styleId="TOCHeading">
    <w:name w:val="TOC Heading"/>
    <w:basedOn w:val="Heading1"/>
    <w:next w:val="Normal"/>
    <w:uiPriority w:val="39"/>
    <w:semiHidden/>
    <w:qFormat/>
    <w:rsid w:val="00B775DD"/>
    <w:pPr>
      <w:keepLines/>
      <w:numPr>
        <w:numId w:val="0"/>
      </w:numPr>
      <w:spacing w:before="480" w:after="0"/>
      <w:jc w:val="both"/>
      <w:outlineLvl w:val="9"/>
    </w:pPr>
    <w:rPr>
      <w:rFonts w:asciiTheme="majorHAnsi" w:eastAsiaTheme="majorEastAsia" w:hAnsiTheme="majorHAnsi" w:cstheme="majorBidi"/>
      <w:caps w:val="0"/>
      <w:color w:val="365F91" w:themeColor="accent1" w:themeShade="BF"/>
      <w:kern w:val="0"/>
      <w:sz w:val="28"/>
      <w:szCs w:val="28"/>
    </w:rPr>
  </w:style>
  <w:style w:type="character" w:customStyle="1" w:styleId="ECCHLcyan">
    <w:name w:val="ECC HL cyan"/>
    <w:basedOn w:val="DefaultParagraphFont"/>
    <w:uiPriority w:val="1"/>
    <w:qFormat/>
    <w:rsid w:val="00B775DD"/>
    <w:rPr>
      <w:iCs w:val="0"/>
      <w:bdr w:val="none" w:sz="0" w:space="0" w:color="auto"/>
      <w:shd w:val="solid" w:color="00FFFF" w:fill="auto"/>
      <w:lang w:val="en-GB"/>
    </w:rPr>
  </w:style>
  <w:style w:type="table" w:customStyle="1" w:styleId="ECCTable-clean">
    <w:name w:val="ECC Table - clean"/>
    <w:uiPriority w:val="99"/>
    <w:rsid w:val="00B775DD"/>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Autospacing="0" w:afterLines="0" w:afterAutospacing="0" w:line="240" w:lineRule="auto"/>
        <w:jc w:val="left"/>
      </w:pPr>
      <w:rPr>
        <w:b/>
        <w:i w:val="0"/>
      </w:rPr>
      <w:tblPr/>
      <w:trPr>
        <w:tblHeader/>
      </w:trPr>
    </w:tblStylePr>
  </w:style>
  <w:style w:type="character" w:customStyle="1" w:styleId="tgc">
    <w:name w:val="_tgc"/>
    <w:basedOn w:val="DefaultParagraphFont"/>
    <w:rsid w:val="00B775DD"/>
  </w:style>
  <w:style w:type="character" w:styleId="Emphasis">
    <w:name w:val="Emphasis"/>
    <w:aliases w:val="ECC HL italics"/>
    <w:uiPriority w:val="1"/>
    <w:qFormat/>
    <w:rsid w:val="00506286"/>
    <w:rPr>
      <w:i/>
    </w:rPr>
  </w:style>
  <w:style w:type="numbering" w:styleId="1ai">
    <w:name w:val="Outline List 1"/>
    <w:basedOn w:val="NoList"/>
    <w:rsid w:val="00287E9E"/>
    <w:pPr>
      <w:numPr>
        <w:numId w:val="12"/>
      </w:numPr>
    </w:pPr>
  </w:style>
  <w:style w:type="paragraph" w:customStyle="1" w:styleId="ECCFiguregraphcentered">
    <w:name w:val="ECC Figure/graph centered"/>
    <w:next w:val="Normal"/>
    <w:qFormat/>
    <w:rsid w:val="002E1ABD"/>
    <w:pPr>
      <w:spacing w:before="240" w:after="240"/>
      <w:jc w:val="center"/>
    </w:pPr>
    <w:rPr>
      <w:rFonts w:ascii="Arial" w:hAnsi="Arial"/>
      <w:noProof/>
      <w:lang w:val="de-DE" w:eastAsia="de-DE"/>
    </w:rPr>
  </w:style>
  <w:style w:type="character" w:customStyle="1" w:styleId="ECCHLunderlined">
    <w:name w:val="ECC HL underlined"/>
    <w:uiPriority w:val="1"/>
    <w:qFormat/>
    <w:rsid w:val="002E1ABD"/>
    <w:rPr>
      <w:u w:val="single"/>
    </w:rPr>
  </w:style>
  <w:style w:type="character" w:styleId="IntenseReference">
    <w:name w:val="Intense Reference"/>
    <w:aliases w:val="cover page 'Report No'"/>
    <w:basedOn w:val="DefaultParagraphFont"/>
    <w:qFormat/>
    <w:rsid w:val="001E6B01"/>
    <w:rPr>
      <w:b/>
      <w:bCs/>
      <w:caps w:val="0"/>
      <w:smallCaps w:val="0"/>
      <w:color w:val="632423" w:themeColor="accent2" w:themeShade="80"/>
      <w:spacing w:val="5"/>
      <w:u w:val="none"/>
      <w:bdr w:val="none" w:sz="0" w:space="0" w:color="auto"/>
      <w:vertAlign w:val="baseline"/>
    </w:rPr>
  </w:style>
  <w:style w:type="character" w:customStyle="1" w:styleId="HeaderChar">
    <w:name w:val="Header Char"/>
    <w:basedOn w:val="DefaultParagraphFont"/>
    <w:link w:val="Header"/>
    <w:uiPriority w:val="99"/>
    <w:rsid w:val="00CB2C1F"/>
    <w:rPr>
      <w:rFonts w:ascii="Arial" w:hAnsi="Arial"/>
      <w:b/>
      <w:sz w:val="16"/>
      <w:szCs w:val="24"/>
      <w:lang w:val="en-US"/>
    </w:rPr>
  </w:style>
  <w:style w:type="character" w:styleId="PageNumber">
    <w:name w:val="page number"/>
    <w:basedOn w:val="DefaultParagraphFont"/>
    <w:rsid w:val="006365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1" w:unhideWhenUsed="0" w:qFormat="1"/>
    <w:lsdException w:name="Outline List 1" w:uiPriority="0"/>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D20E3B"/>
    <w:pPr>
      <w:keepNext/>
      <w:pageBreakBefore/>
      <w:numPr>
        <w:numId w:val="1"/>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961ECA"/>
    <w:pPr>
      <w:keepNext/>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D20E3B"/>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D20E3B"/>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D20E3B"/>
    <w:pPr>
      <w:numPr>
        <w:ilvl w:val="4"/>
        <w:numId w:val="1"/>
      </w:numPr>
      <w:spacing w:before="240" w:after="60"/>
      <w:outlineLvl w:val="4"/>
    </w:pPr>
    <w:rPr>
      <w:b/>
      <w:bCs/>
      <w:i/>
      <w:iCs/>
      <w:sz w:val="26"/>
      <w:szCs w:val="26"/>
    </w:rPr>
  </w:style>
  <w:style w:type="paragraph" w:styleId="Heading6">
    <w:name w:val="heading 6"/>
    <w:basedOn w:val="Normal"/>
    <w:next w:val="Normal"/>
    <w:qFormat/>
    <w:rsid w:val="00D20E3B"/>
    <w:pPr>
      <w:numPr>
        <w:ilvl w:val="5"/>
        <w:numId w:val="1"/>
      </w:numPr>
      <w:spacing w:before="240" w:after="60"/>
      <w:outlineLvl w:val="5"/>
    </w:pPr>
    <w:rPr>
      <w:b/>
      <w:bCs/>
      <w:sz w:val="22"/>
      <w:szCs w:val="22"/>
    </w:rPr>
  </w:style>
  <w:style w:type="paragraph" w:styleId="Heading7">
    <w:name w:val="heading 7"/>
    <w:basedOn w:val="Normal"/>
    <w:next w:val="Normal"/>
    <w:qFormat/>
    <w:rsid w:val="00D20E3B"/>
    <w:pPr>
      <w:numPr>
        <w:ilvl w:val="6"/>
        <w:numId w:val="1"/>
      </w:numPr>
      <w:spacing w:before="240" w:after="60"/>
      <w:outlineLvl w:val="6"/>
    </w:pPr>
    <w:rPr>
      <w:sz w:val="24"/>
    </w:rPr>
  </w:style>
  <w:style w:type="paragraph" w:styleId="Heading8">
    <w:name w:val="heading 8"/>
    <w:basedOn w:val="Normal"/>
    <w:next w:val="Normal"/>
    <w:qFormat/>
    <w:rsid w:val="00D20E3B"/>
    <w:pPr>
      <w:numPr>
        <w:ilvl w:val="7"/>
        <w:numId w:val="1"/>
      </w:numPr>
      <w:spacing w:before="240" w:after="60"/>
      <w:outlineLvl w:val="7"/>
    </w:pPr>
    <w:rPr>
      <w:i/>
      <w:iCs/>
      <w:sz w:val="24"/>
    </w:rPr>
  </w:style>
  <w:style w:type="paragraph" w:styleId="Heading9">
    <w:name w:val="heading 9"/>
    <w:basedOn w:val="Normal"/>
    <w:next w:val="Normal"/>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styleId="Header">
    <w:name w:val="header"/>
    <w:basedOn w:val="Normal"/>
    <w:link w:val="HeaderChar"/>
    <w:uiPriority w:val="99"/>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rsid w:val="002209A7"/>
    <w:pPr>
      <w:numPr>
        <w:numId w:val="4"/>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uiPriority w:val="59"/>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
    <w:basedOn w:val="Normal"/>
    <w:link w:val="FootnoteTextChar"/>
    <w:semiHidden/>
    <w:qFormat/>
    <w:rsid w:val="008935B9"/>
    <w:rPr>
      <w:szCs w:val="20"/>
    </w:rPr>
  </w:style>
  <w:style w:type="character" w:styleId="FootnoteReference">
    <w:name w:val="footnote reference"/>
    <w:aliases w:val="Appel note de bas de p,Nota,Footnote symbol,Footnote,ECC Footnote number"/>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NoList"/>
    <w:rsid w:val="003C3EE4"/>
    <w:pPr>
      <w:numPr>
        <w:numId w:val="7"/>
      </w:numPr>
    </w:pPr>
  </w:style>
  <w:style w:type="paragraph" w:customStyle="1" w:styleId="ECCNumbered-LetteredList">
    <w:name w:val="ECC Numbered-Lettered List"/>
    <w:basedOn w:val="Normal"/>
    <w:qFormat/>
    <w:rsid w:val="00D20E3B"/>
    <w:pPr>
      <w:numPr>
        <w:numId w:val="9"/>
      </w:numPr>
    </w:pPr>
  </w:style>
  <w:style w:type="paragraph" w:customStyle="1" w:styleId="ECCNumberedBullets">
    <w:name w:val="ECC Numbered Bullets"/>
    <w:basedOn w:val="Normal"/>
    <w:rsid w:val="00D20E3B"/>
    <w:pPr>
      <w:numPr>
        <w:numId w:val="8"/>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8"/>
      </w:numPr>
    </w:pPr>
  </w:style>
  <w:style w:type="numbering" w:customStyle="1" w:styleId="ECCNumbers-Letters">
    <w:name w:val="ECC Numbers-Letters"/>
    <w:uiPriority w:val="99"/>
    <w:rsid w:val="00D20E3B"/>
    <w:pPr>
      <w:numPr>
        <w:numId w:val="9"/>
      </w:numPr>
    </w:pPr>
  </w:style>
  <w:style w:type="character" w:customStyle="1" w:styleId="FootnoteTextChar">
    <w:name w:val="Footnote Text Char"/>
    <w:aliases w:val="footnote text Char,ALTS FOOTNOTE Char"/>
    <w:basedOn w:val="DefaultParagraphFont"/>
    <w:link w:val="FootnoteText"/>
    <w:semiHidden/>
    <w:rsid w:val="00DA360A"/>
    <w:rPr>
      <w:rFonts w:ascii="Arial" w:hAnsi="Arial"/>
      <w:lang w:val="en-US"/>
    </w:rPr>
  </w:style>
  <w:style w:type="paragraph" w:customStyle="1" w:styleId="AddressTR">
    <w:name w:val="AddressTR"/>
    <w:basedOn w:val="Normal"/>
    <w:next w:val="Normal"/>
    <w:rsid w:val="00DA360A"/>
    <w:pPr>
      <w:spacing w:after="720"/>
      <w:ind w:left="5103"/>
    </w:pPr>
    <w:rPr>
      <w:rFonts w:ascii="Times New Roman" w:hAnsi="Times New Roman"/>
      <w:sz w:val="24"/>
      <w:szCs w:val="20"/>
      <w:lang w:val="en-GB" w:eastAsia="fr-BE"/>
    </w:rPr>
  </w:style>
  <w:style w:type="paragraph" w:styleId="ListParagraph">
    <w:name w:val="List Paragraph"/>
    <w:basedOn w:val="Normal"/>
    <w:uiPriority w:val="34"/>
    <w:qFormat/>
    <w:rsid w:val="00DA360A"/>
    <w:pPr>
      <w:spacing w:after="200" w:line="276" w:lineRule="auto"/>
      <w:ind w:left="720"/>
      <w:contextualSpacing/>
    </w:pPr>
    <w:rPr>
      <w:rFonts w:asciiTheme="minorHAnsi" w:eastAsiaTheme="minorHAnsi" w:hAnsiTheme="minorHAnsi" w:cstheme="minorBidi"/>
      <w:sz w:val="22"/>
      <w:szCs w:val="22"/>
      <w:lang w:val="en-GB"/>
    </w:rPr>
  </w:style>
  <w:style w:type="paragraph" w:customStyle="1" w:styleId="ECCReference">
    <w:name w:val="ECC Reference"/>
    <w:basedOn w:val="Normal"/>
    <w:rsid w:val="00B445A6"/>
    <w:pPr>
      <w:tabs>
        <w:tab w:val="num" w:pos="397"/>
      </w:tabs>
      <w:ind w:left="397" w:hanging="397"/>
      <w:jc w:val="both"/>
    </w:pPr>
    <w:rPr>
      <w:rFonts w:eastAsia="Calibri"/>
      <w:szCs w:val="22"/>
      <w:lang w:val="en-GB" w:eastAsia="ja-JP"/>
    </w:rPr>
  </w:style>
  <w:style w:type="character" w:styleId="CommentReference">
    <w:name w:val="annotation reference"/>
    <w:basedOn w:val="DefaultParagraphFont"/>
    <w:unhideWhenUsed/>
    <w:rsid w:val="006202C7"/>
    <w:rPr>
      <w:sz w:val="16"/>
      <w:szCs w:val="16"/>
    </w:rPr>
  </w:style>
  <w:style w:type="paragraph" w:styleId="CommentText">
    <w:name w:val="annotation text"/>
    <w:basedOn w:val="Normal"/>
    <w:link w:val="CommentTextChar"/>
    <w:unhideWhenUsed/>
    <w:rsid w:val="006202C7"/>
    <w:rPr>
      <w:szCs w:val="20"/>
    </w:rPr>
  </w:style>
  <w:style w:type="character" w:customStyle="1" w:styleId="CommentTextChar">
    <w:name w:val="Comment Text Char"/>
    <w:basedOn w:val="DefaultParagraphFont"/>
    <w:link w:val="CommentText"/>
    <w:rsid w:val="006202C7"/>
    <w:rPr>
      <w:rFonts w:ascii="Arial" w:hAnsi="Arial"/>
      <w:lang w:val="en-US"/>
    </w:rPr>
  </w:style>
  <w:style w:type="paragraph" w:styleId="CommentSubject">
    <w:name w:val="annotation subject"/>
    <w:basedOn w:val="CommentText"/>
    <w:next w:val="CommentText"/>
    <w:link w:val="CommentSubjectChar"/>
    <w:uiPriority w:val="99"/>
    <w:semiHidden/>
    <w:unhideWhenUsed/>
    <w:rsid w:val="006202C7"/>
    <w:rPr>
      <w:b/>
      <w:bCs/>
    </w:rPr>
  </w:style>
  <w:style w:type="character" w:customStyle="1" w:styleId="CommentSubjectChar">
    <w:name w:val="Comment Subject Char"/>
    <w:basedOn w:val="CommentTextChar"/>
    <w:link w:val="CommentSubject"/>
    <w:uiPriority w:val="99"/>
    <w:semiHidden/>
    <w:rsid w:val="006202C7"/>
    <w:rPr>
      <w:rFonts w:ascii="Arial" w:hAnsi="Arial"/>
      <w:b/>
      <w:bCs/>
      <w:lang w:val="en-US"/>
    </w:rPr>
  </w:style>
  <w:style w:type="paragraph" w:customStyle="1" w:styleId="ECCBulletsLv1">
    <w:name w:val="ECC Bullets Lv1"/>
    <w:basedOn w:val="Normal"/>
    <w:qFormat/>
    <w:rsid w:val="007F5EF6"/>
    <w:pPr>
      <w:numPr>
        <w:numId w:val="11"/>
      </w:numPr>
      <w:tabs>
        <w:tab w:val="left" w:pos="340"/>
      </w:tabs>
      <w:spacing w:before="60"/>
      <w:jc w:val="both"/>
    </w:pPr>
    <w:rPr>
      <w:rFonts w:eastAsia="Calibri"/>
      <w:szCs w:val="22"/>
      <w:lang w:val="en-GB"/>
    </w:rPr>
  </w:style>
  <w:style w:type="paragraph" w:styleId="Caption">
    <w:name w:val="caption"/>
    <w:aliases w:val="ECC Caption"/>
    <w:next w:val="Normal"/>
    <w:qFormat/>
    <w:rsid w:val="007F5EF6"/>
    <w:pPr>
      <w:keepLines/>
      <w:tabs>
        <w:tab w:val="left" w:pos="0"/>
        <w:tab w:val="center" w:pos="4820"/>
        <w:tab w:val="right" w:pos="9639"/>
      </w:tabs>
      <w:spacing w:before="240" w:after="240"/>
      <w:contextualSpacing/>
      <w:jc w:val="center"/>
    </w:pPr>
    <w:rPr>
      <w:rFonts w:ascii="Arial" w:hAnsi="Arial"/>
      <w:b/>
      <w:bCs/>
      <w:color w:val="D2232A"/>
      <w:lang w:val="da-DK"/>
    </w:rPr>
  </w:style>
  <w:style w:type="table" w:customStyle="1" w:styleId="ECCTable-redheader">
    <w:name w:val="ECC Table - red header"/>
    <w:basedOn w:val="TableNormal"/>
    <w:uiPriority w:val="99"/>
    <w:rsid w:val="007F5EF6"/>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Autospacing="0" w:afterLines="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Tabletext">
    <w:name w:val="ECC Table text"/>
    <w:basedOn w:val="Normal"/>
    <w:qFormat/>
    <w:rsid w:val="00B775DD"/>
    <w:pPr>
      <w:spacing w:after="60"/>
      <w:jc w:val="both"/>
    </w:pPr>
    <w:rPr>
      <w:rFonts w:eastAsia="Calibri"/>
      <w:szCs w:val="22"/>
      <w:lang w:val="en-GB"/>
    </w:rPr>
  </w:style>
  <w:style w:type="character" w:customStyle="1" w:styleId="ECCHLbold">
    <w:name w:val="ECC HL bold"/>
    <w:uiPriority w:val="1"/>
    <w:qFormat/>
    <w:rsid w:val="00B775DD"/>
    <w:rPr>
      <w:b/>
      <w:bCs w:val="0"/>
    </w:rPr>
  </w:style>
  <w:style w:type="paragraph" w:styleId="TOCHeading">
    <w:name w:val="TOC Heading"/>
    <w:basedOn w:val="Heading1"/>
    <w:next w:val="Normal"/>
    <w:uiPriority w:val="39"/>
    <w:semiHidden/>
    <w:qFormat/>
    <w:rsid w:val="00B775DD"/>
    <w:pPr>
      <w:keepLines/>
      <w:numPr>
        <w:numId w:val="0"/>
      </w:numPr>
      <w:spacing w:before="480" w:after="0"/>
      <w:jc w:val="both"/>
      <w:outlineLvl w:val="9"/>
    </w:pPr>
    <w:rPr>
      <w:rFonts w:asciiTheme="majorHAnsi" w:eastAsiaTheme="majorEastAsia" w:hAnsiTheme="majorHAnsi" w:cstheme="majorBidi"/>
      <w:caps w:val="0"/>
      <w:color w:val="365F91" w:themeColor="accent1" w:themeShade="BF"/>
      <w:kern w:val="0"/>
      <w:sz w:val="28"/>
      <w:szCs w:val="28"/>
    </w:rPr>
  </w:style>
  <w:style w:type="character" w:customStyle="1" w:styleId="ECCHLcyan">
    <w:name w:val="ECC HL cyan"/>
    <w:basedOn w:val="DefaultParagraphFont"/>
    <w:uiPriority w:val="1"/>
    <w:qFormat/>
    <w:rsid w:val="00B775DD"/>
    <w:rPr>
      <w:iCs w:val="0"/>
      <w:bdr w:val="none" w:sz="0" w:space="0" w:color="auto"/>
      <w:shd w:val="solid" w:color="00FFFF" w:fill="auto"/>
      <w:lang w:val="en-GB"/>
    </w:rPr>
  </w:style>
  <w:style w:type="table" w:customStyle="1" w:styleId="ECCTable-clean">
    <w:name w:val="ECC Table - clean"/>
    <w:uiPriority w:val="99"/>
    <w:rsid w:val="00B775DD"/>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Autospacing="0" w:afterLines="0" w:afterAutospacing="0" w:line="240" w:lineRule="auto"/>
        <w:jc w:val="left"/>
      </w:pPr>
      <w:rPr>
        <w:b/>
        <w:i w:val="0"/>
      </w:rPr>
      <w:tblPr/>
      <w:trPr>
        <w:tblHeader/>
      </w:trPr>
    </w:tblStylePr>
  </w:style>
  <w:style w:type="character" w:customStyle="1" w:styleId="tgc">
    <w:name w:val="_tgc"/>
    <w:basedOn w:val="DefaultParagraphFont"/>
    <w:rsid w:val="00B775DD"/>
  </w:style>
  <w:style w:type="character" w:styleId="Emphasis">
    <w:name w:val="Emphasis"/>
    <w:aliases w:val="ECC HL italics"/>
    <w:uiPriority w:val="1"/>
    <w:qFormat/>
    <w:rsid w:val="00506286"/>
    <w:rPr>
      <w:i/>
    </w:rPr>
  </w:style>
  <w:style w:type="numbering" w:styleId="1ai">
    <w:name w:val="Outline List 1"/>
    <w:basedOn w:val="NoList"/>
    <w:rsid w:val="00287E9E"/>
    <w:pPr>
      <w:numPr>
        <w:numId w:val="12"/>
      </w:numPr>
    </w:pPr>
  </w:style>
  <w:style w:type="paragraph" w:customStyle="1" w:styleId="ECCFiguregraphcentered">
    <w:name w:val="ECC Figure/graph centered"/>
    <w:next w:val="Normal"/>
    <w:qFormat/>
    <w:rsid w:val="002E1ABD"/>
    <w:pPr>
      <w:spacing w:before="240" w:after="240"/>
      <w:jc w:val="center"/>
    </w:pPr>
    <w:rPr>
      <w:rFonts w:ascii="Arial" w:hAnsi="Arial"/>
      <w:noProof/>
      <w:lang w:val="de-DE" w:eastAsia="de-DE"/>
    </w:rPr>
  </w:style>
  <w:style w:type="character" w:customStyle="1" w:styleId="ECCHLunderlined">
    <w:name w:val="ECC HL underlined"/>
    <w:uiPriority w:val="1"/>
    <w:qFormat/>
    <w:rsid w:val="002E1ABD"/>
    <w:rPr>
      <w:u w:val="single"/>
    </w:rPr>
  </w:style>
  <w:style w:type="character" w:styleId="IntenseReference">
    <w:name w:val="Intense Reference"/>
    <w:aliases w:val="cover page 'Report No'"/>
    <w:basedOn w:val="DefaultParagraphFont"/>
    <w:qFormat/>
    <w:rsid w:val="001E6B01"/>
    <w:rPr>
      <w:b/>
      <w:bCs/>
      <w:caps w:val="0"/>
      <w:smallCaps w:val="0"/>
      <w:color w:val="632423" w:themeColor="accent2" w:themeShade="80"/>
      <w:spacing w:val="5"/>
      <w:u w:val="none"/>
      <w:bdr w:val="none" w:sz="0" w:space="0" w:color="auto"/>
      <w:vertAlign w:val="baseline"/>
    </w:rPr>
  </w:style>
  <w:style w:type="character" w:customStyle="1" w:styleId="HeaderChar">
    <w:name w:val="Header Char"/>
    <w:basedOn w:val="DefaultParagraphFont"/>
    <w:link w:val="Header"/>
    <w:uiPriority w:val="99"/>
    <w:rsid w:val="00CB2C1F"/>
    <w:rPr>
      <w:rFonts w:ascii="Arial" w:hAnsi="Arial"/>
      <w:b/>
      <w:sz w:val="16"/>
      <w:szCs w:val="24"/>
      <w:lang w:val="en-US"/>
    </w:rPr>
  </w:style>
  <w:style w:type="character" w:styleId="PageNumber">
    <w:name w:val="page number"/>
    <w:basedOn w:val="DefaultParagraphFont"/>
    <w:rsid w:val="00636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468795">
      <w:bodyDiv w:val="1"/>
      <w:marLeft w:val="0"/>
      <w:marRight w:val="0"/>
      <w:marTop w:val="0"/>
      <w:marBottom w:val="0"/>
      <w:divBdr>
        <w:top w:val="none" w:sz="0" w:space="0" w:color="auto"/>
        <w:left w:val="none" w:sz="0" w:space="0" w:color="auto"/>
        <w:bottom w:val="none" w:sz="0" w:space="0" w:color="auto"/>
        <w:right w:val="none" w:sz="0" w:space="0" w:color="auto"/>
      </w:divBdr>
    </w:div>
    <w:div w:id="1245644882">
      <w:bodyDiv w:val="1"/>
      <w:marLeft w:val="0"/>
      <w:marRight w:val="0"/>
      <w:marTop w:val="0"/>
      <w:marBottom w:val="0"/>
      <w:divBdr>
        <w:top w:val="none" w:sz="0" w:space="0" w:color="auto"/>
        <w:left w:val="none" w:sz="0" w:space="0" w:color="auto"/>
        <w:bottom w:val="none" w:sz="0" w:space="0" w:color="auto"/>
        <w:right w:val="none" w:sz="0" w:space="0" w:color="auto"/>
      </w:divBdr>
    </w:div>
    <w:div w:id="1512984856">
      <w:bodyDiv w:val="1"/>
      <w:marLeft w:val="0"/>
      <w:marRight w:val="0"/>
      <w:marTop w:val="0"/>
      <w:marBottom w:val="0"/>
      <w:divBdr>
        <w:top w:val="none" w:sz="0" w:space="0" w:color="auto"/>
        <w:left w:val="none" w:sz="0" w:space="0" w:color="auto"/>
        <w:bottom w:val="none" w:sz="0" w:space="0" w:color="auto"/>
        <w:right w:val="none" w:sz="0" w:space="0" w:color="auto"/>
      </w:divBdr>
    </w:div>
    <w:div w:id="1615477117">
      <w:bodyDiv w:val="1"/>
      <w:marLeft w:val="0"/>
      <w:marRight w:val="0"/>
      <w:marTop w:val="0"/>
      <w:marBottom w:val="0"/>
      <w:divBdr>
        <w:top w:val="none" w:sz="0" w:space="0" w:color="auto"/>
        <w:left w:val="none" w:sz="0" w:space="0" w:color="auto"/>
        <w:bottom w:val="none" w:sz="0" w:space="0" w:color="auto"/>
        <w:right w:val="none" w:sz="0" w:space="0" w:color="auto"/>
      </w:divBdr>
    </w:div>
    <w:div w:id="193574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7.emf"/><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2" Type="http://schemas.openxmlformats.org/officeDocument/2006/relationships/hyperlink" Target="http://eur-lex.europa.eu/legal-content/EN/ALL/?uri=CELEX:32012D0243" TargetMode="External"/><Relationship Id="rId1" Type="http://schemas.openxmlformats.org/officeDocument/2006/relationships/hyperlink" Target="http://www.erodocdb.dk/Docs/doc98/official/pdf/ECCRep266.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2ECA5-ADD7-4EB9-8F85-490495008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5551</Words>
  <Characters>30314</Characters>
  <Application>Microsoft Office Word</Application>
  <DocSecurity>0</DocSecurity>
  <Lines>866</Lines>
  <Paragraphs>478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35387</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2018-03-06T14:44:00Z</dcterms:created>
  <dcterms:modified xsi:type="dcterms:W3CDTF">2018-03-06T14:44:00Z</dcterms:modified>
</cp:coreProperties>
</file>