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DFB35" w14:textId="77777777" w:rsidR="00AB46DF" w:rsidRDefault="00AB46DF"/>
    <w:p w14:paraId="684DFB36" w14:textId="77777777" w:rsidR="00AB46DF" w:rsidRPr="0010769E" w:rsidRDefault="00AB46DF" w:rsidP="00AB46DF">
      <w:pPr>
        <w:jc w:val="center"/>
      </w:pPr>
    </w:p>
    <w:p w14:paraId="684DFB37" w14:textId="77777777" w:rsidR="00AB46DF" w:rsidRPr="0010769E" w:rsidRDefault="00AB46DF" w:rsidP="00AB46DF">
      <w:pPr>
        <w:jc w:val="center"/>
      </w:pPr>
    </w:p>
    <w:p w14:paraId="684DFB38" w14:textId="77777777" w:rsidR="00AB46DF" w:rsidRPr="0010769E" w:rsidRDefault="00AB46DF" w:rsidP="00AB46DF"/>
    <w:p w14:paraId="684DFB39" w14:textId="77777777" w:rsidR="00AB46DF" w:rsidRPr="0010769E" w:rsidRDefault="00AB46DF" w:rsidP="00AB46DF"/>
    <w:p w14:paraId="684DFB3A" w14:textId="77777777" w:rsidR="00AB46DF" w:rsidRPr="0010769E" w:rsidRDefault="00D20E3B" w:rsidP="00AB46DF">
      <w:pPr>
        <w:jc w:val="center"/>
        <w:rPr>
          <w:b/>
          <w:sz w:val="24"/>
        </w:rPr>
      </w:pPr>
      <w:r>
        <w:rPr>
          <w:b/>
          <w:noProof/>
          <w:sz w:val="24"/>
          <w:szCs w:val="20"/>
          <w:lang w:val="da-DK" w:eastAsia="da-DK"/>
        </w:rPr>
        <mc:AlternateContent>
          <mc:Choice Requires="wpg">
            <w:drawing>
              <wp:anchor distT="0" distB="0" distL="114300" distR="114300" simplePos="0" relativeHeight="251658240" behindDoc="0" locked="0" layoutInCell="1" allowOverlap="1" wp14:anchorId="684DFDA1" wp14:editId="684DFDA2">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DFDD1" w14:textId="77777777" w:rsidR="00D63534" w:rsidRPr="00FE1795" w:rsidRDefault="00D63534" w:rsidP="00AB46DF">
                              <w:pPr>
                                <w:rPr>
                                  <w:color w:val="57433E"/>
                                  <w:sz w:val="68"/>
                                </w:rPr>
                              </w:pPr>
                              <w:r w:rsidRPr="00FE1795">
                                <w:rPr>
                                  <w:color w:val="FFFFFF"/>
                                  <w:sz w:val="68"/>
                                </w:rPr>
                                <w:t xml:space="preserve">CEPT Report </w:t>
                              </w:r>
                              <w:r>
                                <w:rPr>
                                  <w:color w:val="D2232A"/>
                                  <w:sz w:val="68"/>
                                </w:rPr>
                                <w:t>65</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14:paraId="684DFDD1" w14:textId="77777777" w:rsidR="00D63534" w:rsidRPr="00FE1795" w:rsidRDefault="00D63534" w:rsidP="00AB46DF">
                        <w:pPr>
                          <w:rPr>
                            <w:color w:val="57433E"/>
                            <w:sz w:val="68"/>
                          </w:rPr>
                        </w:pPr>
                        <w:r w:rsidRPr="00FE1795">
                          <w:rPr>
                            <w:color w:val="FFFFFF"/>
                            <w:sz w:val="68"/>
                          </w:rPr>
                          <w:t xml:space="preserve">CEPT Report </w:t>
                        </w:r>
                        <w:r>
                          <w:rPr>
                            <w:color w:val="D2232A"/>
                            <w:sz w:val="68"/>
                          </w:rPr>
                          <w:t>65</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14:paraId="684DFB3B" w14:textId="77777777" w:rsidR="00AB46DF" w:rsidRPr="0010769E" w:rsidRDefault="00AB46DF" w:rsidP="00AB46DF">
      <w:pPr>
        <w:jc w:val="center"/>
        <w:rPr>
          <w:b/>
          <w:sz w:val="24"/>
        </w:rPr>
      </w:pPr>
    </w:p>
    <w:p w14:paraId="684DFB3C" w14:textId="77777777" w:rsidR="00AB46DF" w:rsidRPr="0010769E" w:rsidRDefault="00AB46DF" w:rsidP="00AB46DF">
      <w:pPr>
        <w:jc w:val="center"/>
        <w:rPr>
          <w:b/>
          <w:sz w:val="24"/>
        </w:rPr>
      </w:pPr>
    </w:p>
    <w:p w14:paraId="684DFB3D" w14:textId="77777777" w:rsidR="00AB46DF" w:rsidRPr="0010769E" w:rsidRDefault="00AB46DF" w:rsidP="00AB46DF">
      <w:pPr>
        <w:jc w:val="center"/>
        <w:rPr>
          <w:b/>
          <w:sz w:val="24"/>
        </w:rPr>
      </w:pPr>
    </w:p>
    <w:p w14:paraId="684DFB3E" w14:textId="77777777" w:rsidR="00AB46DF" w:rsidRPr="0010769E" w:rsidRDefault="00AB46DF" w:rsidP="00AB46DF">
      <w:pPr>
        <w:jc w:val="center"/>
        <w:rPr>
          <w:b/>
          <w:sz w:val="24"/>
        </w:rPr>
      </w:pPr>
    </w:p>
    <w:p w14:paraId="684DFB3F" w14:textId="77777777" w:rsidR="00AB46DF" w:rsidRPr="0010769E" w:rsidRDefault="00AB46DF" w:rsidP="00AB46DF">
      <w:pPr>
        <w:jc w:val="center"/>
        <w:rPr>
          <w:b/>
          <w:sz w:val="24"/>
        </w:rPr>
      </w:pPr>
    </w:p>
    <w:p w14:paraId="684DFB40" w14:textId="77777777" w:rsidR="00AB46DF" w:rsidRPr="0010769E" w:rsidRDefault="00AB46DF" w:rsidP="00AB46DF">
      <w:pPr>
        <w:jc w:val="center"/>
        <w:rPr>
          <w:b/>
          <w:sz w:val="24"/>
        </w:rPr>
      </w:pPr>
    </w:p>
    <w:p w14:paraId="684DFB41" w14:textId="77777777" w:rsidR="00AB46DF" w:rsidRPr="0010769E" w:rsidRDefault="00AB46DF" w:rsidP="00AB46DF">
      <w:pPr>
        <w:jc w:val="center"/>
        <w:rPr>
          <w:b/>
          <w:sz w:val="24"/>
        </w:rPr>
      </w:pPr>
    </w:p>
    <w:p w14:paraId="684DFB42" w14:textId="77777777" w:rsidR="00AB46DF" w:rsidRPr="0010769E" w:rsidRDefault="00AB46DF" w:rsidP="00AB46DF">
      <w:pPr>
        <w:jc w:val="center"/>
        <w:rPr>
          <w:b/>
          <w:sz w:val="24"/>
        </w:rPr>
      </w:pPr>
    </w:p>
    <w:p w14:paraId="684DFB43" w14:textId="77777777" w:rsidR="00AB46DF" w:rsidRPr="0010769E" w:rsidRDefault="00AB46DF" w:rsidP="00AB46DF">
      <w:pPr>
        <w:jc w:val="center"/>
        <w:rPr>
          <w:b/>
          <w:sz w:val="24"/>
        </w:rPr>
      </w:pPr>
    </w:p>
    <w:p w14:paraId="684DFB44" w14:textId="77777777" w:rsidR="00AB46DF" w:rsidRPr="0010769E" w:rsidRDefault="00AB46DF" w:rsidP="00AB46DF">
      <w:pPr>
        <w:jc w:val="center"/>
        <w:rPr>
          <w:b/>
          <w:sz w:val="24"/>
        </w:rPr>
      </w:pPr>
    </w:p>
    <w:p w14:paraId="684DFB45" w14:textId="77777777" w:rsidR="00AB46DF" w:rsidRPr="0010769E" w:rsidRDefault="00AB46DF" w:rsidP="00AB46DF">
      <w:pPr>
        <w:rPr>
          <w:b/>
          <w:sz w:val="24"/>
        </w:rPr>
      </w:pPr>
    </w:p>
    <w:p w14:paraId="684DFB46" w14:textId="77777777" w:rsidR="00AB46DF" w:rsidRPr="0010769E" w:rsidRDefault="00AB46DF" w:rsidP="00AB46DF">
      <w:pPr>
        <w:jc w:val="center"/>
        <w:rPr>
          <w:b/>
          <w:sz w:val="24"/>
        </w:rPr>
      </w:pPr>
    </w:p>
    <w:p w14:paraId="684DFB47" w14:textId="6FB5FF80" w:rsidR="00AB46DF" w:rsidRDefault="00FF7010" w:rsidP="00AB46DF">
      <w:pPr>
        <w:pStyle w:val="Reporttitledescription"/>
      </w:pPr>
      <w:r>
        <w:fldChar w:fldCharType="begin">
          <w:ffData>
            <w:name w:val="Text7"/>
            <w:enabled/>
            <w:calcOnExit w:val="0"/>
            <w:textInput>
              <w:default w:val="Report from CEPT to the European Commission in response to the Mandate"/>
            </w:textInput>
          </w:ffData>
        </w:fldChar>
      </w:r>
      <w:bookmarkStart w:id="0" w:name="Text7"/>
      <w:r>
        <w:instrText xml:space="preserve"> FORMTEXT </w:instrText>
      </w:r>
      <w:r>
        <w:fldChar w:fldCharType="separate"/>
      </w:r>
      <w:r>
        <w:rPr>
          <w:noProof/>
        </w:rPr>
        <w:t>Report from CEPT to the European Commission in response to the Mandate</w:t>
      </w:r>
      <w:r>
        <w:fldChar w:fldCharType="end"/>
      </w:r>
      <w:bookmarkEnd w:id="0"/>
      <w:r w:rsidR="003C3EE4" w:rsidRPr="005A00E5">
        <w:t xml:space="preserve"> </w:t>
      </w:r>
    </w:p>
    <w:p w14:paraId="684DFB48" w14:textId="77777777" w:rsidR="006F5883" w:rsidRDefault="00812153" w:rsidP="00AB46DF">
      <w:pPr>
        <w:pStyle w:val="Reporttitledescription"/>
      </w:pPr>
      <w:r>
        <w:rPr>
          <w:lang w:val="en-GB"/>
        </w:rPr>
        <w:t>“</w:t>
      </w:r>
      <w:proofErr w:type="gramStart"/>
      <w:r>
        <w:rPr>
          <w:lang w:val="en-GB"/>
        </w:rPr>
        <w:t>to</w:t>
      </w:r>
      <w:proofErr w:type="gramEnd"/>
      <w:r>
        <w:rPr>
          <w:lang w:val="en-GB"/>
        </w:rPr>
        <w:t xml:space="preserve"> develop harmonised technical conditions in additional frequency bands in the 1.5 GHz range for their use for terrestrial wireless broadband electronic communications services in the Union</w:t>
      </w:r>
      <w:r>
        <w:t>”</w:t>
      </w:r>
    </w:p>
    <w:p w14:paraId="684DFB49" w14:textId="77777777" w:rsidR="006F5883" w:rsidRPr="005A00E5" w:rsidRDefault="006F5883" w:rsidP="00AB46DF">
      <w:pPr>
        <w:pStyle w:val="Reporttitledescription"/>
      </w:pPr>
    </w:p>
    <w:p w14:paraId="684DFB4A" w14:textId="77777777" w:rsidR="00AB46DF" w:rsidRPr="005A00E5" w:rsidRDefault="00812153" w:rsidP="00AB46DF">
      <w:pPr>
        <w:pStyle w:val="Reporttitledescription"/>
        <w:rPr>
          <w:b/>
          <w:sz w:val="18"/>
        </w:rPr>
      </w:pPr>
      <w:r>
        <w:rPr>
          <w:b/>
          <w:sz w:val="18"/>
        </w:rPr>
        <w:fldChar w:fldCharType="begin">
          <w:ffData>
            <w:name w:val="Text8"/>
            <w:enabled/>
            <w:calcOnExit w:val="0"/>
            <w:textInput>
              <w:default w:val="Report approved on 17 November 2017 by the ECC"/>
            </w:textInput>
          </w:ffData>
        </w:fldChar>
      </w:r>
      <w:bookmarkStart w:id="1" w:name="Text8"/>
      <w:r>
        <w:rPr>
          <w:b/>
          <w:sz w:val="18"/>
        </w:rPr>
        <w:instrText xml:space="preserve"> FORMTEXT </w:instrText>
      </w:r>
      <w:r>
        <w:rPr>
          <w:b/>
          <w:sz w:val="18"/>
        </w:rPr>
      </w:r>
      <w:r>
        <w:rPr>
          <w:b/>
          <w:sz w:val="18"/>
        </w:rPr>
        <w:fldChar w:fldCharType="separate"/>
      </w:r>
      <w:r>
        <w:rPr>
          <w:b/>
          <w:noProof/>
          <w:sz w:val="18"/>
        </w:rPr>
        <w:t>Report approved on 17 November 2017 by the ECC</w:t>
      </w:r>
      <w:r>
        <w:rPr>
          <w:b/>
          <w:sz w:val="18"/>
        </w:rPr>
        <w:fldChar w:fldCharType="end"/>
      </w:r>
      <w:bookmarkEnd w:id="1"/>
      <w:r w:rsidR="00512677">
        <w:rPr>
          <w:b/>
          <w:sz w:val="18"/>
        </w:rPr>
        <w:tab/>
      </w:r>
    </w:p>
    <w:p w14:paraId="7DBF716C" w14:textId="42907331" w:rsidR="007323A3" w:rsidRDefault="00C41DBC" w:rsidP="007323A3">
      <w:pPr>
        <w:pStyle w:val="Lastupdated"/>
        <w:rPr>
          <w:b/>
        </w:rPr>
      </w:pPr>
      <w:r>
        <w:t>Corrected 2 March 2018</w:t>
      </w:r>
    </w:p>
    <w:p w14:paraId="1AB1B9F8" w14:textId="77777777" w:rsidR="007323A3" w:rsidRPr="0073008D" w:rsidRDefault="007323A3">
      <w:pPr>
        <w:sectPr w:rsidR="007323A3" w:rsidRPr="0073008D">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14:paraId="684DFB4C" w14:textId="77777777" w:rsidR="00AB46DF" w:rsidRDefault="003C3EE4" w:rsidP="00E7502F">
      <w:pPr>
        <w:pStyle w:val="Heading1"/>
      </w:pPr>
      <w:bookmarkStart w:id="2" w:name="_Toc498934649"/>
      <w:r w:rsidRPr="00D20E3B">
        <w:lastRenderedPageBreak/>
        <w:t>Execut</w:t>
      </w:r>
      <w:r>
        <w:t>ive summary</w:t>
      </w:r>
      <w:bookmarkEnd w:id="2"/>
      <w:r>
        <w:t xml:space="preserve"> </w:t>
      </w:r>
    </w:p>
    <w:p w14:paraId="684DFB4D" w14:textId="77777777" w:rsidR="00812153" w:rsidRDefault="00812153" w:rsidP="00812153">
      <w:pPr>
        <w:pStyle w:val="ECCParagraph"/>
      </w:pPr>
      <w:r>
        <w:t>The European Commission issued a mandate to the CEPT to develop harmonised technical conditions in additional frequency bands in the 1.5 GHz range for their use for terrestrial wireless broadband electronic communications in the Union.</w:t>
      </w:r>
    </w:p>
    <w:p w14:paraId="684DFB4E" w14:textId="77777777" w:rsidR="00812153" w:rsidRDefault="00812153" w:rsidP="00812153">
      <w:pPr>
        <w:pStyle w:val="ECCParagraph"/>
      </w:pPr>
      <w:r>
        <w:t>As mentioned in this mandate, CEPT focused its analysis on downlink-only Wireless Broadband electronic communications. Supplemental downlink is downlink-only use whereby spectrum within the bands is used for unidirectional base station transmission providing electronic communications services, in combination with use of spectrum in another frequency band.</w:t>
      </w:r>
    </w:p>
    <w:p w14:paraId="684DFB4F" w14:textId="77777777" w:rsidR="00812153" w:rsidRDefault="00812153" w:rsidP="00812153">
      <w:pPr>
        <w:pStyle w:val="ECCParagraph"/>
      </w:pPr>
      <w:r>
        <w:t xml:space="preserve">Based on the analysis done in this report, CEPT recommends that the harmonised frequency arrangement for downlink-only WBB ECS (DL WBB ECS) in the bands 1427-1452 MHz and 1492-1517 MHz (extension bands) is for downlink, based on 5 MHz blocks, and takes into account also the frequency band 1452-1492 MHz and the relevant channelling arrangement in force in Commission Implementing Decision ((EU) 2015/750) </w:t>
      </w:r>
      <w:r>
        <w:fldChar w:fldCharType="begin"/>
      </w:r>
      <w:r>
        <w:instrText xml:space="preserve"> REF _Ref481767554 \r \h </w:instrText>
      </w:r>
      <w:r>
        <w:fldChar w:fldCharType="separate"/>
      </w:r>
      <w:r w:rsidR="00B616E1">
        <w:t>[1]</w:t>
      </w:r>
      <w:r>
        <w:fldChar w:fldCharType="end"/>
      </w:r>
      <w:r>
        <w:t xml:space="preserve">. CEPT confirms that the DL WBB ECS inherently offers national flexibility to administrations to introduce those services in all parts of the extension bands, taking into account that the amount of spectrum which could be made available in these frequency bands for terrestrial WBB electronic communications services may vary across Member States subject to market demands and national needs. </w:t>
      </w:r>
    </w:p>
    <w:p w14:paraId="684DFB50" w14:textId="77777777" w:rsidR="00812153" w:rsidRDefault="00812153" w:rsidP="00812153">
      <w:pPr>
        <w:pStyle w:val="ECCParagraph"/>
      </w:pPr>
      <w:r>
        <w:t>The 1427-1452 MHz and 1492-1518 MHz bands are currently used by incumbent services and applications to which the band is allocated (see EFIS</w:t>
      </w:r>
      <w:r>
        <w:rPr>
          <w:rStyle w:val="FootnoteReference"/>
        </w:rPr>
        <w:footnoteReference w:id="1"/>
      </w:r>
      <w:r>
        <w:t xml:space="preserve"> and ECA Table). There may be a need to re</w:t>
      </w:r>
      <w:r w:rsidR="002F6193">
        <w:t>-</w:t>
      </w:r>
      <w:r>
        <w:t>farm the extension bands before making them available for DL WBB ECS. Moreover, subject to market demands and national needs, incumbent services and applications will continue operating in some countries. In that context, the bands, or part of them, may therefore not be available for the implementation of WBB ECS.</w:t>
      </w:r>
    </w:p>
    <w:p w14:paraId="684DFB51" w14:textId="77777777" w:rsidR="00812153" w:rsidRPr="0004037D" w:rsidRDefault="00812153" w:rsidP="00812153">
      <w:pPr>
        <w:pStyle w:val="ECCParagraph"/>
      </w:pPr>
      <w:r>
        <w:t>This report has been developed based on the principle of technology neutrality, taking into account parameters of technology currently available in the band</w:t>
      </w:r>
      <w:r w:rsidRPr="0004037D">
        <w:t>.</w:t>
      </w:r>
      <w:r w:rsidRPr="00D42DA3">
        <w:t xml:space="preserve"> </w:t>
      </w:r>
      <w:r w:rsidRPr="0004037D">
        <w:t>According to the current feedback from standardisation, if 5G specifications are consistent with the proposed harmonised technical conditions contained in this Report, then it will be suitable for the implementation of 5G terrestrial wireless systems.</w:t>
      </w:r>
    </w:p>
    <w:p w14:paraId="684DFB52" w14:textId="77777777" w:rsidR="00812153" w:rsidRPr="0004037D" w:rsidRDefault="00812153" w:rsidP="00812153">
      <w:pPr>
        <w:pStyle w:val="ECCParagraph"/>
      </w:pPr>
      <w:r w:rsidRPr="0004037D">
        <w:t>In addition to the channelling arrangement, this CEPT report proposes least restrictive technical conditions for WBB ECS, for the frequency bands 1427-1452 MHz and 1492-1517 MHz. This CEPT report also further assesses the impact of the introduction in Member States of DL WBB ECS either in 1427-1452 MHz and/or 1492-1517 MHz, or in parts of these bands, on the existing technical conditions from Commission Implementing Decision (EU) 2015/750. In particular, coexistence limits in force in Commission Implementing Decision (EU) 2015/750 to ensure coexistence to services and applications in the adjacent bands to 1452-1492 MHz are no longer applicable when DL WBB ECS is used in 1427-1452 MHz and/or 1492-1517 MHz.</w:t>
      </w:r>
    </w:p>
    <w:p w14:paraId="684DFB53" w14:textId="77777777" w:rsidR="00812153" w:rsidRPr="0004037D" w:rsidRDefault="00812153" w:rsidP="00812153">
      <w:pPr>
        <w:pStyle w:val="ECCParagraph"/>
        <w:rPr>
          <w:rFonts w:cs="Arial"/>
        </w:rPr>
      </w:pPr>
      <w:r w:rsidRPr="0004037D">
        <w:rPr>
          <w:rFonts w:cs="Arial"/>
        </w:rPr>
        <w:t xml:space="preserve">CEPT </w:t>
      </w:r>
      <w:r w:rsidR="002F6193">
        <w:rPr>
          <w:rFonts w:cs="Arial"/>
        </w:rPr>
        <w:t>supports</w:t>
      </w:r>
      <w:r w:rsidRPr="00D42DA3">
        <w:rPr>
          <w:rFonts w:cs="Arial"/>
        </w:rPr>
        <w:t xml:space="preserve"> the current bilateral</w:t>
      </w:r>
      <w:r w:rsidRPr="0004037D">
        <w:rPr>
          <w:rFonts w:cs="Arial"/>
        </w:rPr>
        <w:t xml:space="preserve"> cross border coordination</w:t>
      </w:r>
      <w:r w:rsidRPr="00D42DA3">
        <w:rPr>
          <w:rFonts w:cs="Arial"/>
        </w:rPr>
        <w:t xml:space="preserve"> process</w:t>
      </w:r>
      <w:r w:rsidRPr="0004037D">
        <w:rPr>
          <w:rFonts w:cs="Arial"/>
        </w:rPr>
        <w:t xml:space="preserve"> between </w:t>
      </w:r>
      <w:r w:rsidRPr="00D42DA3">
        <w:rPr>
          <w:rFonts w:cs="Arial"/>
        </w:rPr>
        <w:t xml:space="preserve">relevant CEPT countries (including those listed in ITU RR No. 5.342) on </w:t>
      </w:r>
      <w:r>
        <w:rPr>
          <w:rFonts w:cs="Arial"/>
        </w:rPr>
        <w:t>MFCN (</w:t>
      </w:r>
      <w:r w:rsidRPr="00D42DA3">
        <w:rPr>
          <w:rFonts w:cs="Arial"/>
        </w:rPr>
        <w:t>WBB ECS</w:t>
      </w:r>
      <w:r>
        <w:rPr>
          <w:rFonts w:cs="Arial"/>
        </w:rPr>
        <w:t>)</w:t>
      </w:r>
      <w:r w:rsidRPr="0004037D">
        <w:rPr>
          <w:rFonts w:cs="Arial"/>
        </w:rPr>
        <w:t xml:space="preserve"> and ATS</w:t>
      </w:r>
      <w:r w:rsidRPr="00D42DA3">
        <w:rPr>
          <w:rFonts w:cs="Arial"/>
        </w:rPr>
        <w:t xml:space="preserve"> (aeronautical telemetry system)</w:t>
      </w:r>
      <w:r w:rsidRPr="0004037D">
        <w:rPr>
          <w:rFonts w:cs="Arial"/>
        </w:rPr>
        <w:t xml:space="preserve"> in the 1429-1518 MHz band</w:t>
      </w:r>
    </w:p>
    <w:p w14:paraId="684DFB54" w14:textId="77777777" w:rsidR="00812153" w:rsidRPr="0004037D" w:rsidRDefault="00812153" w:rsidP="00812153">
      <w:pPr>
        <w:pStyle w:val="ECCParagraph"/>
      </w:pPr>
      <w:r w:rsidRPr="00D42DA3">
        <w:t>Additionally, CEPT is studying proportionate measures to address potential receiver blocking issues affecting MES operating on bands adjacent to 1518 MHz (including 1525-1559 MHz) at sea ports and at airports, in order to develop an ECC Report.</w:t>
      </w:r>
    </w:p>
    <w:p w14:paraId="684DFB55" w14:textId="77777777" w:rsidR="00812153" w:rsidRDefault="00812153" w:rsidP="00812153">
      <w:pPr>
        <w:pStyle w:val="ECCParagraph"/>
      </w:pPr>
      <w:r w:rsidRPr="00D42DA3">
        <w:t>These above CEPT activities will not impact the harmonised technical conditions contained in this CEPT report.</w:t>
      </w:r>
    </w:p>
    <w:p w14:paraId="684DFB56" w14:textId="77777777" w:rsidR="00AB46DF" w:rsidRDefault="003C3EE4" w:rsidP="00AB46DF">
      <w:r>
        <w:br w:type="page"/>
      </w:r>
    </w:p>
    <w:p w14:paraId="684DFB57" w14:textId="77777777" w:rsidR="00AB46DF" w:rsidRPr="009B4646" w:rsidRDefault="00D20E3B" w:rsidP="00AB46DF">
      <w:pPr>
        <w:rPr>
          <w:b/>
          <w:color w:val="FFFFFF"/>
        </w:rPr>
      </w:pPr>
      <w:r>
        <w:rPr>
          <w:b/>
          <w:noProof/>
          <w:color w:val="FFFFFF"/>
          <w:szCs w:val="20"/>
          <w:lang w:val="da-DK" w:eastAsia="da-DK"/>
        </w:rPr>
        <w:lastRenderedPageBreak/>
        <mc:AlternateContent>
          <mc:Choice Requires="wps">
            <w:drawing>
              <wp:anchor distT="0" distB="0" distL="114300" distR="114300" simplePos="0" relativeHeight="251656192" behindDoc="1" locked="0" layoutInCell="1" allowOverlap="1" wp14:anchorId="684DFDA3" wp14:editId="684DFDA4">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A9C131E"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14:paraId="684DFB58" w14:textId="77777777" w:rsidR="00D20E3B" w:rsidRDefault="00D20E3B" w:rsidP="00AB46DF">
      <w:pPr>
        <w:rPr>
          <w:b/>
          <w:color w:val="FFFFFF"/>
          <w:szCs w:val="20"/>
        </w:rPr>
      </w:pPr>
    </w:p>
    <w:p w14:paraId="684DFB59" w14:textId="77777777" w:rsidR="00AB46DF" w:rsidRDefault="002209A7" w:rsidP="00AB46DF">
      <w:pPr>
        <w:rPr>
          <w:b/>
          <w:color w:val="FFFFFF"/>
          <w:szCs w:val="20"/>
        </w:rPr>
      </w:pPr>
      <w:r>
        <w:rPr>
          <w:b/>
          <w:color w:val="FFFFFF"/>
          <w:szCs w:val="20"/>
        </w:rPr>
        <w:t>TABLE OF CONTENTS</w:t>
      </w:r>
    </w:p>
    <w:p w14:paraId="684DFB5A" w14:textId="77777777" w:rsidR="00512677" w:rsidRDefault="00512677" w:rsidP="00AB46DF">
      <w:pPr>
        <w:rPr>
          <w:b/>
          <w:color w:val="FFFFFF"/>
          <w:szCs w:val="20"/>
        </w:rPr>
      </w:pPr>
    </w:p>
    <w:p w14:paraId="684DFB5B" w14:textId="77777777" w:rsidR="00512677" w:rsidRPr="009B4646" w:rsidRDefault="00512677" w:rsidP="00AB46DF">
      <w:pPr>
        <w:rPr>
          <w:b/>
          <w:color w:val="FFFFFF"/>
          <w:szCs w:val="20"/>
        </w:rPr>
      </w:pPr>
    </w:p>
    <w:p w14:paraId="684DFB5C" w14:textId="77777777" w:rsidR="00AB46DF" w:rsidRDefault="00AB46DF">
      <w:pPr>
        <w:rPr>
          <w:lang w:val="en-GB"/>
        </w:rPr>
      </w:pPr>
    </w:p>
    <w:p w14:paraId="684DFB5D" w14:textId="77777777" w:rsidR="00FF7010" w:rsidRDefault="003C3EE4">
      <w:pPr>
        <w:pStyle w:val="TOC1"/>
        <w:rPr>
          <w:rFonts w:asciiTheme="minorHAnsi" w:eastAsiaTheme="minorEastAsia" w:hAnsiTheme="minorHAnsi" w:cstheme="minorBidi"/>
          <w:b w:val="0"/>
          <w:caps w:val="0"/>
          <w:noProof/>
          <w:sz w:val="22"/>
          <w:szCs w:val="22"/>
          <w:lang w:val="en-GB" w:eastAsia="en-GB"/>
        </w:rPr>
      </w:pPr>
      <w:r>
        <w:rPr>
          <w:caps w:val="0"/>
          <w:lang w:val="en-GB"/>
        </w:rPr>
        <w:fldChar w:fldCharType="begin"/>
      </w:r>
      <w:r>
        <w:rPr>
          <w:caps w:val="0"/>
          <w:lang w:val="en-GB"/>
        </w:rPr>
        <w:instrText xml:space="preserve"> TOC \o "1-4" \h \z \u </w:instrText>
      </w:r>
      <w:r>
        <w:rPr>
          <w:caps w:val="0"/>
          <w:lang w:val="en-GB"/>
        </w:rPr>
        <w:fldChar w:fldCharType="separate"/>
      </w:r>
      <w:hyperlink w:anchor="_Toc498934649" w:history="1">
        <w:r w:rsidR="00FF7010" w:rsidRPr="001615B2">
          <w:rPr>
            <w:rStyle w:val="Hyperlink"/>
            <w:noProof/>
          </w:rPr>
          <w:t>0</w:t>
        </w:r>
        <w:r w:rsidR="00FF7010">
          <w:rPr>
            <w:rFonts w:asciiTheme="minorHAnsi" w:eastAsiaTheme="minorEastAsia" w:hAnsiTheme="minorHAnsi" w:cstheme="minorBidi"/>
            <w:b w:val="0"/>
            <w:caps w:val="0"/>
            <w:noProof/>
            <w:sz w:val="22"/>
            <w:szCs w:val="22"/>
            <w:lang w:val="en-GB" w:eastAsia="en-GB"/>
          </w:rPr>
          <w:tab/>
        </w:r>
        <w:r w:rsidR="00FF7010" w:rsidRPr="001615B2">
          <w:rPr>
            <w:rStyle w:val="Hyperlink"/>
            <w:noProof/>
          </w:rPr>
          <w:t>Executive summary</w:t>
        </w:r>
        <w:r w:rsidR="00FF7010">
          <w:rPr>
            <w:noProof/>
            <w:webHidden/>
          </w:rPr>
          <w:tab/>
        </w:r>
        <w:r w:rsidR="00FF7010">
          <w:rPr>
            <w:noProof/>
            <w:webHidden/>
          </w:rPr>
          <w:fldChar w:fldCharType="begin"/>
        </w:r>
        <w:r w:rsidR="00FF7010">
          <w:rPr>
            <w:noProof/>
            <w:webHidden/>
          </w:rPr>
          <w:instrText xml:space="preserve"> PAGEREF _Toc498934649 \h </w:instrText>
        </w:r>
        <w:r w:rsidR="00FF7010">
          <w:rPr>
            <w:noProof/>
            <w:webHidden/>
          </w:rPr>
        </w:r>
        <w:r w:rsidR="00FF7010">
          <w:rPr>
            <w:noProof/>
            <w:webHidden/>
          </w:rPr>
          <w:fldChar w:fldCharType="separate"/>
        </w:r>
        <w:r w:rsidR="00B616E1">
          <w:rPr>
            <w:noProof/>
            <w:webHidden/>
          </w:rPr>
          <w:t>2</w:t>
        </w:r>
        <w:r w:rsidR="00FF7010">
          <w:rPr>
            <w:noProof/>
            <w:webHidden/>
          </w:rPr>
          <w:fldChar w:fldCharType="end"/>
        </w:r>
      </w:hyperlink>
    </w:p>
    <w:p w14:paraId="684DFB5E" w14:textId="77777777" w:rsidR="00FF7010" w:rsidRDefault="0073008D">
      <w:pPr>
        <w:pStyle w:val="TOC1"/>
        <w:rPr>
          <w:rFonts w:asciiTheme="minorHAnsi" w:eastAsiaTheme="minorEastAsia" w:hAnsiTheme="minorHAnsi" w:cstheme="minorBidi"/>
          <w:b w:val="0"/>
          <w:caps w:val="0"/>
          <w:noProof/>
          <w:sz w:val="22"/>
          <w:szCs w:val="22"/>
          <w:lang w:val="en-GB" w:eastAsia="en-GB"/>
        </w:rPr>
      </w:pPr>
      <w:hyperlink w:anchor="_Toc498934650" w:history="1">
        <w:r w:rsidR="00FF7010" w:rsidRPr="001615B2">
          <w:rPr>
            <w:rStyle w:val="Hyperlink"/>
            <w:noProof/>
          </w:rPr>
          <w:t>1</w:t>
        </w:r>
        <w:r w:rsidR="00FF7010">
          <w:rPr>
            <w:rFonts w:asciiTheme="minorHAnsi" w:eastAsiaTheme="minorEastAsia" w:hAnsiTheme="minorHAnsi" w:cstheme="minorBidi"/>
            <w:b w:val="0"/>
            <w:caps w:val="0"/>
            <w:noProof/>
            <w:sz w:val="22"/>
            <w:szCs w:val="22"/>
            <w:lang w:val="en-GB" w:eastAsia="en-GB"/>
          </w:rPr>
          <w:tab/>
        </w:r>
        <w:r w:rsidR="00FF7010" w:rsidRPr="001615B2">
          <w:rPr>
            <w:rStyle w:val="Hyperlink"/>
            <w:noProof/>
          </w:rPr>
          <w:t>Introduction</w:t>
        </w:r>
        <w:r w:rsidR="00FF7010">
          <w:rPr>
            <w:noProof/>
            <w:webHidden/>
          </w:rPr>
          <w:tab/>
        </w:r>
        <w:r w:rsidR="00FF7010">
          <w:rPr>
            <w:noProof/>
            <w:webHidden/>
          </w:rPr>
          <w:fldChar w:fldCharType="begin"/>
        </w:r>
        <w:r w:rsidR="00FF7010">
          <w:rPr>
            <w:noProof/>
            <w:webHidden/>
          </w:rPr>
          <w:instrText xml:space="preserve"> PAGEREF _Toc498934650 \h </w:instrText>
        </w:r>
        <w:r w:rsidR="00FF7010">
          <w:rPr>
            <w:noProof/>
            <w:webHidden/>
          </w:rPr>
        </w:r>
        <w:r w:rsidR="00FF7010">
          <w:rPr>
            <w:noProof/>
            <w:webHidden/>
          </w:rPr>
          <w:fldChar w:fldCharType="separate"/>
        </w:r>
        <w:r w:rsidR="00B616E1">
          <w:rPr>
            <w:noProof/>
            <w:webHidden/>
          </w:rPr>
          <w:t>5</w:t>
        </w:r>
        <w:r w:rsidR="00FF7010">
          <w:rPr>
            <w:noProof/>
            <w:webHidden/>
          </w:rPr>
          <w:fldChar w:fldCharType="end"/>
        </w:r>
      </w:hyperlink>
    </w:p>
    <w:p w14:paraId="684DFB5F" w14:textId="77777777" w:rsidR="00FF7010" w:rsidRDefault="0073008D">
      <w:pPr>
        <w:pStyle w:val="TOC1"/>
        <w:rPr>
          <w:rFonts w:asciiTheme="minorHAnsi" w:eastAsiaTheme="minorEastAsia" w:hAnsiTheme="minorHAnsi" w:cstheme="minorBidi"/>
          <w:b w:val="0"/>
          <w:caps w:val="0"/>
          <w:noProof/>
          <w:sz w:val="22"/>
          <w:szCs w:val="22"/>
          <w:lang w:val="en-GB" w:eastAsia="en-GB"/>
        </w:rPr>
      </w:pPr>
      <w:hyperlink w:anchor="_Toc498934651" w:history="1">
        <w:r w:rsidR="00FF7010" w:rsidRPr="001615B2">
          <w:rPr>
            <w:rStyle w:val="Hyperlink"/>
            <w:noProof/>
          </w:rPr>
          <w:t>2</w:t>
        </w:r>
        <w:r w:rsidR="00FF7010">
          <w:rPr>
            <w:rFonts w:asciiTheme="minorHAnsi" w:eastAsiaTheme="minorEastAsia" w:hAnsiTheme="minorHAnsi" w:cstheme="minorBidi"/>
            <w:b w:val="0"/>
            <w:caps w:val="0"/>
            <w:noProof/>
            <w:sz w:val="22"/>
            <w:szCs w:val="22"/>
            <w:lang w:val="en-GB" w:eastAsia="en-GB"/>
          </w:rPr>
          <w:tab/>
        </w:r>
        <w:r w:rsidR="00FF7010" w:rsidRPr="001615B2">
          <w:rPr>
            <w:rStyle w:val="Hyperlink"/>
            <w:noProof/>
          </w:rPr>
          <w:t>Background and Frequency arrangement</w:t>
        </w:r>
        <w:r w:rsidR="00FF7010">
          <w:rPr>
            <w:noProof/>
            <w:webHidden/>
          </w:rPr>
          <w:tab/>
        </w:r>
        <w:r w:rsidR="00FF7010">
          <w:rPr>
            <w:noProof/>
            <w:webHidden/>
          </w:rPr>
          <w:fldChar w:fldCharType="begin"/>
        </w:r>
        <w:r w:rsidR="00FF7010">
          <w:rPr>
            <w:noProof/>
            <w:webHidden/>
          </w:rPr>
          <w:instrText xml:space="preserve"> PAGEREF _Toc498934651 \h </w:instrText>
        </w:r>
        <w:r w:rsidR="00FF7010">
          <w:rPr>
            <w:noProof/>
            <w:webHidden/>
          </w:rPr>
        </w:r>
        <w:r w:rsidR="00FF7010">
          <w:rPr>
            <w:noProof/>
            <w:webHidden/>
          </w:rPr>
          <w:fldChar w:fldCharType="separate"/>
        </w:r>
        <w:r w:rsidR="00B616E1">
          <w:rPr>
            <w:noProof/>
            <w:webHidden/>
          </w:rPr>
          <w:t>6</w:t>
        </w:r>
        <w:r w:rsidR="00FF7010">
          <w:rPr>
            <w:noProof/>
            <w:webHidden/>
          </w:rPr>
          <w:fldChar w:fldCharType="end"/>
        </w:r>
      </w:hyperlink>
    </w:p>
    <w:p w14:paraId="684DFB60"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52" w:history="1">
        <w:r w:rsidR="00FF7010" w:rsidRPr="001615B2">
          <w:rPr>
            <w:rStyle w:val="Hyperlink"/>
            <w:noProof/>
          </w:rPr>
          <w:t>2.1</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BACKGROUND</w:t>
        </w:r>
        <w:r w:rsidR="00FF7010">
          <w:rPr>
            <w:noProof/>
            <w:webHidden/>
          </w:rPr>
          <w:tab/>
        </w:r>
        <w:r w:rsidR="00FF7010">
          <w:rPr>
            <w:noProof/>
            <w:webHidden/>
          </w:rPr>
          <w:fldChar w:fldCharType="begin"/>
        </w:r>
        <w:r w:rsidR="00FF7010">
          <w:rPr>
            <w:noProof/>
            <w:webHidden/>
          </w:rPr>
          <w:instrText xml:space="preserve"> PAGEREF _Toc498934652 \h </w:instrText>
        </w:r>
        <w:r w:rsidR="00FF7010">
          <w:rPr>
            <w:noProof/>
            <w:webHidden/>
          </w:rPr>
        </w:r>
        <w:r w:rsidR="00FF7010">
          <w:rPr>
            <w:noProof/>
            <w:webHidden/>
          </w:rPr>
          <w:fldChar w:fldCharType="separate"/>
        </w:r>
        <w:r w:rsidR="00B616E1">
          <w:rPr>
            <w:noProof/>
            <w:webHidden/>
          </w:rPr>
          <w:t>6</w:t>
        </w:r>
        <w:r w:rsidR="00FF7010">
          <w:rPr>
            <w:noProof/>
            <w:webHidden/>
          </w:rPr>
          <w:fldChar w:fldCharType="end"/>
        </w:r>
      </w:hyperlink>
    </w:p>
    <w:p w14:paraId="684DFB61"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53" w:history="1">
        <w:r w:rsidR="00FF7010" w:rsidRPr="001615B2">
          <w:rPr>
            <w:rStyle w:val="Hyperlink"/>
            <w:noProof/>
          </w:rPr>
          <w:t>2.2</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Harmonised Frequency Arrangement</w:t>
        </w:r>
        <w:r w:rsidR="00FF7010">
          <w:rPr>
            <w:noProof/>
            <w:webHidden/>
          </w:rPr>
          <w:tab/>
        </w:r>
        <w:r w:rsidR="00FF7010">
          <w:rPr>
            <w:noProof/>
            <w:webHidden/>
          </w:rPr>
          <w:fldChar w:fldCharType="begin"/>
        </w:r>
        <w:r w:rsidR="00FF7010">
          <w:rPr>
            <w:noProof/>
            <w:webHidden/>
          </w:rPr>
          <w:instrText xml:space="preserve"> PAGEREF _Toc498934653 \h </w:instrText>
        </w:r>
        <w:r w:rsidR="00FF7010">
          <w:rPr>
            <w:noProof/>
            <w:webHidden/>
          </w:rPr>
        </w:r>
        <w:r w:rsidR="00FF7010">
          <w:rPr>
            <w:noProof/>
            <w:webHidden/>
          </w:rPr>
          <w:fldChar w:fldCharType="separate"/>
        </w:r>
        <w:r w:rsidR="00B616E1">
          <w:rPr>
            <w:noProof/>
            <w:webHidden/>
          </w:rPr>
          <w:t>6</w:t>
        </w:r>
        <w:r w:rsidR="00FF7010">
          <w:rPr>
            <w:noProof/>
            <w:webHidden/>
          </w:rPr>
          <w:fldChar w:fldCharType="end"/>
        </w:r>
      </w:hyperlink>
    </w:p>
    <w:p w14:paraId="684DFB62" w14:textId="77777777" w:rsidR="00FF7010" w:rsidRDefault="0073008D">
      <w:pPr>
        <w:pStyle w:val="TOC1"/>
        <w:rPr>
          <w:rFonts w:asciiTheme="minorHAnsi" w:eastAsiaTheme="minorEastAsia" w:hAnsiTheme="minorHAnsi" w:cstheme="minorBidi"/>
          <w:b w:val="0"/>
          <w:caps w:val="0"/>
          <w:noProof/>
          <w:sz w:val="22"/>
          <w:szCs w:val="22"/>
          <w:lang w:val="en-GB" w:eastAsia="en-GB"/>
        </w:rPr>
      </w:pPr>
      <w:hyperlink w:anchor="_Toc498934654" w:history="1">
        <w:r w:rsidR="00FF7010" w:rsidRPr="001615B2">
          <w:rPr>
            <w:rStyle w:val="Hyperlink"/>
            <w:noProof/>
          </w:rPr>
          <w:t>3</w:t>
        </w:r>
        <w:r w:rsidR="00FF7010">
          <w:rPr>
            <w:rFonts w:asciiTheme="minorHAnsi" w:eastAsiaTheme="minorEastAsia" w:hAnsiTheme="minorHAnsi" w:cstheme="minorBidi"/>
            <w:b w:val="0"/>
            <w:caps w:val="0"/>
            <w:noProof/>
            <w:sz w:val="22"/>
            <w:szCs w:val="22"/>
            <w:lang w:val="en-GB" w:eastAsia="en-GB"/>
          </w:rPr>
          <w:tab/>
        </w:r>
        <w:r w:rsidR="00FF7010" w:rsidRPr="001615B2">
          <w:rPr>
            <w:rStyle w:val="Hyperlink"/>
            <w:noProof/>
          </w:rPr>
          <w:t>Compatibility studies</w:t>
        </w:r>
        <w:r w:rsidR="00FF7010">
          <w:rPr>
            <w:noProof/>
            <w:webHidden/>
          </w:rPr>
          <w:tab/>
        </w:r>
        <w:r w:rsidR="00FF7010">
          <w:rPr>
            <w:noProof/>
            <w:webHidden/>
          </w:rPr>
          <w:fldChar w:fldCharType="begin"/>
        </w:r>
        <w:r w:rsidR="00FF7010">
          <w:rPr>
            <w:noProof/>
            <w:webHidden/>
          </w:rPr>
          <w:instrText xml:space="preserve"> PAGEREF _Toc498934654 \h </w:instrText>
        </w:r>
        <w:r w:rsidR="00FF7010">
          <w:rPr>
            <w:noProof/>
            <w:webHidden/>
          </w:rPr>
        </w:r>
        <w:r w:rsidR="00FF7010">
          <w:rPr>
            <w:noProof/>
            <w:webHidden/>
          </w:rPr>
          <w:fldChar w:fldCharType="separate"/>
        </w:r>
        <w:r w:rsidR="00B616E1">
          <w:rPr>
            <w:noProof/>
            <w:webHidden/>
          </w:rPr>
          <w:t>8</w:t>
        </w:r>
        <w:r w:rsidR="00FF7010">
          <w:rPr>
            <w:noProof/>
            <w:webHidden/>
          </w:rPr>
          <w:fldChar w:fldCharType="end"/>
        </w:r>
      </w:hyperlink>
    </w:p>
    <w:p w14:paraId="684DFB63"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55" w:history="1">
        <w:r w:rsidR="00FF7010" w:rsidRPr="001615B2">
          <w:rPr>
            <w:rStyle w:val="Hyperlink"/>
            <w:noProof/>
          </w:rPr>
          <w:t>3.1</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Compatibility between WBB ECS in 1427-1452 MHz and services operating in 1400-1427 MHz</w:t>
        </w:r>
        <w:r w:rsidR="00FF7010">
          <w:rPr>
            <w:noProof/>
            <w:webHidden/>
          </w:rPr>
          <w:tab/>
        </w:r>
        <w:r w:rsidR="00FF7010">
          <w:rPr>
            <w:noProof/>
            <w:webHidden/>
          </w:rPr>
          <w:fldChar w:fldCharType="begin"/>
        </w:r>
        <w:r w:rsidR="00FF7010">
          <w:rPr>
            <w:noProof/>
            <w:webHidden/>
          </w:rPr>
          <w:instrText xml:space="preserve"> PAGEREF _Toc498934655 \h </w:instrText>
        </w:r>
        <w:r w:rsidR="00FF7010">
          <w:rPr>
            <w:noProof/>
            <w:webHidden/>
          </w:rPr>
        </w:r>
        <w:r w:rsidR="00FF7010">
          <w:rPr>
            <w:noProof/>
            <w:webHidden/>
          </w:rPr>
          <w:fldChar w:fldCharType="separate"/>
        </w:r>
        <w:r w:rsidR="00B616E1">
          <w:rPr>
            <w:noProof/>
            <w:webHidden/>
          </w:rPr>
          <w:t>8</w:t>
        </w:r>
        <w:r w:rsidR="00FF7010">
          <w:rPr>
            <w:noProof/>
            <w:webHidden/>
          </w:rPr>
          <w:fldChar w:fldCharType="end"/>
        </w:r>
      </w:hyperlink>
    </w:p>
    <w:p w14:paraId="684DFB64"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56" w:history="1">
        <w:r w:rsidR="00FF7010" w:rsidRPr="001615B2">
          <w:rPr>
            <w:rStyle w:val="Hyperlink"/>
            <w:noProof/>
          </w:rPr>
          <w:t>3.2</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Compatibility between DL WBB ECS in 1492-1517 MHz and services operating in 1518-1525 MHz</w:t>
        </w:r>
        <w:r w:rsidR="00FF7010">
          <w:rPr>
            <w:noProof/>
            <w:webHidden/>
          </w:rPr>
          <w:tab/>
        </w:r>
        <w:r w:rsidR="00FF7010">
          <w:rPr>
            <w:noProof/>
            <w:webHidden/>
          </w:rPr>
          <w:fldChar w:fldCharType="begin"/>
        </w:r>
        <w:r w:rsidR="00FF7010">
          <w:rPr>
            <w:noProof/>
            <w:webHidden/>
          </w:rPr>
          <w:instrText xml:space="preserve"> PAGEREF _Toc498934656 \h </w:instrText>
        </w:r>
        <w:r w:rsidR="00FF7010">
          <w:rPr>
            <w:noProof/>
            <w:webHidden/>
          </w:rPr>
        </w:r>
        <w:r w:rsidR="00FF7010">
          <w:rPr>
            <w:noProof/>
            <w:webHidden/>
          </w:rPr>
          <w:fldChar w:fldCharType="separate"/>
        </w:r>
        <w:r w:rsidR="00B616E1">
          <w:rPr>
            <w:noProof/>
            <w:webHidden/>
          </w:rPr>
          <w:t>8</w:t>
        </w:r>
        <w:r w:rsidR="00FF7010">
          <w:rPr>
            <w:noProof/>
            <w:webHidden/>
          </w:rPr>
          <w:fldChar w:fldCharType="end"/>
        </w:r>
      </w:hyperlink>
    </w:p>
    <w:p w14:paraId="684DFB65"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57" w:history="1">
        <w:r w:rsidR="00FF7010" w:rsidRPr="001615B2">
          <w:rPr>
            <w:rStyle w:val="Hyperlink"/>
            <w:noProof/>
          </w:rPr>
          <w:t>3.3</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Compatibility between WBB ECS systems operating in adjacent channels in 1427-1517 MHz</w:t>
        </w:r>
        <w:r w:rsidR="00FF7010">
          <w:rPr>
            <w:noProof/>
            <w:webHidden/>
          </w:rPr>
          <w:tab/>
        </w:r>
        <w:r w:rsidR="00FF7010">
          <w:rPr>
            <w:noProof/>
            <w:webHidden/>
          </w:rPr>
          <w:fldChar w:fldCharType="begin"/>
        </w:r>
        <w:r w:rsidR="00FF7010">
          <w:rPr>
            <w:noProof/>
            <w:webHidden/>
          </w:rPr>
          <w:instrText xml:space="preserve"> PAGEREF _Toc498934657 \h </w:instrText>
        </w:r>
        <w:r w:rsidR="00FF7010">
          <w:rPr>
            <w:noProof/>
            <w:webHidden/>
          </w:rPr>
        </w:r>
        <w:r w:rsidR="00FF7010">
          <w:rPr>
            <w:noProof/>
            <w:webHidden/>
          </w:rPr>
          <w:fldChar w:fldCharType="separate"/>
        </w:r>
        <w:r w:rsidR="00B616E1">
          <w:rPr>
            <w:noProof/>
            <w:webHidden/>
          </w:rPr>
          <w:t>9</w:t>
        </w:r>
        <w:r w:rsidR="00FF7010">
          <w:rPr>
            <w:noProof/>
            <w:webHidden/>
          </w:rPr>
          <w:fldChar w:fldCharType="end"/>
        </w:r>
      </w:hyperlink>
    </w:p>
    <w:p w14:paraId="684DFB66" w14:textId="77777777" w:rsidR="00FF7010" w:rsidRDefault="0073008D">
      <w:pPr>
        <w:pStyle w:val="TOC1"/>
        <w:rPr>
          <w:rFonts w:asciiTheme="minorHAnsi" w:eastAsiaTheme="minorEastAsia" w:hAnsiTheme="minorHAnsi" w:cstheme="minorBidi"/>
          <w:b w:val="0"/>
          <w:caps w:val="0"/>
          <w:noProof/>
          <w:sz w:val="22"/>
          <w:szCs w:val="22"/>
          <w:lang w:val="en-GB" w:eastAsia="en-GB"/>
        </w:rPr>
      </w:pPr>
      <w:hyperlink w:anchor="_Toc498934658" w:history="1">
        <w:r w:rsidR="00FF7010" w:rsidRPr="001615B2">
          <w:rPr>
            <w:rStyle w:val="Hyperlink"/>
            <w:noProof/>
          </w:rPr>
          <w:t>4</w:t>
        </w:r>
        <w:r w:rsidR="00FF7010">
          <w:rPr>
            <w:rFonts w:asciiTheme="minorHAnsi" w:eastAsiaTheme="minorEastAsia" w:hAnsiTheme="minorHAnsi" w:cstheme="minorBidi"/>
            <w:b w:val="0"/>
            <w:caps w:val="0"/>
            <w:noProof/>
            <w:sz w:val="22"/>
            <w:szCs w:val="22"/>
            <w:lang w:val="en-GB" w:eastAsia="en-GB"/>
          </w:rPr>
          <w:tab/>
        </w:r>
        <w:r w:rsidR="00FF7010" w:rsidRPr="001615B2">
          <w:rPr>
            <w:rStyle w:val="Hyperlink"/>
            <w:noProof/>
          </w:rPr>
          <w:t>CO-EXISTENCE WITH INCUMBENT RADIO SERVICES AND APPLICATIONS IN THE 1427-1518 MHZ band</w:t>
        </w:r>
        <w:r w:rsidR="00FF7010">
          <w:rPr>
            <w:noProof/>
            <w:webHidden/>
          </w:rPr>
          <w:tab/>
        </w:r>
        <w:r w:rsidR="00FF7010">
          <w:rPr>
            <w:noProof/>
            <w:webHidden/>
          </w:rPr>
          <w:fldChar w:fldCharType="begin"/>
        </w:r>
        <w:r w:rsidR="00FF7010">
          <w:rPr>
            <w:noProof/>
            <w:webHidden/>
          </w:rPr>
          <w:instrText xml:space="preserve"> PAGEREF _Toc498934658 \h </w:instrText>
        </w:r>
        <w:r w:rsidR="00FF7010">
          <w:rPr>
            <w:noProof/>
            <w:webHidden/>
          </w:rPr>
        </w:r>
        <w:r w:rsidR="00FF7010">
          <w:rPr>
            <w:noProof/>
            <w:webHidden/>
          </w:rPr>
          <w:fldChar w:fldCharType="separate"/>
        </w:r>
        <w:r w:rsidR="00B616E1">
          <w:rPr>
            <w:noProof/>
            <w:webHidden/>
          </w:rPr>
          <w:t>10</w:t>
        </w:r>
        <w:r w:rsidR="00FF7010">
          <w:rPr>
            <w:noProof/>
            <w:webHidden/>
          </w:rPr>
          <w:fldChar w:fldCharType="end"/>
        </w:r>
      </w:hyperlink>
    </w:p>
    <w:p w14:paraId="684DFB67"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59" w:history="1">
        <w:r w:rsidR="00FF7010" w:rsidRPr="001615B2">
          <w:rPr>
            <w:rStyle w:val="Hyperlink"/>
            <w:noProof/>
          </w:rPr>
          <w:t>4.1</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Sharing and compatibility between WBB ECS and Fixed Service</w:t>
        </w:r>
        <w:r w:rsidR="00FF7010">
          <w:rPr>
            <w:noProof/>
            <w:webHidden/>
          </w:rPr>
          <w:tab/>
        </w:r>
        <w:r w:rsidR="00FF7010">
          <w:rPr>
            <w:noProof/>
            <w:webHidden/>
          </w:rPr>
          <w:fldChar w:fldCharType="begin"/>
        </w:r>
        <w:r w:rsidR="00FF7010">
          <w:rPr>
            <w:noProof/>
            <w:webHidden/>
          </w:rPr>
          <w:instrText xml:space="preserve"> PAGEREF _Toc498934659 \h </w:instrText>
        </w:r>
        <w:r w:rsidR="00FF7010">
          <w:rPr>
            <w:noProof/>
            <w:webHidden/>
          </w:rPr>
        </w:r>
        <w:r w:rsidR="00FF7010">
          <w:rPr>
            <w:noProof/>
            <w:webHidden/>
          </w:rPr>
          <w:fldChar w:fldCharType="separate"/>
        </w:r>
        <w:r w:rsidR="00B616E1">
          <w:rPr>
            <w:noProof/>
            <w:webHidden/>
          </w:rPr>
          <w:t>10</w:t>
        </w:r>
        <w:r w:rsidR="00FF7010">
          <w:rPr>
            <w:noProof/>
            <w:webHidden/>
          </w:rPr>
          <w:fldChar w:fldCharType="end"/>
        </w:r>
      </w:hyperlink>
    </w:p>
    <w:p w14:paraId="684DFB68"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60" w:history="1">
        <w:r w:rsidR="00FF7010" w:rsidRPr="001615B2">
          <w:rPr>
            <w:rStyle w:val="Hyperlink"/>
            <w:noProof/>
          </w:rPr>
          <w:t>4.2</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Introduction of WBB ECS in sub-bands</w:t>
        </w:r>
        <w:r w:rsidR="00FF7010">
          <w:rPr>
            <w:noProof/>
            <w:webHidden/>
          </w:rPr>
          <w:tab/>
        </w:r>
        <w:r w:rsidR="00FF7010">
          <w:rPr>
            <w:noProof/>
            <w:webHidden/>
          </w:rPr>
          <w:fldChar w:fldCharType="begin"/>
        </w:r>
        <w:r w:rsidR="00FF7010">
          <w:rPr>
            <w:noProof/>
            <w:webHidden/>
          </w:rPr>
          <w:instrText xml:space="preserve"> PAGEREF _Toc498934660 \h </w:instrText>
        </w:r>
        <w:r w:rsidR="00FF7010">
          <w:rPr>
            <w:noProof/>
            <w:webHidden/>
          </w:rPr>
        </w:r>
        <w:r w:rsidR="00FF7010">
          <w:rPr>
            <w:noProof/>
            <w:webHidden/>
          </w:rPr>
          <w:fldChar w:fldCharType="separate"/>
        </w:r>
        <w:r w:rsidR="00B616E1">
          <w:rPr>
            <w:noProof/>
            <w:webHidden/>
          </w:rPr>
          <w:t>10</w:t>
        </w:r>
        <w:r w:rsidR="00FF7010">
          <w:rPr>
            <w:noProof/>
            <w:webHidden/>
          </w:rPr>
          <w:fldChar w:fldCharType="end"/>
        </w:r>
      </w:hyperlink>
    </w:p>
    <w:p w14:paraId="684DFB69"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61" w:history="1">
        <w:r w:rsidR="00FF7010" w:rsidRPr="001615B2">
          <w:rPr>
            <w:rStyle w:val="Hyperlink"/>
            <w:noProof/>
          </w:rPr>
          <w:t>4.3</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Sharing and compatibility between WBB ECS and aeronautical mobile service</w:t>
        </w:r>
        <w:r w:rsidR="00FF7010">
          <w:rPr>
            <w:noProof/>
            <w:webHidden/>
          </w:rPr>
          <w:tab/>
        </w:r>
        <w:r w:rsidR="00FF7010">
          <w:rPr>
            <w:noProof/>
            <w:webHidden/>
          </w:rPr>
          <w:fldChar w:fldCharType="begin"/>
        </w:r>
        <w:r w:rsidR="00FF7010">
          <w:rPr>
            <w:noProof/>
            <w:webHidden/>
          </w:rPr>
          <w:instrText xml:space="preserve"> PAGEREF _Toc498934661 \h </w:instrText>
        </w:r>
        <w:r w:rsidR="00FF7010">
          <w:rPr>
            <w:noProof/>
            <w:webHidden/>
          </w:rPr>
        </w:r>
        <w:r w:rsidR="00FF7010">
          <w:rPr>
            <w:noProof/>
            <w:webHidden/>
          </w:rPr>
          <w:fldChar w:fldCharType="separate"/>
        </w:r>
        <w:r w:rsidR="00B616E1">
          <w:rPr>
            <w:noProof/>
            <w:webHidden/>
          </w:rPr>
          <w:t>10</w:t>
        </w:r>
        <w:r w:rsidR="00FF7010">
          <w:rPr>
            <w:noProof/>
            <w:webHidden/>
          </w:rPr>
          <w:fldChar w:fldCharType="end"/>
        </w:r>
      </w:hyperlink>
    </w:p>
    <w:p w14:paraId="684DFB6A" w14:textId="77777777" w:rsidR="00FF7010" w:rsidRDefault="0073008D">
      <w:pPr>
        <w:pStyle w:val="TOC1"/>
        <w:rPr>
          <w:rFonts w:asciiTheme="minorHAnsi" w:eastAsiaTheme="minorEastAsia" w:hAnsiTheme="minorHAnsi" w:cstheme="minorBidi"/>
          <w:b w:val="0"/>
          <w:caps w:val="0"/>
          <w:noProof/>
          <w:sz w:val="22"/>
          <w:szCs w:val="22"/>
          <w:lang w:val="en-GB" w:eastAsia="en-GB"/>
        </w:rPr>
      </w:pPr>
      <w:hyperlink w:anchor="_Toc498934662" w:history="1">
        <w:r w:rsidR="00FF7010" w:rsidRPr="001615B2">
          <w:rPr>
            <w:rStyle w:val="Hyperlink"/>
            <w:noProof/>
          </w:rPr>
          <w:t>5</w:t>
        </w:r>
        <w:r w:rsidR="00FF7010">
          <w:rPr>
            <w:rFonts w:asciiTheme="minorHAnsi" w:eastAsiaTheme="minorEastAsia" w:hAnsiTheme="minorHAnsi" w:cstheme="minorBidi"/>
            <w:b w:val="0"/>
            <w:caps w:val="0"/>
            <w:noProof/>
            <w:sz w:val="22"/>
            <w:szCs w:val="22"/>
            <w:lang w:val="en-GB" w:eastAsia="en-GB"/>
          </w:rPr>
          <w:tab/>
        </w:r>
        <w:r w:rsidR="00FF7010" w:rsidRPr="001615B2">
          <w:rPr>
            <w:rStyle w:val="Hyperlink"/>
            <w:noProof/>
          </w:rPr>
          <w:t>Maximum in-band e.i.r.p. for base stations operating in 1427-1452 and 1492-1517 MHz</w:t>
        </w:r>
        <w:r w:rsidR="00FF7010">
          <w:rPr>
            <w:noProof/>
            <w:webHidden/>
          </w:rPr>
          <w:tab/>
        </w:r>
        <w:r w:rsidR="00FF7010">
          <w:rPr>
            <w:noProof/>
            <w:webHidden/>
          </w:rPr>
          <w:fldChar w:fldCharType="begin"/>
        </w:r>
        <w:r w:rsidR="00FF7010">
          <w:rPr>
            <w:noProof/>
            <w:webHidden/>
          </w:rPr>
          <w:instrText xml:space="preserve"> PAGEREF _Toc498934662 \h </w:instrText>
        </w:r>
        <w:r w:rsidR="00FF7010">
          <w:rPr>
            <w:noProof/>
            <w:webHidden/>
          </w:rPr>
        </w:r>
        <w:r w:rsidR="00FF7010">
          <w:rPr>
            <w:noProof/>
            <w:webHidden/>
          </w:rPr>
          <w:fldChar w:fldCharType="separate"/>
        </w:r>
        <w:r w:rsidR="00B616E1">
          <w:rPr>
            <w:noProof/>
            <w:webHidden/>
          </w:rPr>
          <w:t>12</w:t>
        </w:r>
        <w:r w:rsidR="00FF7010">
          <w:rPr>
            <w:noProof/>
            <w:webHidden/>
          </w:rPr>
          <w:fldChar w:fldCharType="end"/>
        </w:r>
      </w:hyperlink>
    </w:p>
    <w:p w14:paraId="684DFB6B"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63" w:history="1">
        <w:r w:rsidR="00FF7010" w:rsidRPr="001615B2">
          <w:rPr>
            <w:rStyle w:val="Hyperlink"/>
            <w:noProof/>
          </w:rPr>
          <w:t>5.1</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Legacy Situation in 1452-1492 MHz</w:t>
        </w:r>
        <w:r w:rsidR="00FF7010">
          <w:rPr>
            <w:noProof/>
            <w:webHidden/>
          </w:rPr>
          <w:tab/>
        </w:r>
        <w:r w:rsidR="00FF7010">
          <w:rPr>
            <w:noProof/>
            <w:webHidden/>
          </w:rPr>
          <w:fldChar w:fldCharType="begin"/>
        </w:r>
        <w:r w:rsidR="00FF7010">
          <w:rPr>
            <w:noProof/>
            <w:webHidden/>
          </w:rPr>
          <w:instrText xml:space="preserve"> PAGEREF _Toc498934663 \h </w:instrText>
        </w:r>
        <w:r w:rsidR="00FF7010">
          <w:rPr>
            <w:noProof/>
            <w:webHidden/>
          </w:rPr>
        </w:r>
        <w:r w:rsidR="00FF7010">
          <w:rPr>
            <w:noProof/>
            <w:webHidden/>
          </w:rPr>
          <w:fldChar w:fldCharType="separate"/>
        </w:r>
        <w:r w:rsidR="00B616E1">
          <w:rPr>
            <w:noProof/>
            <w:webHidden/>
          </w:rPr>
          <w:t>12</w:t>
        </w:r>
        <w:r w:rsidR="00FF7010">
          <w:rPr>
            <w:noProof/>
            <w:webHidden/>
          </w:rPr>
          <w:fldChar w:fldCharType="end"/>
        </w:r>
      </w:hyperlink>
    </w:p>
    <w:p w14:paraId="684DFB6C"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64" w:history="1">
        <w:r w:rsidR="00FF7010" w:rsidRPr="001615B2">
          <w:rPr>
            <w:rStyle w:val="Hyperlink"/>
            <w:noProof/>
          </w:rPr>
          <w:t>5.2</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Maximum In band e.i.r.p. for BS operating in 1427-1452 MHz</w:t>
        </w:r>
        <w:r w:rsidR="00FF7010">
          <w:rPr>
            <w:noProof/>
            <w:webHidden/>
          </w:rPr>
          <w:tab/>
        </w:r>
        <w:r w:rsidR="00FF7010">
          <w:rPr>
            <w:noProof/>
            <w:webHidden/>
          </w:rPr>
          <w:fldChar w:fldCharType="begin"/>
        </w:r>
        <w:r w:rsidR="00FF7010">
          <w:rPr>
            <w:noProof/>
            <w:webHidden/>
          </w:rPr>
          <w:instrText xml:space="preserve"> PAGEREF _Toc498934664 \h </w:instrText>
        </w:r>
        <w:r w:rsidR="00FF7010">
          <w:rPr>
            <w:noProof/>
            <w:webHidden/>
          </w:rPr>
        </w:r>
        <w:r w:rsidR="00FF7010">
          <w:rPr>
            <w:noProof/>
            <w:webHidden/>
          </w:rPr>
          <w:fldChar w:fldCharType="separate"/>
        </w:r>
        <w:r w:rsidR="00B616E1">
          <w:rPr>
            <w:noProof/>
            <w:webHidden/>
          </w:rPr>
          <w:t>12</w:t>
        </w:r>
        <w:r w:rsidR="00FF7010">
          <w:rPr>
            <w:noProof/>
            <w:webHidden/>
          </w:rPr>
          <w:fldChar w:fldCharType="end"/>
        </w:r>
      </w:hyperlink>
    </w:p>
    <w:p w14:paraId="684DFB6D" w14:textId="77777777" w:rsidR="00FF7010" w:rsidRDefault="0073008D">
      <w:pPr>
        <w:pStyle w:val="TOC3"/>
        <w:rPr>
          <w:rFonts w:asciiTheme="minorHAnsi" w:eastAsiaTheme="minorEastAsia" w:hAnsiTheme="minorHAnsi" w:cstheme="minorBidi"/>
          <w:noProof/>
          <w:sz w:val="22"/>
          <w:szCs w:val="22"/>
          <w:lang w:val="en-GB" w:eastAsia="en-GB"/>
        </w:rPr>
      </w:pPr>
      <w:hyperlink w:anchor="_Toc498934665" w:history="1">
        <w:r w:rsidR="00FF7010" w:rsidRPr="001615B2">
          <w:rPr>
            <w:rStyle w:val="Hyperlink"/>
            <w:noProof/>
            <w:lang w:val="en-GB"/>
          </w:rPr>
          <w:t>5.2.1</w:t>
        </w:r>
        <w:r w:rsidR="00FF7010">
          <w:rPr>
            <w:rFonts w:asciiTheme="minorHAnsi" w:eastAsiaTheme="minorEastAsia" w:hAnsiTheme="minorHAnsi" w:cstheme="minorBidi"/>
            <w:noProof/>
            <w:sz w:val="22"/>
            <w:szCs w:val="22"/>
            <w:lang w:val="en-GB" w:eastAsia="en-GB"/>
          </w:rPr>
          <w:tab/>
        </w:r>
        <w:r w:rsidR="00FF7010" w:rsidRPr="001615B2">
          <w:rPr>
            <w:rStyle w:val="Hyperlink"/>
            <w:noProof/>
            <w:lang w:val="en-GB"/>
          </w:rPr>
          <w:t>Practical limitation on maximum in band e.i.r.p. in 1427-1432 MHz</w:t>
        </w:r>
        <w:r w:rsidR="00FF7010">
          <w:rPr>
            <w:noProof/>
            <w:webHidden/>
          </w:rPr>
          <w:tab/>
        </w:r>
        <w:r w:rsidR="00FF7010">
          <w:rPr>
            <w:noProof/>
            <w:webHidden/>
          </w:rPr>
          <w:fldChar w:fldCharType="begin"/>
        </w:r>
        <w:r w:rsidR="00FF7010">
          <w:rPr>
            <w:noProof/>
            <w:webHidden/>
          </w:rPr>
          <w:instrText xml:space="preserve"> PAGEREF _Toc498934665 \h </w:instrText>
        </w:r>
        <w:r w:rsidR="00FF7010">
          <w:rPr>
            <w:noProof/>
            <w:webHidden/>
          </w:rPr>
        </w:r>
        <w:r w:rsidR="00FF7010">
          <w:rPr>
            <w:noProof/>
            <w:webHidden/>
          </w:rPr>
          <w:fldChar w:fldCharType="separate"/>
        </w:r>
        <w:r w:rsidR="00B616E1">
          <w:rPr>
            <w:noProof/>
            <w:webHidden/>
          </w:rPr>
          <w:t>12</w:t>
        </w:r>
        <w:r w:rsidR="00FF7010">
          <w:rPr>
            <w:noProof/>
            <w:webHidden/>
          </w:rPr>
          <w:fldChar w:fldCharType="end"/>
        </w:r>
      </w:hyperlink>
    </w:p>
    <w:p w14:paraId="684DFB6E"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66" w:history="1">
        <w:r w:rsidR="00FF7010" w:rsidRPr="001615B2">
          <w:rPr>
            <w:rStyle w:val="Hyperlink"/>
            <w:noProof/>
          </w:rPr>
          <w:t>5.3</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Maximum In band EIRP for BS operating in 1492-1517 MHz</w:t>
        </w:r>
        <w:r w:rsidR="00FF7010">
          <w:rPr>
            <w:noProof/>
            <w:webHidden/>
          </w:rPr>
          <w:tab/>
        </w:r>
        <w:r w:rsidR="00FF7010">
          <w:rPr>
            <w:noProof/>
            <w:webHidden/>
          </w:rPr>
          <w:fldChar w:fldCharType="begin"/>
        </w:r>
        <w:r w:rsidR="00FF7010">
          <w:rPr>
            <w:noProof/>
            <w:webHidden/>
          </w:rPr>
          <w:instrText xml:space="preserve"> PAGEREF _Toc498934666 \h </w:instrText>
        </w:r>
        <w:r w:rsidR="00FF7010">
          <w:rPr>
            <w:noProof/>
            <w:webHidden/>
          </w:rPr>
        </w:r>
        <w:r w:rsidR="00FF7010">
          <w:rPr>
            <w:noProof/>
            <w:webHidden/>
          </w:rPr>
          <w:fldChar w:fldCharType="separate"/>
        </w:r>
        <w:r w:rsidR="00B616E1">
          <w:rPr>
            <w:noProof/>
            <w:webHidden/>
          </w:rPr>
          <w:t>12</w:t>
        </w:r>
        <w:r w:rsidR="00FF7010">
          <w:rPr>
            <w:noProof/>
            <w:webHidden/>
          </w:rPr>
          <w:fldChar w:fldCharType="end"/>
        </w:r>
      </w:hyperlink>
    </w:p>
    <w:p w14:paraId="684DFB6F" w14:textId="77777777" w:rsidR="00FF7010" w:rsidRDefault="0073008D">
      <w:pPr>
        <w:pStyle w:val="TOC1"/>
        <w:rPr>
          <w:rFonts w:asciiTheme="minorHAnsi" w:eastAsiaTheme="minorEastAsia" w:hAnsiTheme="minorHAnsi" w:cstheme="minorBidi"/>
          <w:b w:val="0"/>
          <w:caps w:val="0"/>
          <w:noProof/>
          <w:sz w:val="22"/>
          <w:szCs w:val="22"/>
          <w:lang w:val="en-GB" w:eastAsia="en-GB"/>
        </w:rPr>
      </w:pPr>
      <w:hyperlink w:anchor="_Toc498934667" w:history="1">
        <w:r w:rsidR="00FF7010" w:rsidRPr="001615B2">
          <w:rPr>
            <w:rStyle w:val="Hyperlink"/>
            <w:noProof/>
          </w:rPr>
          <w:t>6</w:t>
        </w:r>
        <w:r w:rsidR="00FF7010">
          <w:rPr>
            <w:rFonts w:asciiTheme="minorHAnsi" w:eastAsiaTheme="minorEastAsia" w:hAnsiTheme="minorHAnsi" w:cstheme="minorBidi"/>
            <w:b w:val="0"/>
            <w:caps w:val="0"/>
            <w:noProof/>
            <w:sz w:val="22"/>
            <w:szCs w:val="22"/>
            <w:lang w:val="en-GB" w:eastAsia="en-GB"/>
          </w:rPr>
          <w:tab/>
        </w:r>
        <w:r w:rsidR="00FF7010" w:rsidRPr="001615B2">
          <w:rPr>
            <w:rStyle w:val="Hyperlink"/>
            <w:noProof/>
          </w:rPr>
          <w:t>Impact on LRTC for WBB ECS BS opErating in 1452-1492 MHz</w:t>
        </w:r>
        <w:r w:rsidR="00FF7010">
          <w:rPr>
            <w:noProof/>
            <w:webHidden/>
          </w:rPr>
          <w:tab/>
        </w:r>
        <w:r w:rsidR="00FF7010">
          <w:rPr>
            <w:noProof/>
            <w:webHidden/>
          </w:rPr>
          <w:fldChar w:fldCharType="begin"/>
        </w:r>
        <w:r w:rsidR="00FF7010">
          <w:rPr>
            <w:noProof/>
            <w:webHidden/>
          </w:rPr>
          <w:instrText xml:space="preserve"> PAGEREF _Toc498934667 \h </w:instrText>
        </w:r>
        <w:r w:rsidR="00FF7010">
          <w:rPr>
            <w:noProof/>
            <w:webHidden/>
          </w:rPr>
        </w:r>
        <w:r w:rsidR="00FF7010">
          <w:rPr>
            <w:noProof/>
            <w:webHidden/>
          </w:rPr>
          <w:fldChar w:fldCharType="separate"/>
        </w:r>
        <w:r w:rsidR="00B616E1">
          <w:rPr>
            <w:noProof/>
            <w:webHidden/>
          </w:rPr>
          <w:t>13</w:t>
        </w:r>
        <w:r w:rsidR="00FF7010">
          <w:rPr>
            <w:noProof/>
            <w:webHidden/>
          </w:rPr>
          <w:fldChar w:fldCharType="end"/>
        </w:r>
      </w:hyperlink>
    </w:p>
    <w:p w14:paraId="684DFB70"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68" w:history="1">
        <w:r w:rsidR="00FF7010" w:rsidRPr="001615B2">
          <w:rPr>
            <w:rStyle w:val="Hyperlink"/>
            <w:noProof/>
          </w:rPr>
          <w:t>6.1</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Current emission limits in adjacent band</w:t>
        </w:r>
        <w:r w:rsidR="00FF7010">
          <w:rPr>
            <w:noProof/>
            <w:webHidden/>
          </w:rPr>
          <w:tab/>
        </w:r>
        <w:r w:rsidR="00FF7010">
          <w:rPr>
            <w:noProof/>
            <w:webHidden/>
          </w:rPr>
          <w:fldChar w:fldCharType="begin"/>
        </w:r>
        <w:r w:rsidR="00FF7010">
          <w:rPr>
            <w:noProof/>
            <w:webHidden/>
          </w:rPr>
          <w:instrText xml:space="preserve"> PAGEREF _Toc498934668 \h </w:instrText>
        </w:r>
        <w:r w:rsidR="00FF7010">
          <w:rPr>
            <w:noProof/>
            <w:webHidden/>
          </w:rPr>
        </w:r>
        <w:r w:rsidR="00FF7010">
          <w:rPr>
            <w:noProof/>
            <w:webHidden/>
          </w:rPr>
          <w:fldChar w:fldCharType="separate"/>
        </w:r>
        <w:r w:rsidR="00B616E1">
          <w:rPr>
            <w:noProof/>
            <w:webHidden/>
          </w:rPr>
          <w:t>13</w:t>
        </w:r>
        <w:r w:rsidR="00FF7010">
          <w:rPr>
            <w:noProof/>
            <w:webHidden/>
          </w:rPr>
          <w:fldChar w:fldCharType="end"/>
        </w:r>
      </w:hyperlink>
    </w:p>
    <w:p w14:paraId="684DFB71"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69" w:history="1">
        <w:r w:rsidR="00FF7010" w:rsidRPr="001615B2">
          <w:rPr>
            <w:rStyle w:val="Hyperlink"/>
            <w:noProof/>
          </w:rPr>
          <w:t>6.2</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Current emission limits not required and problematic when WBB ECS operates in adjacent band</w:t>
        </w:r>
        <w:r w:rsidR="00FF7010">
          <w:rPr>
            <w:noProof/>
            <w:webHidden/>
          </w:rPr>
          <w:tab/>
        </w:r>
        <w:r w:rsidR="00FF7010">
          <w:rPr>
            <w:noProof/>
            <w:webHidden/>
          </w:rPr>
          <w:fldChar w:fldCharType="begin"/>
        </w:r>
        <w:r w:rsidR="00FF7010">
          <w:rPr>
            <w:noProof/>
            <w:webHidden/>
          </w:rPr>
          <w:instrText xml:space="preserve"> PAGEREF _Toc498934669 \h </w:instrText>
        </w:r>
        <w:r w:rsidR="00FF7010">
          <w:rPr>
            <w:noProof/>
            <w:webHidden/>
          </w:rPr>
        </w:r>
        <w:r w:rsidR="00FF7010">
          <w:rPr>
            <w:noProof/>
            <w:webHidden/>
          </w:rPr>
          <w:fldChar w:fldCharType="separate"/>
        </w:r>
        <w:r w:rsidR="00B616E1">
          <w:rPr>
            <w:noProof/>
            <w:webHidden/>
          </w:rPr>
          <w:t>13</w:t>
        </w:r>
        <w:r w:rsidR="00FF7010">
          <w:rPr>
            <w:noProof/>
            <w:webHidden/>
          </w:rPr>
          <w:fldChar w:fldCharType="end"/>
        </w:r>
      </w:hyperlink>
    </w:p>
    <w:p w14:paraId="684DFB72" w14:textId="77777777" w:rsidR="00FF7010" w:rsidRDefault="0073008D">
      <w:pPr>
        <w:pStyle w:val="TOC2"/>
        <w:rPr>
          <w:rFonts w:asciiTheme="minorHAnsi" w:eastAsiaTheme="minorEastAsia" w:hAnsiTheme="minorHAnsi" w:cstheme="minorBidi"/>
          <w:noProof/>
          <w:sz w:val="22"/>
          <w:szCs w:val="22"/>
          <w:lang w:val="en-GB" w:eastAsia="en-GB"/>
        </w:rPr>
      </w:pPr>
      <w:hyperlink w:anchor="_Toc498934670" w:history="1">
        <w:r w:rsidR="00FF7010" w:rsidRPr="001615B2">
          <w:rPr>
            <w:rStyle w:val="Hyperlink"/>
            <w:noProof/>
          </w:rPr>
          <w:t>6.3</w:t>
        </w:r>
        <w:r w:rsidR="00FF7010">
          <w:rPr>
            <w:rFonts w:asciiTheme="minorHAnsi" w:eastAsiaTheme="minorEastAsia" w:hAnsiTheme="minorHAnsi" w:cstheme="minorBidi"/>
            <w:noProof/>
            <w:sz w:val="22"/>
            <w:szCs w:val="22"/>
            <w:lang w:val="en-GB" w:eastAsia="en-GB"/>
          </w:rPr>
          <w:tab/>
        </w:r>
        <w:r w:rsidR="00FF7010" w:rsidRPr="001615B2">
          <w:rPr>
            <w:rStyle w:val="Hyperlink"/>
            <w:noProof/>
          </w:rPr>
          <w:t>Need to update of the regulatory framework applicable to WBB ECS operating in 1452-1492 MHz</w:t>
        </w:r>
        <w:r w:rsidR="00FF7010">
          <w:rPr>
            <w:noProof/>
            <w:webHidden/>
          </w:rPr>
          <w:tab/>
        </w:r>
        <w:r w:rsidR="00FF7010">
          <w:rPr>
            <w:noProof/>
            <w:webHidden/>
          </w:rPr>
          <w:fldChar w:fldCharType="begin"/>
        </w:r>
        <w:r w:rsidR="00FF7010">
          <w:rPr>
            <w:noProof/>
            <w:webHidden/>
          </w:rPr>
          <w:instrText xml:space="preserve"> PAGEREF _Toc498934670 \h </w:instrText>
        </w:r>
        <w:r w:rsidR="00FF7010">
          <w:rPr>
            <w:noProof/>
            <w:webHidden/>
          </w:rPr>
        </w:r>
        <w:r w:rsidR="00FF7010">
          <w:rPr>
            <w:noProof/>
            <w:webHidden/>
          </w:rPr>
          <w:fldChar w:fldCharType="separate"/>
        </w:r>
        <w:r w:rsidR="00B616E1">
          <w:rPr>
            <w:noProof/>
            <w:webHidden/>
          </w:rPr>
          <w:t>13</w:t>
        </w:r>
        <w:r w:rsidR="00FF7010">
          <w:rPr>
            <w:noProof/>
            <w:webHidden/>
          </w:rPr>
          <w:fldChar w:fldCharType="end"/>
        </w:r>
      </w:hyperlink>
    </w:p>
    <w:p w14:paraId="684DFB73" w14:textId="77777777" w:rsidR="00FF7010" w:rsidRDefault="0073008D">
      <w:pPr>
        <w:pStyle w:val="TOC1"/>
        <w:rPr>
          <w:rFonts w:asciiTheme="minorHAnsi" w:eastAsiaTheme="minorEastAsia" w:hAnsiTheme="minorHAnsi" w:cstheme="minorBidi"/>
          <w:b w:val="0"/>
          <w:caps w:val="0"/>
          <w:noProof/>
          <w:sz w:val="22"/>
          <w:szCs w:val="22"/>
          <w:lang w:val="en-GB" w:eastAsia="en-GB"/>
        </w:rPr>
      </w:pPr>
      <w:hyperlink w:anchor="_Toc498934671" w:history="1">
        <w:r w:rsidR="00FF7010" w:rsidRPr="001615B2">
          <w:rPr>
            <w:rStyle w:val="Hyperlink"/>
            <w:noProof/>
          </w:rPr>
          <w:t>7</w:t>
        </w:r>
        <w:r w:rsidR="00FF7010">
          <w:rPr>
            <w:rFonts w:asciiTheme="minorHAnsi" w:eastAsiaTheme="minorEastAsia" w:hAnsiTheme="minorHAnsi" w:cstheme="minorBidi"/>
            <w:b w:val="0"/>
            <w:caps w:val="0"/>
            <w:noProof/>
            <w:sz w:val="22"/>
            <w:szCs w:val="22"/>
            <w:lang w:val="en-GB" w:eastAsia="en-GB"/>
          </w:rPr>
          <w:tab/>
        </w:r>
        <w:r w:rsidR="00FF7010" w:rsidRPr="001615B2">
          <w:rPr>
            <w:rStyle w:val="Hyperlink"/>
            <w:noProof/>
          </w:rPr>
          <w:t>Conclusions</w:t>
        </w:r>
        <w:r w:rsidR="00FF7010">
          <w:rPr>
            <w:noProof/>
            <w:webHidden/>
          </w:rPr>
          <w:tab/>
        </w:r>
        <w:r w:rsidR="00FF7010">
          <w:rPr>
            <w:noProof/>
            <w:webHidden/>
          </w:rPr>
          <w:fldChar w:fldCharType="begin"/>
        </w:r>
        <w:r w:rsidR="00FF7010">
          <w:rPr>
            <w:noProof/>
            <w:webHidden/>
          </w:rPr>
          <w:instrText xml:space="preserve"> PAGEREF _Toc498934671 \h </w:instrText>
        </w:r>
        <w:r w:rsidR="00FF7010">
          <w:rPr>
            <w:noProof/>
            <w:webHidden/>
          </w:rPr>
        </w:r>
        <w:r w:rsidR="00FF7010">
          <w:rPr>
            <w:noProof/>
            <w:webHidden/>
          </w:rPr>
          <w:fldChar w:fldCharType="separate"/>
        </w:r>
        <w:r w:rsidR="00B616E1">
          <w:rPr>
            <w:noProof/>
            <w:webHidden/>
          </w:rPr>
          <w:t>14</w:t>
        </w:r>
        <w:r w:rsidR="00FF7010">
          <w:rPr>
            <w:noProof/>
            <w:webHidden/>
          </w:rPr>
          <w:fldChar w:fldCharType="end"/>
        </w:r>
      </w:hyperlink>
    </w:p>
    <w:p w14:paraId="684DFB74" w14:textId="77777777" w:rsidR="00FF7010" w:rsidRDefault="0073008D">
      <w:pPr>
        <w:pStyle w:val="TOC1"/>
        <w:rPr>
          <w:rFonts w:asciiTheme="minorHAnsi" w:eastAsiaTheme="minorEastAsia" w:hAnsiTheme="minorHAnsi" w:cstheme="minorBidi"/>
          <w:b w:val="0"/>
          <w:caps w:val="0"/>
          <w:noProof/>
          <w:sz w:val="22"/>
          <w:szCs w:val="22"/>
          <w:lang w:val="en-GB" w:eastAsia="en-GB"/>
        </w:rPr>
      </w:pPr>
      <w:hyperlink w:anchor="_Toc498934672" w:history="1">
        <w:r w:rsidR="00FF7010" w:rsidRPr="001615B2">
          <w:rPr>
            <w:rStyle w:val="Hyperlink"/>
            <w:noProof/>
          </w:rPr>
          <w:t>ANNEX 1: cept mandate</w:t>
        </w:r>
        <w:r w:rsidR="00FF7010">
          <w:rPr>
            <w:noProof/>
            <w:webHidden/>
          </w:rPr>
          <w:tab/>
        </w:r>
        <w:r w:rsidR="00FF7010">
          <w:rPr>
            <w:noProof/>
            <w:webHidden/>
          </w:rPr>
          <w:fldChar w:fldCharType="begin"/>
        </w:r>
        <w:r w:rsidR="00FF7010">
          <w:rPr>
            <w:noProof/>
            <w:webHidden/>
          </w:rPr>
          <w:instrText xml:space="preserve"> PAGEREF _Toc498934672 \h </w:instrText>
        </w:r>
        <w:r w:rsidR="00FF7010">
          <w:rPr>
            <w:noProof/>
            <w:webHidden/>
          </w:rPr>
        </w:r>
        <w:r w:rsidR="00FF7010">
          <w:rPr>
            <w:noProof/>
            <w:webHidden/>
          </w:rPr>
          <w:fldChar w:fldCharType="separate"/>
        </w:r>
        <w:r w:rsidR="00B616E1">
          <w:rPr>
            <w:noProof/>
            <w:webHidden/>
          </w:rPr>
          <w:t>15</w:t>
        </w:r>
        <w:r w:rsidR="00FF7010">
          <w:rPr>
            <w:noProof/>
            <w:webHidden/>
          </w:rPr>
          <w:fldChar w:fldCharType="end"/>
        </w:r>
      </w:hyperlink>
    </w:p>
    <w:p w14:paraId="684DFB75" w14:textId="77777777" w:rsidR="00FF7010" w:rsidRDefault="0073008D">
      <w:pPr>
        <w:pStyle w:val="TOC1"/>
        <w:rPr>
          <w:rFonts w:asciiTheme="minorHAnsi" w:eastAsiaTheme="minorEastAsia" w:hAnsiTheme="minorHAnsi" w:cstheme="minorBidi"/>
          <w:b w:val="0"/>
          <w:caps w:val="0"/>
          <w:noProof/>
          <w:sz w:val="22"/>
          <w:szCs w:val="22"/>
          <w:lang w:val="en-GB" w:eastAsia="en-GB"/>
        </w:rPr>
      </w:pPr>
      <w:hyperlink w:anchor="_Toc498934673" w:history="1">
        <w:r w:rsidR="00FF7010" w:rsidRPr="001615B2">
          <w:rPr>
            <w:rStyle w:val="Hyperlink"/>
            <w:noProof/>
          </w:rPr>
          <w:t>ANNEX 2: LEAST RESTRICTIVE TECHNICAL CONDITIONS FOR TERRESTRIAL WIRELESS BROADBAND ELECTRONIC COMMUNICATIONS SERVICES IN 1427-1452 AND 1492-1518 MHZ</w:t>
        </w:r>
        <w:r w:rsidR="00FF7010">
          <w:rPr>
            <w:noProof/>
            <w:webHidden/>
          </w:rPr>
          <w:tab/>
        </w:r>
        <w:r w:rsidR="00FF7010">
          <w:rPr>
            <w:noProof/>
            <w:webHidden/>
          </w:rPr>
          <w:fldChar w:fldCharType="begin"/>
        </w:r>
        <w:r w:rsidR="00FF7010">
          <w:rPr>
            <w:noProof/>
            <w:webHidden/>
          </w:rPr>
          <w:instrText xml:space="preserve"> PAGEREF _Toc498934673 \h </w:instrText>
        </w:r>
        <w:r w:rsidR="00FF7010">
          <w:rPr>
            <w:noProof/>
            <w:webHidden/>
          </w:rPr>
        </w:r>
        <w:r w:rsidR="00FF7010">
          <w:rPr>
            <w:noProof/>
            <w:webHidden/>
          </w:rPr>
          <w:fldChar w:fldCharType="separate"/>
        </w:r>
        <w:r w:rsidR="00B616E1">
          <w:rPr>
            <w:noProof/>
            <w:webHidden/>
          </w:rPr>
          <w:t>20</w:t>
        </w:r>
        <w:r w:rsidR="00FF7010">
          <w:rPr>
            <w:noProof/>
            <w:webHidden/>
          </w:rPr>
          <w:fldChar w:fldCharType="end"/>
        </w:r>
      </w:hyperlink>
    </w:p>
    <w:p w14:paraId="684DFB76" w14:textId="77777777" w:rsidR="00FF7010" w:rsidRDefault="0073008D">
      <w:pPr>
        <w:pStyle w:val="TOC1"/>
        <w:rPr>
          <w:rFonts w:asciiTheme="minorHAnsi" w:eastAsiaTheme="minorEastAsia" w:hAnsiTheme="minorHAnsi" w:cstheme="minorBidi"/>
          <w:b w:val="0"/>
          <w:caps w:val="0"/>
          <w:noProof/>
          <w:sz w:val="22"/>
          <w:szCs w:val="22"/>
          <w:lang w:val="en-GB" w:eastAsia="en-GB"/>
        </w:rPr>
      </w:pPr>
      <w:hyperlink w:anchor="_Toc498934674" w:history="1">
        <w:r w:rsidR="00FF7010" w:rsidRPr="001615B2">
          <w:rPr>
            <w:rStyle w:val="Hyperlink"/>
            <w:noProof/>
          </w:rPr>
          <w:t>ANNEX 3: Flexibility for administrations</w:t>
        </w:r>
        <w:r w:rsidR="00FF7010">
          <w:rPr>
            <w:noProof/>
            <w:webHidden/>
          </w:rPr>
          <w:tab/>
        </w:r>
        <w:r w:rsidR="00FF7010">
          <w:rPr>
            <w:noProof/>
            <w:webHidden/>
          </w:rPr>
          <w:fldChar w:fldCharType="begin"/>
        </w:r>
        <w:r w:rsidR="00FF7010">
          <w:rPr>
            <w:noProof/>
            <w:webHidden/>
          </w:rPr>
          <w:instrText xml:space="preserve"> PAGEREF _Toc498934674 \h </w:instrText>
        </w:r>
        <w:r w:rsidR="00FF7010">
          <w:rPr>
            <w:noProof/>
            <w:webHidden/>
          </w:rPr>
        </w:r>
        <w:r w:rsidR="00FF7010">
          <w:rPr>
            <w:noProof/>
            <w:webHidden/>
          </w:rPr>
          <w:fldChar w:fldCharType="separate"/>
        </w:r>
        <w:r w:rsidR="00B616E1">
          <w:rPr>
            <w:noProof/>
            <w:webHidden/>
          </w:rPr>
          <w:t>22</w:t>
        </w:r>
        <w:r w:rsidR="00FF7010">
          <w:rPr>
            <w:noProof/>
            <w:webHidden/>
          </w:rPr>
          <w:fldChar w:fldCharType="end"/>
        </w:r>
      </w:hyperlink>
    </w:p>
    <w:p w14:paraId="684DFB77" w14:textId="77777777" w:rsidR="00FF7010" w:rsidRDefault="0073008D">
      <w:pPr>
        <w:pStyle w:val="TOC1"/>
        <w:rPr>
          <w:rFonts w:asciiTheme="minorHAnsi" w:eastAsiaTheme="minorEastAsia" w:hAnsiTheme="minorHAnsi" w:cstheme="minorBidi"/>
          <w:b w:val="0"/>
          <w:caps w:val="0"/>
          <w:noProof/>
          <w:sz w:val="22"/>
          <w:szCs w:val="22"/>
          <w:lang w:val="en-GB" w:eastAsia="en-GB"/>
        </w:rPr>
      </w:pPr>
      <w:hyperlink w:anchor="_Toc498934675" w:history="1">
        <w:r w:rsidR="00FF7010" w:rsidRPr="001615B2">
          <w:rPr>
            <w:rStyle w:val="Hyperlink"/>
            <w:noProof/>
          </w:rPr>
          <w:t>ANNEX 4: List of reference</w:t>
        </w:r>
        <w:r w:rsidR="00FF7010">
          <w:rPr>
            <w:noProof/>
            <w:webHidden/>
          </w:rPr>
          <w:tab/>
        </w:r>
        <w:r w:rsidR="00FF7010">
          <w:rPr>
            <w:noProof/>
            <w:webHidden/>
          </w:rPr>
          <w:fldChar w:fldCharType="begin"/>
        </w:r>
        <w:r w:rsidR="00FF7010">
          <w:rPr>
            <w:noProof/>
            <w:webHidden/>
          </w:rPr>
          <w:instrText xml:space="preserve"> PAGEREF _Toc498934675 \h </w:instrText>
        </w:r>
        <w:r w:rsidR="00FF7010">
          <w:rPr>
            <w:noProof/>
            <w:webHidden/>
          </w:rPr>
        </w:r>
        <w:r w:rsidR="00FF7010">
          <w:rPr>
            <w:noProof/>
            <w:webHidden/>
          </w:rPr>
          <w:fldChar w:fldCharType="separate"/>
        </w:r>
        <w:r w:rsidR="00B616E1">
          <w:rPr>
            <w:noProof/>
            <w:webHidden/>
          </w:rPr>
          <w:t>24</w:t>
        </w:r>
        <w:r w:rsidR="00FF7010">
          <w:rPr>
            <w:noProof/>
            <w:webHidden/>
          </w:rPr>
          <w:fldChar w:fldCharType="end"/>
        </w:r>
      </w:hyperlink>
    </w:p>
    <w:p w14:paraId="684DFB78" w14:textId="77777777" w:rsidR="00AB46DF" w:rsidRDefault="003C3EE4" w:rsidP="00AB46DF">
      <w:r>
        <w:rPr>
          <w:caps/>
          <w:lang w:val="en-GB"/>
        </w:rPr>
        <w:fldChar w:fldCharType="end"/>
      </w:r>
    </w:p>
    <w:p w14:paraId="684DFB79" w14:textId="77777777" w:rsidR="00AB46DF" w:rsidRDefault="003C3EE4" w:rsidP="00AB46DF">
      <w:r>
        <w:br w:type="page"/>
      </w:r>
    </w:p>
    <w:p w14:paraId="684DFB7A" w14:textId="5948FA05" w:rsidR="00AB46DF" w:rsidRPr="009B4646" w:rsidRDefault="007323A3" w:rsidP="00AB46DF">
      <w:pPr>
        <w:rPr>
          <w:b/>
          <w:color w:val="FFFFFF"/>
          <w:szCs w:val="20"/>
        </w:rPr>
      </w:pPr>
      <w:r>
        <w:rPr>
          <w:b/>
          <w:noProof/>
          <w:color w:val="FFFFFF"/>
          <w:szCs w:val="20"/>
          <w:lang w:val="da-DK" w:eastAsia="da-DK"/>
        </w:rPr>
        <w:lastRenderedPageBreak/>
        <mc:AlternateContent>
          <mc:Choice Requires="wps">
            <w:drawing>
              <wp:anchor distT="0" distB="0" distL="114300" distR="114300" simplePos="0" relativeHeight="251657216" behindDoc="1" locked="0" layoutInCell="1" allowOverlap="1" wp14:anchorId="684DFDA5" wp14:editId="7314DF6F">
                <wp:simplePos x="0" y="0"/>
                <wp:positionH relativeFrom="page">
                  <wp:posOffset>14312</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960D7" w14:textId="77777777" w:rsidR="007323A3" w:rsidRDefault="007323A3" w:rsidP="00CB51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5" style="position:absolute;margin-left:1.15pt;margin-top:70.9pt;width:595.3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" fillcolor="#b0a696" stroked="f">
                <v:textbox>
                  <w:txbxContent>
                    <w:p w14:paraId="2D4960D7" w14:textId="77777777" w:rsidR="007323A3" w:rsidRDefault="007323A3" w:rsidP="00CB5122">
                      <w:pPr>
                        <w:jc w:val="center"/>
                      </w:pPr>
                    </w:p>
                  </w:txbxContent>
                </v:textbox>
                <w10:wrap anchorx="page" anchory="page"/>
              </v:rect>
            </w:pict>
          </mc:Fallback>
        </mc:AlternateContent>
      </w:r>
    </w:p>
    <w:p w14:paraId="684DFB7B" w14:textId="77777777" w:rsidR="00D20E3B" w:rsidRDefault="00D20E3B" w:rsidP="00AB46DF">
      <w:pPr>
        <w:rPr>
          <w:b/>
          <w:color w:val="FFFFFF"/>
          <w:szCs w:val="20"/>
        </w:rPr>
      </w:pPr>
    </w:p>
    <w:p w14:paraId="684DFB7C" w14:textId="797A061A" w:rsidR="00AB46DF" w:rsidRPr="009B4646" w:rsidRDefault="003C3EE4" w:rsidP="00AB46DF">
      <w:pPr>
        <w:rPr>
          <w:b/>
          <w:color w:val="FFFFFF"/>
          <w:szCs w:val="20"/>
        </w:rPr>
      </w:pPr>
      <w:r w:rsidRPr="009B4646">
        <w:rPr>
          <w:b/>
          <w:color w:val="FFFFFF"/>
          <w:szCs w:val="20"/>
        </w:rPr>
        <w:t>LIST OF ABBREVIATIONS</w:t>
      </w:r>
    </w:p>
    <w:p w14:paraId="684DFB7D" w14:textId="77777777" w:rsidR="00AB46DF" w:rsidRPr="00C95C7C" w:rsidRDefault="00AB46DF" w:rsidP="00AB46DF">
      <w:pPr>
        <w:rPr>
          <w:b/>
          <w:color w:val="FFFFFF"/>
          <w:szCs w:val="20"/>
        </w:rPr>
      </w:pPr>
    </w:p>
    <w:p w14:paraId="684DFB7E" w14:textId="77777777" w:rsidR="00AB46DF" w:rsidRPr="00C95C7C" w:rsidRDefault="00AB46DF" w:rsidP="00AB46DF">
      <w:pPr>
        <w:rPr>
          <w:b/>
          <w:color w:val="FFFFFF"/>
          <w:szCs w:val="20"/>
        </w:rPr>
      </w:pPr>
    </w:p>
    <w:p w14:paraId="684DFB7F" w14:textId="77777777" w:rsidR="00AB46DF" w:rsidRDefault="00AB46DF" w:rsidP="00AB46DF"/>
    <w:p w14:paraId="684DFB80" w14:textId="77777777" w:rsidR="00AB46DF" w:rsidRDefault="00AB46DF" w:rsidP="00AB46DF"/>
    <w:tbl>
      <w:tblPr>
        <w:tblW w:w="0" w:type="auto"/>
        <w:tblCellMar>
          <w:top w:w="11" w:type="dxa"/>
          <w:bottom w:w="11" w:type="dxa"/>
        </w:tblCellMar>
        <w:tblLook w:val="01E0" w:firstRow="1" w:lastRow="1" w:firstColumn="1" w:lastColumn="1" w:noHBand="0" w:noVBand="0"/>
      </w:tblPr>
      <w:tblGrid>
        <w:gridCol w:w="2088"/>
        <w:gridCol w:w="7767"/>
      </w:tblGrid>
      <w:tr w:rsidR="00AB46DF" w14:paraId="684DFB83" w14:textId="77777777">
        <w:trPr>
          <w:trHeight w:val="76"/>
        </w:trPr>
        <w:tc>
          <w:tcPr>
            <w:tcW w:w="2088" w:type="dxa"/>
          </w:tcPr>
          <w:p w14:paraId="684DFB81" w14:textId="77777777" w:rsidR="00AB46DF" w:rsidRPr="00CB0AD7" w:rsidRDefault="003C3EE4" w:rsidP="00AB46DF">
            <w:pPr>
              <w:spacing w:line="288" w:lineRule="auto"/>
              <w:rPr>
                <w:b/>
                <w:color w:val="D2232A"/>
              </w:rPr>
            </w:pPr>
            <w:r w:rsidRPr="00CB0AD7">
              <w:rPr>
                <w:b/>
                <w:color w:val="D2232A"/>
              </w:rPr>
              <w:t>Abbreviation</w:t>
            </w:r>
          </w:p>
        </w:tc>
        <w:tc>
          <w:tcPr>
            <w:tcW w:w="7767" w:type="dxa"/>
          </w:tcPr>
          <w:p w14:paraId="684DFB82" w14:textId="77777777" w:rsidR="00AB46DF" w:rsidRPr="00CB0AD7" w:rsidRDefault="003C3EE4" w:rsidP="00812153">
            <w:pPr>
              <w:spacing w:line="288" w:lineRule="auto"/>
              <w:rPr>
                <w:b/>
                <w:color w:val="D2232A"/>
              </w:rPr>
            </w:pPr>
            <w:r w:rsidRPr="00CB0AD7">
              <w:rPr>
                <w:b/>
                <w:color w:val="D2232A"/>
              </w:rPr>
              <w:t>Explanation</w:t>
            </w:r>
          </w:p>
        </w:tc>
      </w:tr>
      <w:tr w:rsidR="00812153" w14:paraId="684DFB86" w14:textId="77777777" w:rsidTr="00954C83">
        <w:tc>
          <w:tcPr>
            <w:tcW w:w="2088" w:type="dxa"/>
            <w:vAlign w:val="center"/>
          </w:tcPr>
          <w:p w14:paraId="684DFB84" w14:textId="77777777" w:rsidR="00812153" w:rsidRDefault="00812153" w:rsidP="00954C83">
            <w:pPr>
              <w:pStyle w:val="ECCTabletext"/>
              <w:spacing w:before="60"/>
              <w:rPr>
                <w:rStyle w:val="ECCHLbold"/>
                <w:b w:val="0"/>
              </w:rPr>
            </w:pPr>
            <w:r>
              <w:rPr>
                <w:rStyle w:val="ECCHLbold"/>
              </w:rPr>
              <w:t>BEM</w:t>
            </w:r>
          </w:p>
        </w:tc>
        <w:tc>
          <w:tcPr>
            <w:tcW w:w="7767" w:type="dxa"/>
            <w:vAlign w:val="center"/>
          </w:tcPr>
          <w:p w14:paraId="684DFB85" w14:textId="77777777" w:rsidR="00812153" w:rsidRPr="00FD33A1" w:rsidRDefault="00812153" w:rsidP="00954C83">
            <w:pPr>
              <w:pStyle w:val="ECCTabletext"/>
              <w:spacing w:before="60"/>
              <w:rPr>
                <w:rStyle w:val="ECCHLbold"/>
                <w:b w:val="0"/>
              </w:rPr>
            </w:pPr>
            <w:r w:rsidRPr="00FD33A1">
              <w:rPr>
                <w:rStyle w:val="ECCHLbold"/>
                <w:b w:val="0"/>
              </w:rPr>
              <w:t>Block Edge Mask</w:t>
            </w:r>
          </w:p>
        </w:tc>
      </w:tr>
      <w:tr w:rsidR="00812153" w14:paraId="684DFB89" w14:textId="77777777" w:rsidTr="00954C83">
        <w:tc>
          <w:tcPr>
            <w:tcW w:w="2088" w:type="dxa"/>
            <w:vAlign w:val="center"/>
          </w:tcPr>
          <w:p w14:paraId="684DFB87" w14:textId="77777777" w:rsidR="00812153" w:rsidRDefault="00812153" w:rsidP="00954C83">
            <w:pPr>
              <w:pStyle w:val="ECCTabletext"/>
              <w:spacing w:before="60"/>
              <w:rPr>
                <w:rStyle w:val="ECCHLbold"/>
                <w:i/>
              </w:rPr>
            </w:pPr>
            <w:r>
              <w:rPr>
                <w:rStyle w:val="ECCHLbold"/>
              </w:rPr>
              <w:t>BS</w:t>
            </w:r>
          </w:p>
        </w:tc>
        <w:tc>
          <w:tcPr>
            <w:tcW w:w="7767" w:type="dxa"/>
            <w:vAlign w:val="center"/>
          </w:tcPr>
          <w:p w14:paraId="684DFB88" w14:textId="77777777" w:rsidR="00812153" w:rsidRPr="00FD33A1" w:rsidRDefault="00812153" w:rsidP="00954C83">
            <w:pPr>
              <w:pStyle w:val="ECCTabletext"/>
              <w:spacing w:before="60"/>
              <w:rPr>
                <w:rStyle w:val="ECCHLbold"/>
                <w:b w:val="0"/>
              </w:rPr>
            </w:pPr>
            <w:r w:rsidRPr="00FD33A1">
              <w:rPr>
                <w:rStyle w:val="ECCHLbold"/>
                <w:b w:val="0"/>
              </w:rPr>
              <w:t>Base Station</w:t>
            </w:r>
          </w:p>
        </w:tc>
      </w:tr>
      <w:tr w:rsidR="00812153" w14:paraId="684DFB8C" w14:textId="77777777">
        <w:tc>
          <w:tcPr>
            <w:tcW w:w="2088" w:type="dxa"/>
          </w:tcPr>
          <w:p w14:paraId="684DFB8A" w14:textId="77777777" w:rsidR="00812153" w:rsidRDefault="00812153" w:rsidP="00954C83">
            <w:pPr>
              <w:pStyle w:val="ECCTabletext"/>
              <w:spacing w:before="60"/>
              <w:rPr>
                <w:rStyle w:val="ECCHLbold"/>
              </w:rPr>
            </w:pPr>
            <w:r>
              <w:rPr>
                <w:rStyle w:val="ECCHLbold"/>
              </w:rPr>
              <w:t>CEPT</w:t>
            </w:r>
          </w:p>
        </w:tc>
        <w:tc>
          <w:tcPr>
            <w:tcW w:w="7767" w:type="dxa"/>
          </w:tcPr>
          <w:p w14:paraId="684DFB8B" w14:textId="77777777" w:rsidR="00812153" w:rsidRPr="00FD33A1" w:rsidRDefault="00812153" w:rsidP="00954C83">
            <w:pPr>
              <w:pStyle w:val="ECCTabletext"/>
              <w:spacing w:before="60"/>
              <w:rPr>
                <w:rStyle w:val="ECCHLbold"/>
                <w:b w:val="0"/>
              </w:rPr>
            </w:pPr>
            <w:r w:rsidRPr="00FD33A1">
              <w:rPr>
                <w:rStyle w:val="ECCHLbold"/>
                <w:b w:val="0"/>
              </w:rPr>
              <w:t>European Conference of Postal and Telecommunications Administrations</w:t>
            </w:r>
          </w:p>
        </w:tc>
      </w:tr>
      <w:tr w:rsidR="00812153" w14:paraId="684DFB8F" w14:textId="77777777">
        <w:tc>
          <w:tcPr>
            <w:tcW w:w="2088" w:type="dxa"/>
          </w:tcPr>
          <w:p w14:paraId="684DFB8D" w14:textId="77777777" w:rsidR="00812153" w:rsidRDefault="00812153" w:rsidP="00954C83">
            <w:pPr>
              <w:pStyle w:val="ECCTabletext"/>
              <w:spacing w:before="60"/>
              <w:rPr>
                <w:rStyle w:val="ECCHLbold"/>
              </w:rPr>
            </w:pPr>
            <w:r>
              <w:rPr>
                <w:rStyle w:val="ECCHLbold"/>
              </w:rPr>
              <w:t>DL</w:t>
            </w:r>
          </w:p>
        </w:tc>
        <w:tc>
          <w:tcPr>
            <w:tcW w:w="7767" w:type="dxa"/>
          </w:tcPr>
          <w:p w14:paraId="684DFB8E" w14:textId="77777777" w:rsidR="00812153" w:rsidRPr="00FD33A1" w:rsidRDefault="00812153" w:rsidP="00954C83">
            <w:pPr>
              <w:pStyle w:val="ECCTabletext"/>
              <w:spacing w:before="60"/>
              <w:rPr>
                <w:rStyle w:val="ECCHLbold"/>
                <w:b w:val="0"/>
              </w:rPr>
            </w:pPr>
            <w:r w:rsidRPr="00FD33A1">
              <w:rPr>
                <w:rStyle w:val="ECCHLbold"/>
                <w:b w:val="0"/>
              </w:rPr>
              <w:t>Downlink</w:t>
            </w:r>
          </w:p>
        </w:tc>
      </w:tr>
      <w:tr w:rsidR="00812153" w14:paraId="684DFB92" w14:textId="77777777">
        <w:tc>
          <w:tcPr>
            <w:tcW w:w="2088" w:type="dxa"/>
          </w:tcPr>
          <w:p w14:paraId="684DFB90" w14:textId="77777777" w:rsidR="00812153" w:rsidRDefault="00812153" w:rsidP="00954C83">
            <w:pPr>
              <w:pStyle w:val="ECCTabletext"/>
              <w:spacing w:before="60"/>
              <w:rPr>
                <w:rStyle w:val="ECCHLbold"/>
              </w:rPr>
            </w:pPr>
            <w:r>
              <w:rPr>
                <w:rStyle w:val="ECCHLbold"/>
              </w:rPr>
              <w:t>EC</w:t>
            </w:r>
          </w:p>
        </w:tc>
        <w:tc>
          <w:tcPr>
            <w:tcW w:w="7767" w:type="dxa"/>
          </w:tcPr>
          <w:p w14:paraId="684DFB91" w14:textId="77777777" w:rsidR="00812153" w:rsidRPr="00FD33A1" w:rsidRDefault="00812153" w:rsidP="00954C83">
            <w:pPr>
              <w:pStyle w:val="ECCTabletext"/>
              <w:spacing w:before="60"/>
              <w:rPr>
                <w:rStyle w:val="ECCHLbold"/>
                <w:b w:val="0"/>
              </w:rPr>
            </w:pPr>
            <w:r w:rsidRPr="00FD33A1">
              <w:rPr>
                <w:rStyle w:val="ECCHLbold"/>
                <w:b w:val="0"/>
              </w:rPr>
              <w:t>European Commission</w:t>
            </w:r>
          </w:p>
        </w:tc>
      </w:tr>
      <w:tr w:rsidR="00812153" w14:paraId="684DFB95" w14:textId="77777777">
        <w:tc>
          <w:tcPr>
            <w:tcW w:w="2088" w:type="dxa"/>
          </w:tcPr>
          <w:p w14:paraId="684DFB93" w14:textId="77777777" w:rsidR="00812153" w:rsidRDefault="00812153" w:rsidP="00954C83">
            <w:pPr>
              <w:pStyle w:val="ECCTabletext"/>
              <w:spacing w:before="60"/>
              <w:rPr>
                <w:rStyle w:val="ECCHLbold"/>
              </w:rPr>
            </w:pPr>
            <w:r>
              <w:rPr>
                <w:rStyle w:val="ECCHLbold"/>
              </w:rPr>
              <w:t>ECA</w:t>
            </w:r>
          </w:p>
        </w:tc>
        <w:tc>
          <w:tcPr>
            <w:tcW w:w="7767" w:type="dxa"/>
          </w:tcPr>
          <w:p w14:paraId="684DFB94" w14:textId="77777777" w:rsidR="00812153" w:rsidRPr="00FD33A1" w:rsidRDefault="00812153" w:rsidP="00954C83">
            <w:pPr>
              <w:pStyle w:val="ECCTabletext"/>
              <w:spacing w:before="60"/>
              <w:rPr>
                <w:rStyle w:val="ECCHLbold"/>
                <w:b w:val="0"/>
              </w:rPr>
            </w:pPr>
            <w:r w:rsidRPr="00FD33A1">
              <w:rPr>
                <w:rStyle w:val="ECCHLbold"/>
                <w:b w:val="0"/>
              </w:rPr>
              <w:t>European Common Allocation</w:t>
            </w:r>
          </w:p>
        </w:tc>
      </w:tr>
      <w:tr w:rsidR="00812153" w14:paraId="684DFB98" w14:textId="77777777" w:rsidTr="00954C83">
        <w:tc>
          <w:tcPr>
            <w:tcW w:w="2088" w:type="dxa"/>
            <w:vAlign w:val="center"/>
          </w:tcPr>
          <w:p w14:paraId="684DFB96" w14:textId="77777777" w:rsidR="00812153" w:rsidRDefault="00812153" w:rsidP="00954C83">
            <w:pPr>
              <w:pStyle w:val="ECCTabletext"/>
              <w:spacing w:before="60"/>
              <w:rPr>
                <w:rStyle w:val="ECCHLbold"/>
                <w:i/>
              </w:rPr>
            </w:pPr>
            <w:r>
              <w:rPr>
                <w:rStyle w:val="ECCHLbold"/>
              </w:rPr>
              <w:t>ECC</w:t>
            </w:r>
          </w:p>
        </w:tc>
        <w:tc>
          <w:tcPr>
            <w:tcW w:w="7767" w:type="dxa"/>
            <w:vAlign w:val="center"/>
          </w:tcPr>
          <w:p w14:paraId="684DFB97" w14:textId="77777777" w:rsidR="00812153" w:rsidRPr="00FD33A1" w:rsidRDefault="00812153" w:rsidP="00954C83">
            <w:pPr>
              <w:pStyle w:val="ECCTabletext"/>
              <w:spacing w:before="60"/>
              <w:rPr>
                <w:rStyle w:val="ECCHLbold"/>
                <w:b w:val="0"/>
              </w:rPr>
            </w:pPr>
            <w:r w:rsidRPr="00FD33A1">
              <w:rPr>
                <w:rStyle w:val="ECCHLbold"/>
                <w:b w:val="0"/>
              </w:rPr>
              <w:t>Electronic Communications Committee</w:t>
            </w:r>
          </w:p>
        </w:tc>
      </w:tr>
      <w:tr w:rsidR="00812153" w14:paraId="684DFB9B" w14:textId="77777777" w:rsidTr="00954C83">
        <w:tc>
          <w:tcPr>
            <w:tcW w:w="2088" w:type="dxa"/>
          </w:tcPr>
          <w:p w14:paraId="684DFB99" w14:textId="77777777" w:rsidR="00812153" w:rsidRDefault="00812153" w:rsidP="00954C83">
            <w:pPr>
              <w:pStyle w:val="ECCTabletext"/>
              <w:spacing w:before="60"/>
              <w:rPr>
                <w:rStyle w:val="ECCHLbold"/>
              </w:rPr>
            </w:pPr>
            <w:r>
              <w:rPr>
                <w:rStyle w:val="ECCHLbold"/>
              </w:rPr>
              <w:t>ECS</w:t>
            </w:r>
          </w:p>
        </w:tc>
        <w:tc>
          <w:tcPr>
            <w:tcW w:w="7767" w:type="dxa"/>
          </w:tcPr>
          <w:p w14:paraId="684DFB9A" w14:textId="77777777" w:rsidR="00812153" w:rsidRPr="00FD33A1" w:rsidRDefault="00812153" w:rsidP="00954C83">
            <w:pPr>
              <w:pStyle w:val="ECCTabletext"/>
              <w:spacing w:before="60"/>
              <w:rPr>
                <w:rStyle w:val="ECCHLbold"/>
                <w:b w:val="0"/>
              </w:rPr>
            </w:pPr>
            <w:r w:rsidRPr="00FD33A1">
              <w:rPr>
                <w:rStyle w:val="ECCHLbold"/>
                <w:b w:val="0"/>
              </w:rPr>
              <w:t>Electronic Communication Services</w:t>
            </w:r>
          </w:p>
        </w:tc>
      </w:tr>
      <w:tr w:rsidR="00812153" w14:paraId="684DFB9E" w14:textId="77777777" w:rsidTr="00954C83">
        <w:tc>
          <w:tcPr>
            <w:tcW w:w="2088" w:type="dxa"/>
            <w:vAlign w:val="center"/>
          </w:tcPr>
          <w:p w14:paraId="684DFB9C" w14:textId="77777777" w:rsidR="00812153" w:rsidRDefault="00812153" w:rsidP="00954C83">
            <w:pPr>
              <w:pStyle w:val="ECCTabletext"/>
              <w:spacing w:before="60"/>
              <w:rPr>
                <w:rStyle w:val="ECCHLbold"/>
                <w:i/>
              </w:rPr>
            </w:pPr>
            <w:r>
              <w:rPr>
                <w:rStyle w:val="ECCHLbold"/>
              </w:rPr>
              <w:t>EESS</w:t>
            </w:r>
          </w:p>
        </w:tc>
        <w:tc>
          <w:tcPr>
            <w:tcW w:w="7767" w:type="dxa"/>
            <w:vAlign w:val="center"/>
          </w:tcPr>
          <w:p w14:paraId="684DFB9D" w14:textId="77777777" w:rsidR="00812153" w:rsidRPr="00FD33A1" w:rsidRDefault="00812153" w:rsidP="00954C83">
            <w:pPr>
              <w:pStyle w:val="ECCTabletext"/>
              <w:spacing w:before="60"/>
              <w:rPr>
                <w:rStyle w:val="ECCHLbold"/>
                <w:b w:val="0"/>
              </w:rPr>
            </w:pPr>
            <w:r w:rsidRPr="00FD33A1">
              <w:rPr>
                <w:rStyle w:val="ECCHLbold"/>
                <w:b w:val="0"/>
              </w:rPr>
              <w:t>Earth Exploration Satellite Service</w:t>
            </w:r>
          </w:p>
        </w:tc>
      </w:tr>
      <w:tr w:rsidR="00812153" w14:paraId="684DFBA1" w14:textId="77777777" w:rsidTr="00954C83">
        <w:tc>
          <w:tcPr>
            <w:tcW w:w="2088" w:type="dxa"/>
          </w:tcPr>
          <w:p w14:paraId="684DFB9F" w14:textId="77777777" w:rsidR="00812153" w:rsidRDefault="00812153" w:rsidP="00954C83">
            <w:pPr>
              <w:pStyle w:val="ECCTabletext"/>
              <w:spacing w:before="60"/>
              <w:rPr>
                <w:rStyle w:val="ECCHLbold"/>
              </w:rPr>
            </w:pPr>
            <w:r>
              <w:rPr>
                <w:rStyle w:val="ECCHLbold"/>
              </w:rPr>
              <w:t>EFIS</w:t>
            </w:r>
          </w:p>
        </w:tc>
        <w:tc>
          <w:tcPr>
            <w:tcW w:w="7767" w:type="dxa"/>
          </w:tcPr>
          <w:p w14:paraId="684DFBA0" w14:textId="77777777" w:rsidR="00812153" w:rsidRPr="00FD33A1" w:rsidRDefault="00812153" w:rsidP="00954C83">
            <w:pPr>
              <w:pStyle w:val="ECCTabletext"/>
              <w:spacing w:before="60"/>
              <w:rPr>
                <w:rStyle w:val="ECCHLbold"/>
                <w:b w:val="0"/>
              </w:rPr>
            </w:pPr>
            <w:r w:rsidRPr="00FD33A1">
              <w:rPr>
                <w:rStyle w:val="ECCHLbold"/>
                <w:b w:val="0"/>
              </w:rPr>
              <w:t>European Frequency Information System</w:t>
            </w:r>
          </w:p>
        </w:tc>
      </w:tr>
      <w:tr w:rsidR="00812153" w14:paraId="684DFBA4" w14:textId="77777777" w:rsidTr="00954C83">
        <w:tc>
          <w:tcPr>
            <w:tcW w:w="2088" w:type="dxa"/>
            <w:vAlign w:val="center"/>
          </w:tcPr>
          <w:p w14:paraId="684DFBA2" w14:textId="77777777" w:rsidR="00812153" w:rsidRDefault="00812153" w:rsidP="00954C83">
            <w:pPr>
              <w:pStyle w:val="ECCTabletext"/>
              <w:spacing w:before="60"/>
              <w:rPr>
                <w:rStyle w:val="ECCHLbold"/>
                <w:i/>
              </w:rPr>
            </w:pPr>
            <w:r>
              <w:rPr>
                <w:rStyle w:val="ECCHLbold"/>
              </w:rPr>
              <w:t>EIRP</w:t>
            </w:r>
          </w:p>
        </w:tc>
        <w:tc>
          <w:tcPr>
            <w:tcW w:w="7767" w:type="dxa"/>
            <w:vAlign w:val="center"/>
          </w:tcPr>
          <w:p w14:paraId="684DFBA3" w14:textId="77777777" w:rsidR="00812153" w:rsidRPr="00FD33A1" w:rsidRDefault="00812153" w:rsidP="00954C83">
            <w:pPr>
              <w:pStyle w:val="ECCTabletext"/>
              <w:spacing w:before="60"/>
              <w:rPr>
                <w:rStyle w:val="ECCHLbold"/>
                <w:b w:val="0"/>
              </w:rPr>
            </w:pPr>
            <w:r w:rsidRPr="00FD33A1">
              <w:rPr>
                <w:rStyle w:val="ECCHLbold"/>
                <w:b w:val="0"/>
              </w:rPr>
              <w:t xml:space="preserve">Equivalent </w:t>
            </w:r>
            <w:proofErr w:type="spellStart"/>
            <w:r w:rsidRPr="00FD33A1">
              <w:rPr>
                <w:rStyle w:val="ECCHLbold"/>
                <w:b w:val="0"/>
              </w:rPr>
              <w:t>Isotropically</w:t>
            </w:r>
            <w:proofErr w:type="spellEnd"/>
            <w:r w:rsidRPr="00FD33A1">
              <w:rPr>
                <w:rStyle w:val="ECCHLbold"/>
                <w:b w:val="0"/>
              </w:rPr>
              <w:t xml:space="preserve"> Radiated Power</w:t>
            </w:r>
          </w:p>
        </w:tc>
      </w:tr>
      <w:tr w:rsidR="00812153" w14:paraId="684DFBA7" w14:textId="77777777" w:rsidTr="00954C83">
        <w:tc>
          <w:tcPr>
            <w:tcW w:w="2088" w:type="dxa"/>
            <w:vAlign w:val="center"/>
          </w:tcPr>
          <w:p w14:paraId="684DFBA5" w14:textId="77777777" w:rsidR="00812153" w:rsidRDefault="00812153" w:rsidP="00954C83">
            <w:pPr>
              <w:pStyle w:val="ECCTabletext"/>
              <w:spacing w:before="60"/>
              <w:rPr>
                <w:rStyle w:val="ECCHLbold"/>
                <w:i/>
              </w:rPr>
            </w:pPr>
            <w:r>
              <w:rPr>
                <w:rStyle w:val="ECCHLbold"/>
              </w:rPr>
              <w:t>FDD</w:t>
            </w:r>
          </w:p>
        </w:tc>
        <w:tc>
          <w:tcPr>
            <w:tcW w:w="7767" w:type="dxa"/>
            <w:vAlign w:val="center"/>
          </w:tcPr>
          <w:p w14:paraId="684DFBA6" w14:textId="77777777" w:rsidR="00812153" w:rsidRPr="00FD33A1" w:rsidRDefault="00812153" w:rsidP="00954C83">
            <w:pPr>
              <w:pStyle w:val="ECCTabletext"/>
              <w:spacing w:before="60"/>
              <w:rPr>
                <w:rStyle w:val="ECCHLbold"/>
                <w:b w:val="0"/>
              </w:rPr>
            </w:pPr>
            <w:r w:rsidRPr="00FD33A1">
              <w:rPr>
                <w:rStyle w:val="ECCHLbold"/>
                <w:b w:val="0"/>
              </w:rPr>
              <w:t>Frequency Division Duplex</w:t>
            </w:r>
          </w:p>
        </w:tc>
      </w:tr>
      <w:tr w:rsidR="00812153" w14:paraId="684DFBAA" w14:textId="77777777" w:rsidTr="00954C83">
        <w:tc>
          <w:tcPr>
            <w:tcW w:w="2088" w:type="dxa"/>
            <w:vAlign w:val="center"/>
          </w:tcPr>
          <w:p w14:paraId="684DFBA8" w14:textId="77777777" w:rsidR="00812153" w:rsidRDefault="00812153" w:rsidP="00954C83">
            <w:pPr>
              <w:pStyle w:val="ECCTabletext"/>
              <w:spacing w:before="60"/>
              <w:rPr>
                <w:rStyle w:val="ECCHLbold"/>
                <w:i/>
              </w:rPr>
            </w:pPr>
            <w:r>
              <w:rPr>
                <w:rStyle w:val="ECCHLbold"/>
              </w:rPr>
              <w:t>IMT</w:t>
            </w:r>
          </w:p>
        </w:tc>
        <w:tc>
          <w:tcPr>
            <w:tcW w:w="7767" w:type="dxa"/>
            <w:vAlign w:val="center"/>
          </w:tcPr>
          <w:p w14:paraId="684DFBA9" w14:textId="77777777" w:rsidR="00812153" w:rsidRPr="00FD33A1" w:rsidRDefault="00812153" w:rsidP="00954C83">
            <w:pPr>
              <w:pStyle w:val="ECCTabletext"/>
              <w:spacing w:before="60"/>
              <w:rPr>
                <w:rStyle w:val="ECCHLbold"/>
                <w:b w:val="0"/>
              </w:rPr>
            </w:pPr>
            <w:r w:rsidRPr="00FD33A1">
              <w:rPr>
                <w:rStyle w:val="ECCHLbold"/>
                <w:b w:val="0"/>
              </w:rPr>
              <w:t>International Mobile Telecommunications</w:t>
            </w:r>
          </w:p>
        </w:tc>
      </w:tr>
      <w:tr w:rsidR="00812153" w14:paraId="684DFBAD" w14:textId="77777777" w:rsidTr="00954C83">
        <w:tc>
          <w:tcPr>
            <w:tcW w:w="2088" w:type="dxa"/>
            <w:vAlign w:val="center"/>
          </w:tcPr>
          <w:p w14:paraId="684DFBAB" w14:textId="77777777" w:rsidR="00812153" w:rsidRDefault="00812153" w:rsidP="00954C83">
            <w:pPr>
              <w:pStyle w:val="ECCTabletext"/>
              <w:spacing w:before="60"/>
              <w:rPr>
                <w:rStyle w:val="ECCHLbold"/>
                <w:i/>
              </w:rPr>
            </w:pPr>
            <w:r>
              <w:rPr>
                <w:rStyle w:val="ECCHLbold"/>
              </w:rPr>
              <w:t>LRTC</w:t>
            </w:r>
          </w:p>
        </w:tc>
        <w:tc>
          <w:tcPr>
            <w:tcW w:w="7767" w:type="dxa"/>
            <w:vAlign w:val="center"/>
          </w:tcPr>
          <w:p w14:paraId="684DFBAC" w14:textId="77777777" w:rsidR="00812153" w:rsidRPr="00FD33A1" w:rsidRDefault="00812153" w:rsidP="00954C83">
            <w:pPr>
              <w:pStyle w:val="ECCTabletext"/>
              <w:spacing w:before="60"/>
              <w:rPr>
                <w:rStyle w:val="ECCHLbold"/>
                <w:b w:val="0"/>
              </w:rPr>
            </w:pPr>
            <w:r w:rsidRPr="00FD33A1">
              <w:rPr>
                <w:rStyle w:val="ECCHLbold"/>
                <w:b w:val="0"/>
              </w:rPr>
              <w:t>Least Restrictive Technical Conditions</w:t>
            </w:r>
          </w:p>
        </w:tc>
      </w:tr>
      <w:tr w:rsidR="00812153" w14:paraId="684DFBB0" w14:textId="77777777" w:rsidTr="00954C83">
        <w:tc>
          <w:tcPr>
            <w:tcW w:w="2088" w:type="dxa"/>
            <w:vAlign w:val="center"/>
          </w:tcPr>
          <w:p w14:paraId="684DFBAE" w14:textId="77777777" w:rsidR="00812153" w:rsidRDefault="00812153" w:rsidP="00954C83">
            <w:pPr>
              <w:pStyle w:val="ECCTabletext"/>
              <w:spacing w:before="60"/>
              <w:rPr>
                <w:rStyle w:val="ECCHLbold"/>
              </w:rPr>
            </w:pPr>
            <w:r>
              <w:rPr>
                <w:rStyle w:val="ECCHLbold"/>
              </w:rPr>
              <w:t>MES</w:t>
            </w:r>
          </w:p>
        </w:tc>
        <w:tc>
          <w:tcPr>
            <w:tcW w:w="7767" w:type="dxa"/>
            <w:vAlign w:val="center"/>
          </w:tcPr>
          <w:p w14:paraId="684DFBAF" w14:textId="77777777" w:rsidR="00812153" w:rsidRPr="00FD33A1" w:rsidRDefault="00812153" w:rsidP="00954C83">
            <w:pPr>
              <w:pStyle w:val="ECCTabletext"/>
              <w:spacing w:before="60"/>
              <w:rPr>
                <w:rStyle w:val="ECCHLbold"/>
                <w:b w:val="0"/>
              </w:rPr>
            </w:pPr>
            <w:r w:rsidRPr="00FD33A1">
              <w:rPr>
                <w:rStyle w:val="ECCHLbold"/>
                <w:b w:val="0"/>
              </w:rPr>
              <w:t>Mobile Earth Station</w:t>
            </w:r>
          </w:p>
        </w:tc>
      </w:tr>
      <w:tr w:rsidR="00812153" w14:paraId="684DFBB3" w14:textId="77777777" w:rsidTr="00954C83">
        <w:tc>
          <w:tcPr>
            <w:tcW w:w="2088" w:type="dxa"/>
            <w:vAlign w:val="center"/>
          </w:tcPr>
          <w:p w14:paraId="684DFBB1" w14:textId="77777777" w:rsidR="00812153" w:rsidRDefault="00812153" w:rsidP="00954C83">
            <w:pPr>
              <w:pStyle w:val="ECCTabletext"/>
              <w:spacing w:before="60"/>
              <w:rPr>
                <w:rStyle w:val="ECCHLbold"/>
                <w:i/>
              </w:rPr>
            </w:pPr>
            <w:r>
              <w:rPr>
                <w:rStyle w:val="ECCHLbold"/>
              </w:rPr>
              <w:t>MFCN</w:t>
            </w:r>
          </w:p>
        </w:tc>
        <w:tc>
          <w:tcPr>
            <w:tcW w:w="7767" w:type="dxa"/>
            <w:vAlign w:val="center"/>
          </w:tcPr>
          <w:p w14:paraId="684DFBB2" w14:textId="77777777" w:rsidR="00812153" w:rsidRPr="00FD33A1" w:rsidRDefault="00812153" w:rsidP="00954C83">
            <w:pPr>
              <w:pStyle w:val="ECCTabletext"/>
              <w:spacing w:before="60"/>
              <w:rPr>
                <w:rStyle w:val="ECCHLbold"/>
                <w:b w:val="0"/>
              </w:rPr>
            </w:pPr>
            <w:r w:rsidRPr="00FD33A1">
              <w:rPr>
                <w:rStyle w:val="ECCHLbold"/>
                <w:b w:val="0"/>
              </w:rPr>
              <w:t>Mobile/Fixed Communications Network</w:t>
            </w:r>
          </w:p>
        </w:tc>
      </w:tr>
      <w:tr w:rsidR="00812153" w14:paraId="684DFBB6" w14:textId="77777777" w:rsidTr="00954C83">
        <w:tc>
          <w:tcPr>
            <w:tcW w:w="2088" w:type="dxa"/>
            <w:vAlign w:val="center"/>
          </w:tcPr>
          <w:p w14:paraId="684DFBB4" w14:textId="77777777" w:rsidR="00812153" w:rsidRDefault="00812153" w:rsidP="00954C83">
            <w:pPr>
              <w:pStyle w:val="ECCTabletext"/>
              <w:spacing w:before="60"/>
              <w:rPr>
                <w:rStyle w:val="ECCHLbold"/>
                <w:i/>
              </w:rPr>
            </w:pPr>
            <w:r>
              <w:rPr>
                <w:rStyle w:val="ECCHLbold"/>
              </w:rPr>
              <w:t>MSS</w:t>
            </w:r>
          </w:p>
        </w:tc>
        <w:tc>
          <w:tcPr>
            <w:tcW w:w="7767" w:type="dxa"/>
            <w:vAlign w:val="center"/>
          </w:tcPr>
          <w:p w14:paraId="684DFBB5" w14:textId="77777777" w:rsidR="00812153" w:rsidRPr="00FD33A1" w:rsidRDefault="00812153" w:rsidP="00954C83">
            <w:pPr>
              <w:pStyle w:val="ECCTabletext"/>
              <w:spacing w:before="60"/>
              <w:rPr>
                <w:rStyle w:val="ECCHLbold"/>
                <w:b w:val="0"/>
              </w:rPr>
            </w:pPr>
            <w:r w:rsidRPr="00FD33A1">
              <w:rPr>
                <w:rStyle w:val="ECCHLbold"/>
                <w:b w:val="0"/>
              </w:rPr>
              <w:t>Mobile Satellite Service</w:t>
            </w:r>
          </w:p>
        </w:tc>
      </w:tr>
      <w:tr w:rsidR="00812153" w14:paraId="684DFBB9" w14:textId="77777777" w:rsidTr="00954C83">
        <w:tc>
          <w:tcPr>
            <w:tcW w:w="2088" w:type="dxa"/>
            <w:vAlign w:val="center"/>
          </w:tcPr>
          <w:p w14:paraId="684DFBB7" w14:textId="77777777" w:rsidR="00812153" w:rsidRDefault="00812153" w:rsidP="00954C83">
            <w:pPr>
              <w:pStyle w:val="ECCTabletext"/>
              <w:spacing w:before="60"/>
              <w:rPr>
                <w:rStyle w:val="ECCHLbold"/>
                <w:i/>
              </w:rPr>
            </w:pPr>
            <w:r>
              <w:rPr>
                <w:rStyle w:val="ECCHLbold"/>
              </w:rPr>
              <w:t>OOB</w:t>
            </w:r>
          </w:p>
        </w:tc>
        <w:tc>
          <w:tcPr>
            <w:tcW w:w="7767" w:type="dxa"/>
            <w:vAlign w:val="center"/>
          </w:tcPr>
          <w:p w14:paraId="684DFBB8" w14:textId="77777777" w:rsidR="00812153" w:rsidRPr="00FD33A1" w:rsidRDefault="00812153" w:rsidP="00954C83">
            <w:pPr>
              <w:pStyle w:val="ECCTabletext"/>
              <w:spacing w:before="60"/>
              <w:rPr>
                <w:rStyle w:val="ECCHLbold"/>
                <w:b w:val="0"/>
              </w:rPr>
            </w:pPr>
            <w:r w:rsidRPr="00FD33A1">
              <w:rPr>
                <w:rStyle w:val="ECCHLbold"/>
                <w:b w:val="0"/>
              </w:rPr>
              <w:t>Out of Band</w:t>
            </w:r>
          </w:p>
        </w:tc>
      </w:tr>
      <w:tr w:rsidR="00812153" w14:paraId="684DFBBC" w14:textId="77777777" w:rsidTr="00954C83">
        <w:tc>
          <w:tcPr>
            <w:tcW w:w="2088" w:type="dxa"/>
            <w:vAlign w:val="center"/>
          </w:tcPr>
          <w:p w14:paraId="684DFBBA" w14:textId="77777777" w:rsidR="00812153" w:rsidRDefault="00812153" w:rsidP="00954C83">
            <w:pPr>
              <w:pStyle w:val="ECCTabletext"/>
              <w:spacing w:before="60"/>
              <w:rPr>
                <w:rStyle w:val="ECCHLbold"/>
                <w:i/>
              </w:rPr>
            </w:pPr>
            <w:r>
              <w:rPr>
                <w:rStyle w:val="ECCHLbold"/>
              </w:rPr>
              <w:t>SDL</w:t>
            </w:r>
          </w:p>
        </w:tc>
        <w:tc>
          <w:tcPr>
            <w:tcW w:w="7767" w:type="dxa"/>
            <w:vAlign w:val="center"/>
          </w:tcPr>
          <w:p w14:paraId="684DFBBB" w14:textId="77777777" w:rsidR="00812153" w:rsidRPr="00FD33A1" w:rsidRDefault="00812153" w:rsidP="00954C83">
            <w:pPr>
              <w:pStyle w:val="ECCTabletext"/>
              <w:spacing w:before="60"/>
              <w:rPr>
                <w:rStyle w:val="ECCHLbold"/>
                <w:b w:val="0"/>
              </w:rPr>
            </w:pPr>
            <w:r w:rsidRPr="00FD33A1">
              <w:rPr>
                <w:rStyle w:val="ECCHLbold"/>
                <w:b w:val="0"/>
              </w:rPr>
              <w:t>Supplemental Downlink</w:t>
            </w:r>
          </w:p>
        </w:tc>
      </w:tr>
      <w:tr w:rsidR="00812153" w14:paraId="684DFBBF" w14:textId="77777777" w:rsidTr="00954C83">
        <w:tc>
          <w:tcPr>
            <w:tcW w:w="2088" w:type="dxa"/>
          </w:tcPr>
          <w:p w14:paraId="684DFBBD" w14:textId="77777777" w:rsidR="00812153" w:rsidRDefault="00812153" w:rsidP="00954C83">
            <w:pPr>
              <w:pStyle w:val="ECCTabletext"/>
              <w:spacing w:before="60"/>
              <w:rPr>
                <w:rStyle w:val="ECCHLbold"/>
              </w:rPr>
            </w:pPr>
            <w:r>
              <w:rPr>
                <w:rStyle w:val="ECCHLbold"/>
              </w:rPr>
              <w:t>SES</w:t>
            </w:r>
          </w:p>
        </w:tc>
        <w:tc>
          <w:tcPr>
            <w:tcW w:w="7767" w:type="dxa"/>
          </w:tcPr>
          <w:p w14:paraId="684DFBBE" w14:textId="77777777" w:rsidR="00812153" w:rsidRPr="00FD33A1" w:rsidRDefault="00812153" w:rsidP="00954C83">
            <w:pPr>
              <w:pStyle w:val="ECCTabletext"/>
              <w:spacing w:before="60"/>
              <w:rPr>
                <w:rStyle w:val="ECCHLbold"/>
                <w:b w:val="0"/>
              </w:rPr>
            </w:pPr>
            <w:r w:rsidRPr="00FD33A1">
              <w:rPr>
                <w:rStyle w:val="ECCHLbold"/>
                <w:b w:val="0"/>
              </w:rPr>
              <w:t>Ship Earth Station</w:t>
            </w:r>
          </w:p>
        </w:tc>
      </w:tr>
      <w:tr w:rsidR="00812153" w14:paraId="684DFBC2" w14:textId="77777777" w:rsidTr="00954C83">
        <w:tc>
          <w:tcPr>
            <w:tcW w:w="2088" w:type="dxa"/>
          </w:tcPr>
          <w:p w14:paraId="684DFBC0" w14:textId="77777777" w:rsidR="00812153" w:rsidRDefault="00812153" w:rsidP="00954C83">
            <w:pPr>
              <w:pStyle w:val="ECCTabletext"/>
              <w:spacing w:before="60"/>
              <w:rPr>
                <w:rStyle w:val="ECCHLbold"/>
              </w:rPr>
            </w:pPr>
            <w:r>
              <w:rPr>
                <w:rStyle w:val="ECCHLbold"/>
              </w:rPr>
              <w:t>UMTS</w:t>
            </w:r>
          </w:p>
        </w:tc>
        <w:tc>
          <w:tcPr>
            <w:tcW w:w="7767" w:type="dxa"/>
          </w:tcPr>
          <w:p w14:paraId="684DFBC1" w14:textId="77777777" w:rsidR="00812153" w:rsidRPr="00FD33A1" w:rsidRDefault="00812153" w:rsidP="00954C83">
            <w:pPr>
              <w:pStyle w:val="ECCTabletext"/>
              <w:spacing w:before="60"/>
              <w:rPr>
                <w:rStyle w:val="ECCHLbold"/>
                <w:b w:val="0"/>
              </w:rPr>
            </w:pPr>
            <w:r w:rsidRPr="00FD33A1">
              <w:rPr>
                <w:rStyle w:val="ECCHLbold"/>
                <w:b w:val="0"/>
              </w:rPr>
              <w:t>Universal Mobile Telecommunications System</w:t>
            </w:r>
          </w:p>
        </w:tc>
      </w:tr>
      <w:tr w:rsidR="00812153" w14:paraId="684DFBC5" w14:textId="77777777" w:rsidTr="00954C83">
        <w:tc>
          <w:tcPr>
            <w:tcW w:w="2088" w:type="dxa"/>
          </w:tcPr>
          <w:p w14:paraId="684DFBC3" w14:textId="77777777" w:rsidR="00812153" w:rsidRDefault="00812153" w:rsidP="00954C83">
            <w:pPr>
              <w:pStyle w:val="ECCTabletext"/>
              <w:spacing w:before="60"/>
              <w:rPr>
                <w:rStyle w:val="ECCHLbold"/>
              </w:rPr>
            </w:pPr>
            <w:r>
              <w:rPr>
                <w:rStyle w:val="ECCHLbold"/>
              </w:rPr>
              <w:t>WBB</w:t>
            </w:r>
          </w:p>
        </w:tc>
        <w:tc>
          <w:tcPr>
            <w:tcW w:w="7767" w:type="dxa"/>
          </w:tcPr>
          <w:p w14:paraId="684DFBC4" w14:textId="77777777" w:rsidR="00812153" w:rsidRPr="00FD33A1" w:rsidRDefault="00812153" w:rsidP="00954C83">
            <w:pPr>
              <w:pStyle w:val="ECCTabletext"/>
              <w:spacing w:before="60"/>
              <w:rPr>
                <w:rStyle w:val="ECCHLbold"/>
                <w:b w:val="0"/>
              </w:rPr>
            </w:pPr>
            <w:r w:rsidRPr="00FD33A1">
              <w:rPr>
                <w:rStyle w:val="ECCHLbold"/>
                <w:b w:val="0"/>
              </w:rPr>
              <w:t>Wireless Broadband</w:t>
            </w:r>
          </w:p>
        </w:tc>
      </w:tr>
      <w:tr w:rsidR="00812153" w14:paraId="684DFBC8" w14:textId="77777777" w:rsidTr="00954C83">
        <w:tc>
          <w:tcPr>
            <w:tcW w:w="2088" w:type="dxa"/>
            <w:vAlign w:val="center"/>
          </w:tcPr>
          <w:p w14:paraId="684DFBC6" w14:textId="77777777" w:rsidR="00812153" w:rsidRDefault="00812153" w:rsidP="00954C83">
            <w:pPr>
              <w:pStyle w:val="ECCTabletext"/>
              <w:spacing w:before="60"/>
              <w:rPr>
                <w:rStyle w:val="ECCHLbold"/>
                <w:i/>
              </w:rPr>
            </w:pPr>
            <w:r>
              <w:rPr>
                <w:rStyle w:val="ECCHLbold"/>
              </w:rPr>
              <w:t>WRC</w:t>
            </w:r>
          </w:p>
        </w:tc>
        <w:tc>
          <w:tcPr>
            <w:tcW w:w="7767" w:type="dxa"/>
            <w:vAlign w:val="center"/>
          </w:tcPr>
          <w:p w14:paraId="684DFBC7" w14:textId="77777777" w:rsidR="00812153" w:rsidRPr="00FD33A1" w:rsidRDefault="00812153" w:rsidP="00954C83">
            <w:pPr>
              <w:pStyle w:val="ECCTabletext"/>
              <w:spacing w:before="60"/>
              <w:rPr>
                <w:rStyle w:val="ECCHLbold"/>
                <w:b w:val="0"/>
              </w:rPr>
            </w:pPr>
            <w:r w:rsidRPr="00FD33A1">
              <w:rPr>
                <w:rStyle w:val="ECCHLbold"/>
                <w:b w:val="0"/>
              </w:rPr>
              <w:t>World Radiocommunication Conference</w:t>
            </w:r>
          </w:p>
        </w:tc>
      </w:tr>
    </w:tbl>
    <w:p w14:paraId="684DFBC9" w14:textId="77777777" w:rsidR="00AB46DF" w:rsidRDefault="00AB46DF" w:rsidP="00AB46DF"/>
    <w:p w14:paraId="684DFBCA" w14:textId="77777777" w:rsidR="00AB46DF" w:rsidRDefault="003C3EE4" w:rsidP="00E7502F">
      <w:pPr>
        <w:pStyle w:val="Heading1"/>
      </w:pPr>
      <w:bookmarkStart w:id="3" w:name="_Toc498934650"/>
      <w:r>
        <w:lastRenderedPageBreak/>
        <w:t>Introduction</w:t>
      </w:r>
      <w:bookmarkEnd w:id="3"/>
    </w:p>
    <w:p w14:paraId="684DFBCB" w14:textId="77777777" w:rsidR="00812153" w:rsidRDefault="00812153" w:rsidP="00812153">
      <w:pPr>
        <w:pStyle w:val="ECCParagraph"/>
      </w:pPr>
      <w:r>
        <w:t>The European Commission issued a mandate to the CEPT to develop harmonised technical conditions in additional frequency bands in the 1.5 GHz range for their use for terrestrial wireless broadband electronic communications in the Union (see Annex 1).</w:t>
      </w:r>
    </w:p>
    <w:p w14:paraId="684DFBCC" w14:textId="77777777" w:rsidR="00812153" w:rsidRDefault="00812153" w:rsidP="00812153">
      <w:pPr>
        <w:pStyle w:val="ECCParagraph"/>
      </w:pPr>
      <w:r>
        <w:t>CEPT focused its analysis on downlink-only Wireless Broadband electronic communications. Supplemental downlink is downlink-only use whereby spectrum within the bands is used for unidirectional base station transmission providing electronic communications services, in combination with use of spectrum in another frequency band.</w:t>
      </w:r>
    </w:p>
    <w:p w14:paraId="684DFBCD" w14:textId="77777777" w:rsidR="00812153" w:rsidRDefault="00812153" w:rsidP="00812153">
      <w:pPr>
        <w:pStyle w:val="ECCParagraph"/>
      </w:pPr>
      <w:r>
        <w:t xml:space="preserve">The report provides background information, a channelling arrangement and mentions various elements in relation with compatibility studies and technical conditions. </w:t>
      </w:r>
    </w:p>
    <w:p w14:paraId="684DFBCE" w14:textId="77777777" w:rsidR="00812153" w:rsidRDefault="00812153" w:rsidP="00812153">
      <w:pPr>
        <w:pStyle w:val="ECCParagraph"/>
      </w:pPr>
      <w:r>
        <w:t xml:space="preserve">The report proposes in Annex 2 a harmonised frequency arrangement and least restrictive technical conditions for DL WBB ECS, for the frequency bands 1427-1452 MHz and 1492-1517 MHz. </w:t>
      </w:r>
    </w:p>
    <w:p w14:paraId="684DFBCF" w14:textId="77777777" w:rsidR="00812153" w:rsidRDefault="00812153" w:rsidP="00812153">
      <w:pPr>
        <w:pStyle w:val="ECCParagraph"/>
      </w:pPr>
      <w:r>
        <w:t xml:space="preserve">It is noted that the 1427-1452 MHz and 1492-1518 MHz bands are used by incumbent services and applications to which the band is allocated and which will continue operating in some CEPT countries. </w:t>
      </w:r>
      <w:r w:rsidRPr="0004037D">
        <w:t>Therefore the full bands may not be available for the implementation of WBB ECS in some countries.</w:t>
      </w:r>
      <w:r>
        <w:t xml:space="preserve"> </w:t>
      </w:r>
    </w:p>
    <w:p w14:paraId="684DFBD0" w14:textId="77777777" w:rsidR="00812153" w:rsidRPr="00812153" w:rsidRDefault="00812153" w:rsidP="00812153">
      <w:pPr>
        <w:pStyle w:val="ECCParagraph"/>
      </w:pPr>
    </w:p>
    <w:p w14:paraId="684DFBD1" w14:textId="77777777" w:rsidR="00E7502F" w:rsidRDefault="00E7502F" w:rsidP="00E7502F">
      <w:pPr>
        <w:pStyle w:val="Heading1"/>
      </w:pPr>
      <w:bookmarkStart w:id="4" w:name="_Toc380056499"/>
      <w:bookmarkStart w:id="5" w:name="_Toc380059750"/>
      <w:bookmarkStart w:id="6" w:name="_Toc380059787"/>
      <w:bookmarkStart w:id="7" w:name="_Toc396153638"/>
      <w:bookmarkStart w:id="8" w:name="_Toc396383865"/>
      <w:bookmarkStart w:id="9" w:name="_Toc396917298"/>
      <w:bookmarkStart w:id="10" w:name="_Toc396917347"/>
      <w:bookmarkStart w:id="11" w:name="_Toc396917409"/>
      <w:bookmarkStart w:id="12" w:name="_Toc396917462"/>
      <w:bookmarkStart w:id="13" w:name="_Toc396917629"/>
      <w:bookmarkStart w:id="14" w:name="_Toc396917644"/>
      <w:bookmarkStart w:id="15" w:name="_Toc396917749"/>
      <w:bookmarkStart w:id="16" w:name="_Toc428793391"/>
      <w:bookmarkStart w:id="17" w:name="_Toc492574930"/>
      <w:bookmarkStart w:id="18" w:name="_Toc498934651"/>
      <w:r>
        <w:lastRenderedPageBreak/>
        <w:t xml:space="preserve">Background and </w:t>
      </w:r>
      <w:bookmarkEnd w:id="4"/>
      <w:bookmarkEnd w:id="5"/>
      <w:bookmarkEnd w:id="6"/>
      <w:bookmarkEnd w:id="7"/>
      <w:bookmarkEnd w:id="8"/>
      <w:bookmarkEnd w:id="9"/>
      <w:bookmarkEnd w:id="10"/>
      <w:bookmarkEnd w:id="11"/>
      <w:bookmarkEnd w:id="12"/>
      <w:bookmarkEnd w:id="13"/>
      <w:bookmarkEnd w:id="14"/>
      <w:bookmarkEnd w:id="15"/>
      <w:bookmarkEnd w:id="16"/>
      <w:r>
        <w:t>Frequency arrangement</w:t>
      </w:r>
      <w:bookmarkEnd w:id="17"/>
      <w:bookmarkEnd w:id="18"/>
    </w:p>
    <w:p w14:paraId="684DFBD2" w14:textId="77777777" w:rsidR="00E7502F" w:rsidRDefault="00E7502F" w:rsidP="00E7502F">
      <w:pPr>
        <w:pStyle w:val="Heading2"/>
        <w:spacing w:after="60"/>
        <w:jc w:val="both"/>
      </w:pPr>
      <w:bookmarkStart w:id="19" w:name="_Toc498934652"/>
      <w:r>
        <w:t>BACKGROUND</w:t>
      </w:r>
      <w:bookmarkEnd w:id="19"/>
    </w:p>
    <w:p w14:paraId="684DFBD3" w14:textId="77777777" w:rsidR="00E7502F" w:rsidRPr="0004037D" w:rsidRDefault="00E7502F" w:rsidP="00E7502F">
      <w:pPr>
        <w:pStyle w:val="ECCParagraph"/>
      </w:pPr>
      <w:r w:rsidRPr="0004037D">
        <w:t>This report has been developed based on the principle of technology neutrality, taking into account parameters of technology currently available in the band.</w:t>
      </w:r>
      <w:r>
        <w:t xml:space="preserve"> </w:t>
      </w:r>
      <w:r w:rsidRPr="0004037D">
        <w:t>According to the current feedback from standardisation, if 5G specifications are consistent with the proposed harmonised technical conditions contained in this Report, then it will be suitable for the implementation of 5G terrestrial wireless systems.</w:t>
      </w:r>
    </w:p>
    <w:p w14:paraId="684DFBD4" w14:textId="77777777" w:rsidR="00E7502F" w:rsidRPr="0004037D" w:rsidRDefault="00E7502F" w:rsidP="00E7502F">
      <w:pPr>
        <w:pStyle w:val="ECCParagraph"/>
      </w:pPr>
      <w:r w:rsidRPr="0004037D">
        <w:t xml:space="preserve">This report refers only to downlink-only WBB ECS (DL WBB ECS). CEPT took also in careful consideration of the EU harmonised technical conditions for the use of the band 1452-1492 MHz by downlink-only WBB ECS. </w:t>
      </w:r>
    </w:p>
    <w:p w14:paraId="684DFBD5" w14:textId="77777777" w:rsidR="00E7502F" w:rsidRPr="0004037D" w:rsidRDefault="00E7502F" w:rsidP="00E7502F">
      <w:pPr>
        <w:pStyle w:val="ECCParagraph"/>
      </w:pPr>
      <w:r w:rsidRPr="0004037D">
        <w:t xml:space="preserve">Based on information available and relevant to its analysis, CEPT supports 1427-1518 MHz for WBB ECS for a one direction downlink service (DL WBB ECS), used in connection with another WBB ECS band that provides the uplink capabilities. </w:t>
      </w:r>
    </w:p>
    <w:p w14:paraId="684DFBD6" w14:textId="77777777" w:rsidR="00E7502F" w:rsidRPr="0004037D" w:rsidRDefault="00E7502F" w:rsidP="00E7502F">
      <w:pPr>
        <w:pStyle w:val="ECCParagraph"/>
      </w:pPr>
      <w:r w:rsidRPr="0004037D">
        <w:t xml:space="preserve">The band 1400-1427 MHz is allocated to the EESS (passive), Radio astronomy and Space Research (passive), on a worldwide basis. In the band 1427-1452 MHz, Resolution 750 (Rev.WRC-15) </w:t>
      </w:r>
      <w:r w:rsidRPr="0004037D">
        <w:fldChar w:fldCharType="begin"/>
      </w:r>
      <w:r w:rsidRPr="0004037D">
        <w:instrText xml:space="preserve"> REF _Ref481765869 \r \h </w:instrText>
      </w:r>
      <w:r>
        <w:instrText xml:space="preserve"> \* MERGEFORMAT </w:instrText>
      </w:r>
      <w:r w:rsidRPr="0004037D">
        <w:fldChar w:fldCharType="separate"/>
      </w:r>
      <w:r w:rsidR="00B616E1">
        <w:t>[2]</w:t>
      </w:r>
      <w:r w:rsidRPr="0004037D">
        <w:fldChar w:fldCharType="end"/>
      </w:r>
      <w:r w:rsidRPr="0004037D">
        <w:t xml:space="preserve"> applies for the protection of services in the band 1400-1427 MHz. This has been taken in due consideration when developing the technical conditions.</w:t>
      </w:r>
    </w:p>
    <w:p w14:paraId="684DFBD7" w14:textId="77777777" w:rsidR="00E7502F" w:rsidRPr="0004037D" w:rsidRDefault="00E7502F" w:rsidP="00E7502F">
      <w:pPr>
        <w:pStyle w:val="ECCParagraph"/>
      </w:pPr>
      <w:r w:rsidRPr="0004037D">
        <w:t xml:space="preserve">The 1375-1400 MHz frequency band paired with 1427-1452 MHz and/or 1350-1375 MHz paired with 1492-1517 MHz </w:t>
      </w:r>
      <w:r w:rsidR="00FF7010" w:rsidRPr="0004037D">
        <w:t>is</w:t>
      </w:r>
      <w:r w:rsidRPr="0004037D">
        <w:t xml:space="preserve"> used for low capacity fixed links in several countries. Re</w:t>
      </w:r>
      <w:r w:rsidR="00B616E1">
        <w:t>-</w:t>
      </w:r>
      <w:r w:rsidRPr="0004037D">
        <w:t>farming of these bands to make them available for mobile SDL is a complex process which needs time and which is managed at national level taking into account national needs and alternative bands</w:t>
      </w:r>
      <w:r w:rsidRPr="0004037D">
        <w:rPr>
          <w:rStyle w:val="FootnoteReference"/>
        </w:rPr>
        <w:footnoteReference w:id="2"/>
      </w:r>
      <w:r w:rsidRPr="0004037D">
        <w:t xml:space="preserve"> where such fixed links could operate in the future.</w:t>
      </w:r>
    </w:p>
    <w:p w14:paraId="684DFBD8" w14:textId="77777777" w:rsidR="00E7502F" w:rsidRPr="0004037D" w:rsidRDefault="00E7502F" w:rsidP="00E7502F">
      <w:pPr>
        <w:pStyle w:val="ECCParagraph"/>
      </w:pPr>
      <w:r w:rsidRPr="0004037D">
        <w:t xml:space="preserve">It is noted that the 1427-1452 MHz and 1492-1518 MHz bands are also used for land military systems in some CEPT countries according to ERC Report 25 (The European table of frequency allocations and applications in the frequency range 8.3 kHz to 3000 GHz (ECA Table)) </w:t>
      </w:r>
      <w:r w:rsidRPr="0004037D">
        <w:fldChar w:fldCharType="begin"/>
      </w:r>
      <w:r w:rsidRPr="0004037D">
        <w:instrText xml:space="preserve"> REF _Ref482004585 \r \h </w:instrText>
      </w:r>
      <w:r>
        <w:instrText xml:space="preserve"> \* MERGEFORMAT </w:instrText>
      </w:r>
      <w:r w:rsidRPr="0004037D">
        <w:fldChar w:fldCharType="separate"/>
      </w:r>
      <w:r w:rsidR="00B616E1">
        <w:t>[3]</w:t>
      </w:r>
      <w:r w:rsidRPr="0004037D">
        <w:fldChar w:fldCharType="end"/>
      </w:r>
      <w:r w:rsidRPr="0004037D">
        <w:t>.</w:t>
      </w:r>
      <w:r w:rsidRPr="0004037D">
        <w:rPr>
          <w:bCs/>
        </w:rPr>
        <w:t xml:space="preserve"> </w:t>
      </w:r>
    </w:p>
    <w:p w14:paraId="684DFBD9" w14:textId="77777777" w:rsidR="00E7502F" w:rsidRPr="0004037D" w:rsidRDefault="00E7502F" w:rsidP="00E7502F">
      <w:pPr>
        <w:pStyle w:val="ECCParagraph"/>
      </w:pPr>
      <w:r w:rsidRPr="0004037D">
        <w:t>The frequency band 1518-1525 MHz was allocated to the mobile satellite-service (MSS) at WRC-03 and is designated to the MSS by CEPT framework</w:t>
      </w:r>
      <w:r w:rsidRPr="0004037D">
        <w:rPr>
          <w:rStyle w:val="FootnoteReference"/>
        </w:rPr>
        <w:footnoteReference w:id="3"/>
      </w:r>
      <w:r w:rsidRPr="0004037D">
        <w:t>: 1518-1525 MHz (space-to-Earth) and 1670-1675 MHz (Earth-to-space). The frequency band 1525-1559 MHz (space-to-Earth) is allocated to the MSS and is partly used by safety services (see section 3.2).</w:t>
      </w:r>
    </w:p>
    <w:p w14:paraId="684DFBDA" w14:textId="77777777" w:rsidR="00E7502F" w:rsidRPr="0004037D" w:rsidRDefault="00E7502F" w:rsidP="00E7502F">
      <w:pPr>
        <w:pStyle w:val="ECCParagraph"/>
      </w:pPr>
      <w:r w:rsidRPr="0004037D">
        <w:t xml:space="preserve">This report provides results on adjacent band compatibility between IMT operating in the frequency band 1492-1518 MHz, the MSS operating in the frequency band 1518-1525 MHz, and the band 1525-1559 MHz, and relevant LRTC to be implemented in the future EC framework applicable to DL WBB ECS in frequency bands below 1518 MHz. Other measures will be implemented by the </w:t>
      </w:r>
      <w:r w:rsidRPr="00E7502F">
        <w:t>relevant harmonised standard</w:t>
      </w:r>
      <w:r>
        <w:t xml:space="preserve"> </w:t>
      </w:r>
      <w:r w:rsidRPr="0004037D">
        <w:t xml:space="preserve">in order to improve the receiver blocking characteristics of MES operating above 1518 MHz according to the conclusion of the ECC Report 263. </w:t>
      </w:r>
    </w:p>
    <w:p w14:paraId="684DFBDB" w14:textId="77777777" w:rsidR="00E7502F" w:rsidRDefault="00E7502F" w:rsidP="00E7502F">
      <w:pPr>
        <w:pStyle w:val="ECCParagraph"/>
      </w:pPr>
      <w:r w:rsidRPr="0004037D">
        <w:t>DL WBB ECS inherently offers national flexibility to administrations to introduce services in all parts of the extension bands (i.e. 1427-1452 and 1492-1518 MHz), taking into account that the amount of spectrum which could be made available in these frequency bands for terrestrial WBB electronic communications services may vary across Member States.</w:t>
      </w:r>
      <w:r>
        <w:t xml:space="preserve"> </w:t>
      </w:r>
    </w:p>
    <w:p w14:paraId="684DFBDC" w14:textId="77777777" w:rsidR="00E7502F" w:rsidRDefault="00E7502F" w:rsidP="00E7502F">
      <w:pPr>
        <w:pStyle w:val="Heading2"/>
        <w:spacing w:after="60"/>
        <w:jc w:val="both"/>
      </w:pPr>
      <w:bookmarkStart w:id="20" w:name="_Toc492574932"/>
      <w:bookmarkStart w:id="21" w:name="_Toc498934653"/>
      <w:r>
        <w:t>Harmonised Frequency Arrangement</w:t>
      </w:r>
      <w:bookmarkEnd w:id="20"/>
      <w:bookmarkEnd w:id="21"/>
    </w:p>
    <w:p w14:paraId="684DFBDD" w14:textId="77777777" w:rsidR="00E7502F" w:rsidRPr="0004037D" w:rsidRDefault="00E7502F" w:rsidP="00E7502F">
      <w:pPr>
        <w:pStyle w:val="ECCParagraph"/>
      </w:pPr>
      <w:r w:rsidRPr="0004037D">
        <w:t>The harmonised frequency arrangements are based on a block size of 5 MHz, resulting in the following 10 frequency blocks in the bands 1427-1452 MHz and 1492-1518 MHz:</w:t>
      </w:r>
    </w:p>
    <w:p w14:paraId="684DFBDE" w14:textId="77777777" w:rsidR="00E7502F" w:rsidRPr="0004037D" w:rsidRDefault="00E7502F" w:rsidP="00E7502F">
      <w:pPr>
        <w:pStyle w:val="Caption"/>
        <w:keepNext/>
        <w:rPr>
          <w:lang w:val="en-GB"/>
        </w:rPr>
      </w:pPr>
      <w:r w:rsidRPr="0004037D">
        <w:rPr>
          <w:lang w:val="en-GB"/>
        </w:rPr>
        <w:lastRenderedPageBreak/>
        <w:t xml:space="preserve">Table </w:t>
      </w:r>
      <w:r w:rsidRPr="0004037D">
        <w:rPr>
          <w:lang w:val="en-GB"/>
        </w:rPr>
        <w:fldChar w:fldCharType="begin"/>
      </w:r>
      <w:r w:rsidRPr="0004037D">
        <w:rPr>
          <w:lang w:val="en-GB"/>
        </w:rPr>
        <w:instrText xml:space="preserve"> SEQ Table \* ARABIC </w:instrText>
      </w:r>
      <w:r w:rsidRPr="0004037D">
        <w:rPr>
          <w:lang w:val="en-GB"/>
        </w:rPr>
        <w:fldChar w:fldCharType="separate"/>
      </w:r>
      <w:r w:rsidR="00B616E1">
        <w:rPr>
          <w:noProof/>
          <w:lang w:val="en-GB"/>
        </w:rPr>
        <w:t>1</w:t>
      </w:r>
      <w:r w:rsidRPr="0004037D">
        <w:rPr>
          <w:lang w:val="en-GB"/>
        </w:rPr>
        <w:fldChar w:fldCharType="end"/>
      </w:r>
      <w:r w:rsidRPr="0004037D">
        <w:rPr>
          <w:lang w:val="en-GB"/>
        </w:rPr>
        <w:t>: Harmonised frequency arrangement for 1427-1452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173"/>
        <w:gridCol w:w="1173"/>
        <w:gridCol w:w="1173"/>
        <w:gridCol w:w="1173"/>
        <w:gridCol w:w="1173"/>
      </w:tblGrid>
      <w:tr w:rsidR="00E7502F" w:rsidRPr="0004037D" w14:paraId="684DFBE4" w14:textId="77777777" w:rsidTr="00954C83">
        <w:trPr>
          <w:tblHeader/>
          <w:jc w:val="center"/>
        </w:trPr>
        <w:tc>
          <w:tcPr>
            <w:tcW w:w="0" w:type="auto"/>
            <w:shd w:val="clear" w:color="auto" w:fill="FFFFFF" w:themeFill="background1"/>
            <w:vAlign w:val="center"/>
          </w:tcPr>
          <w:p w14:paraId="684DFBDF" w14:textId="77777777" w:rsidR="00E7502F" w:rsidRPr="0004037D" w:rsidRDefault="00E7502F" w:rsidP="00954C83">
            <w:pPr>
              <w:keepNext/>
              <w:keepLines/>
              <w:spacing w:before="60" w:after="60" w:line="288" w:lineRule="auto"/>
              <w:jc w:val="center"/>
              <w:rPr>
                <w:rFonts w:cs="Arial"/>
                <w:b/>
                <w:color w:val="FFFFFF"/>
                <w:lang w:val="en-GB"/>
              </w:rPr>
            </w:pPr>
            <w:r w:rsidRPr="0004037D">
              <w:rPr>
                <w:rFonts w:cs="Arial"/>
                <w:color w:val="000000"/>
                <w:kern w:val="24"/>
                <w:szCs w:val="22"/>
                <w:lang w:val="en-GB"/>
              </w:rPr>
              <w:t>1427-1432</w:t>
            </w:r>
          </w:p>
        </w:tc>
        <w:tc>
          <w:tcPr>
            <w:tcW w:w="0" w:type="auto"/>
            <w:shd w:val="clear" w:color="auto" w:fill="FFFFFF" w:themeFill="background1"/>
            <w:vAlign w:val="center"/>
          </w:tcPr>
          <w:p w14:paraId="684DFBE0" w14:textId="77777777" w:rsidR="00E7502F" w:rsidRPr="0004037D" w:rsidRDefault="00E7502F" w:rsidP="00954C83">
            <w:pPr>
              <w:keepNext/>
              <w:keepLines/>
              <w:spacing w:before="60" w:after="60" w:line="288" w:lineRule="auto"/>
              <w:jc w:val="center"/>
              <w:rPr>
                <w:rFonts w:cs="Arial"/>
                <w:b/>
                <w:color w:val="FFFFFF"/>
                <w:lang w:val="en-GB"/>
              </w:rPr>
            </w:pPr>
            <w:r w:rsidRPr="0004037D">
              <w:rPr>
                <w:rFonts w:cs="Arial"/>
                <w:color w:val="000000"/>
                <w:kern w:val="24"/>
                <w:szCs w:val="22"/>
                <w:lang w:val="en-GB"/>
              </w:rPr>
              <w:t>1432-1437</w:t>
            </w:r>
          </w:p>
        </w:tc>
        <w:tc>
          <w:tcPr>
            <w:tcW w:w="0" w:type="auto"/>
            <w:shd w:val="clear" w:color="auto" w:fill="FFFFFF" w:themeFill="background1"/>
            <w:vAlign w:val="center"/>
          </w:tcPr>
          <w:p w14:paraId="684DFBE1" w14:textId="77777777" w:rsidR="00E7502F" w:rsidRPr="0004037D" w:rsidRDefault="00E7502F" w:rsidP="00954C83">
            <w:pPr>
              <w:keepNext/>
              <w:keepLines/>
              <w:spacing w:before="60" w:after="60" w:line="288" w:lineRule="auto"/>
              <w:jc w:val="center"/>
              <w:rPr>
                <w:rFonts w:cs="Arial"/>
                <w:b/>
                <w:color w:val="FFFFFF"/>
                <w:lang w:val="en-GB"/>
              </w:rPr>
            </w:pPr>
            <w:r w:rsidRPr="0004037D">
              <w:rPr>
                <w:rFonts w:cs="Arial"/>
                <w:color w:val="000000"/>
                <w:kern w:val="24"/>
                <w:szCs w:val="22"/>
                <w:lang w:val="en-GB"/>
              </w:rPr>
              <w:t>1437-1442</w:t>
            </w:r>
          </w:p>
        </w:tc>
        <w:tc>
          <w:tcPr>
            <w:tcW w:w="0" w:type="auto"/>
            <w:shd w:val="clear" w:color="auto" w:fill="FFFFFF" w:themeFill="background1"/>
            <w:vAlign w:val="center"/>
          </w:tcPr>
          <w:p w14:paraId="684DFBE2" w14:textId="77777777" w:rsidR="00E7502F" w:rsidRPr="0004037D" w:rsidRDefault="00E7502F" w:rsidP="00954C83">
            <w:pPr>
              <w:keepNext/>
              <w:keepLines/>
              <w:spacing w:before="60" w:after="60" w:line="288" w:lineRule="auto"/>
              <w:jc w:val="center"/>
              <w:rPr>
                <w:rFonts w:cs="Arial"/>
                <w:b/>
                <w:color w:val="FFFFFF"/>
                <w:lang w:val="en-GB"/>
              </w:rPr>
            </w:pPr>
            <w:r w:rsidRPr="0004037D">
              <w:rPr>
                <w:rFonts w:cs="Arial"/>
                <w:color w:val="000000"/>
                <w:kern w:val="24"/>
                <w:szCs w:val="22"/>
                <w:lang w:val="en-GB"/>
              </w:rPr>
              <w:t>1442-1447</w:t>
            </w:r>
          </w:p>
        </w:tc>
        <w:tc>
          <w:tcPr>
            <w:tcW w:w="0" w:type="auto"/>
            <w:shd w:val="clear" w:color="auto" w:fill="FFFFFF" w:themeFill="background1"/>
            <w:vAlign w:val="center"/>
          </w:tcPr>
          <w:p w14:paraId="684DFBE3" w14:textId="77777777" w:rsidR="00E7502F" w:rsidRPr="0004037D" w:rsidRDefault="00E7502F" w:rsidP="00954C83">
            <w:pPr>
              <w:keepNext/>
              <w:keepLines/>
              <w:spacing w:before="60" w:after="60" w:line="288" w:lineRule="auto"/>
              <w:jc w:val="center"/>
              <w:rPr>
                <w:rFonts w:cs="Arial"/>
                <w:b/>
                <w:color w:val="FFFFFF"/>
                <w:lang w:val="en-GB"/>
              </w:rPr>
            </w:pPr>
            <w:r w:rsidRPr="0004037D">
              <w:rPr>
                <w:rFonts w:cs="Arial"/>
                <w:color w:val="000000"/>
                <w:kern w:val="24"/>
                <w:szCs w:val="22"/>
                <w:lang w:val="en-GB"/>
              </w:rPr>
              <w:t>1447-1452</w:t>
            </w:r>
          </w:p>
        </w:tc>
      </w:tr>
      <w:tr w:rsidR="00E7502F" w:rsidRPr="0004037D" w14:paraId="684DFBE6" w14:textId="77777777" w:rsidTr="00954C83">
        <w:trPr>
          <w:tblHeader/>
          <w:jc w:val="center"/>
        </w:trPr>
        <w:tc>
          <w:tcPr>
            <w:tcW w:w="0" w:type="auto"/>
            <w:gridSpan w:val="5"/>
            <w:shd w:val="clear" w:color="auto" w:fill="D2232A"/>
          </w:tcPr>
          <w:p w14:paraId="684DFBE5" w14:textId="77777777" w:rsidR="00E7502F" w:rsidRPr="0004037D" w:rsidRDefault="00E7502F" w:rsidP="00954C83">
            <w:pPr>
              <w:keepNext/>
              <w:keepLines/>
              <w:spacing w:before="60" w:after="60"/>
              <w:jc w:val="center"/>
              <w:rPr>
                <w:rFonts w:cs="Arial"/>
                <w:color w:val="FFFFFF" w:themeColor="background1"/>
                <w:lang w:val="en-GB"/>
              </w:rPr>
            </w:pPr>
            <w:r w:rsidRPr="0004037D">
              <w:rPr>
                <w:rFonts w:cs="Arial"/>
                <w:b/>
                <w:bCs/>
                <w:color w:val="FFFFFF" w:themeColor="background1"/>
                <w:lang w:val="en-GB"/>
              </w:rPr>
              <w:t>Downlink (base station transmit)</w:t>
            </w:r>
          </w:p>
        </w:tc>
      </w:tr>
      <w:tr w:rsidR="00E7502F" w:rsidRPr="0004037D" w14:paraId="684DFBE8" w14:textId="77777777" w:rsidTr="00954C83">
        <w:trPr>
          <w:jc w:val="center"/>
        </w:trPr>
        <w:tc>
          <w:tcPr>
            <w:tcW w:w="0" w:type="auto"/>
            <w:gridSpan w:val="5"/>
          </w:tcPr>
          <w:p w14:paraId="684DFBE7" w14:textId="77777777" w:rsidR="00E7502F" w:rsidRPr="0004037D" w:rsidRDefault="00E7502F" w:rsidP="00954C83">
            <w:pPr>
              <w:keepNext/>
              <w:keepLines/>
              <w:spacing w:before="60" w:after="60"/>
              <w:jc w:val="center"/>
              <w:rPr>
                <w:rFonts w:cs="Arial"/>
                <w:lang w:val="en-GB"/>
              </w:rPr>
            </w:pPr>
            <w:r w:rsidRPr="0004037D">
              <w:rPr>
                <w:rFonts w:cs="Arial"/>
                <w:lang w:val="en-GB"/>
              </w:rPr>
              <w:t>25 MHz (5 blocks of 5 MHz)</w:t>
            </w:r>
          </w:p>
        </w:tc>
      </w:tr>
    </w:tbl>
    <w:p w14:paraId="684DFBE9" w14:textId="77777777" w:rsidR="00E7502F" w:rsidRPr="0004037D" w:rsidRDefault="00E7502F" w:rsidP="00E7502F">
      <w:pPr>
        <w:pStyle w:val="ECCTablenote"/>
      </w:pPr>
      <w:r w:rsidRPr="0004037D">
        <w:t>*Block conditions: see Annex 2</w:t>
      </w:r>
    </w:p>
    <w:p w14:paraId="684DFBEA" w14:textId="77777777" w:rsidR="00E7502F" w:rsidRPr="0004037D" w:rsidRDefault="00E7502F" w:rsidP="00E7502F">
      <w:pPr>
        <w:pStyle w:val="Caption"/>
        <w:rPr>
          <w:lang w:val="en-GB"/>
        </w:rPr>
      </w:pPr>
    </w:p>
    <w:p w14:paraId="684DFBEB" w14:textId="77777777" w:rsidR="00E7502F" w:rsidRPr="0004037D" w:rsidRDefault="00E7502F" w:rsidP="00E7502F">
      <w:pPr>
        <w:pStyle w:val="Caption"/>
        <w:rPr>
          <w:lang w:val="en-GB"/>
        </w:rPr>
      </w:pPr>
      <w:r w:rsidRPr="0004037D">
        <w:rPr>
          <w:lang w:val="en-GB"/>
        </w:rPr>
        <w:t xml:space="preserve">Table </w:t>
      </w:r>
      <w:r w:rsidRPr="0004037D">
        <w:rPr>
          <w:lang w:val="en-GB"/>
        </w:rPr>
        <w:fldChar w:fldCharType="begin"/>
      </w:r>
      <w:r w:rsidRPr="0004037D">
        <w:rPr>
          <w:lang w:val="en-GB"/>
        </w:rPr>
        <w:instrText xml:space="preserve"> SEQ Table \* ARABIC </w:instrText>
      </w:r>
      <w:r w:rsidRPr="0004037D">
        <w:rPr>
          <w:lang w:val="en-GB"/>
        </w:rPr>
        <w:fldChar w:fldCharType="separate"/>
      </w:r>
      <w:r w:rsidR="00B616E1">
        <w:rPr>
          <w:noProof/>
          <w:lang w:val="en-GB"/>
        </w:rPr>
        <w:t>2</w:t>
      </w:r>
      <w:r w:rsidRPr="0004037D">
        <w:rPr>
          <w:lang w:val="en-GB"/>
        </w:rPr>
        <w:fldChar w:fldCharType="end"/>
      </w:r>
      <w:r w:rsidRPr="0004037D">
        <w:rPr>
          <w:lang w:val="en-GB"/>
        </w:rPr>
        <w:t>: Harmonised frequency arrangement for 1492-1518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173"/>
        <w:gridCol w:w="1173"/>
        <w:gridCol w:w="1173"/>
        <w:gridCol w:w="1173"/>
        <w:gridCol w:w="1329"/>
        <w:gridCol w:w="1339"/>
      </w:tblGrid>
      <w:tr w:rsidR="00E7502F" w:rsidRPr="0004037D" w14:paraId="684DFBF2" w14:textId="77777777" w:rsidTr="00954C83">
        <w:trPr>
          <w:tblHeader/>
          <w:jc w:val="center"/>
        </w:trPr>
        <w:tc>
          <w:tcPr>
            <w:tcW w:w="0" w:type="auto"/>
            <w:tcBorders>
              <w:bottom w:val="single" w:sz="4" w:space="0" w:color="D2232A"/>
            </w:tcBorders>
            <w:shd w:val="clear" w:color="auto" w:fill="FFFFFF" w:themeFill="background1"/>
            <w:vAlign w:val="center"/>
          </w:tcPr>
          <w:p w14:paraId="684DFBEC" w14:textId="77777777" w:rsidR="00E7502F" w:rsidRPr="0004037D" w:rsidRDefault="00E7502F" w:rsidP="00954C83">
            <w:pPr>
              <w:spacing w:before="60" w:after="60" w:line="288" w:lineRule="auto"/>
              <w:jc w:val="center"/>
              <w:rPr>
                <w:rFonts w:cs="Arial"/>
                <w:b/>
                <w:color w:val="FFFFFF"/>
                <w:lang w:val="en-GB"/>
              </w:rPr>
            </w:pPr>
            <w:r w:rsidRPr="0004037D">
              <w:rPr>
                <w:rFonts w:cs="Arial"/>
                <w:color w:val="000000"/>
                <w:kern w:val="24"/>
                <w:szCs w:val="22"/>
                <w:lang w:val="en-GB"/>
              </w:rPr>
              <w:t>1492-1497</w:t>
            </w:r>
          </w:p>
        </w:tc>
        <w:tc>
          <w:tcPr>
            <w:tcW w:w="0" w:type="auto"/>
            <w:tcBorders>
              <w:bottom w:val="single" w:sz="4" w:space="0" w:color="D2232A"/>
            </w:tcBorders>
            <w:shd w:val="clear" w:color="auto" w:fill="FFFFFF" w:themeFill="background1"/>
            <w:vAlign w:val="center"/>
          </w:tcPr>
          <w:p w14:paraId="684DFBED" w14:textId="77777777" w:rsidR="00E7502F" w:rsidRPr="0004037D" w:rsidRDefault="00E7502F" w:rsidP="00954C83">
            <w:pPr>
              <w:spacing w:before="60" w:after="60" w:line="288" w:lineRule="auto"/>
              <w:jc w:val="center"/>
              <w:rPr>
                <w:rFonts w:cs="Arial"/>
                <w:b/>
                <w:color w:val="FFFFFF"/>
                <w:lang w:val="en-GB"/>
              </w:rPr>
            </w:pPr>
            <w:r w:rsidRPr="0004037D">
              <w:rPr>
                <w:rFonts w:cs="Arial"/>
                <w:color w:val="000000"/>
                <w:kern w:val="24"/>
                <w:szCs w:val="22"/>
                <w:lang w:val="en-GB"/>
              </w:rPr>
              <w:t>1497-1502</w:t>
            </w:r>
          </w:p>
        </w:tc>
        <w:tc>
          <w:tcPr>
            <w:tcW w:w="0" w:type="auto"/>
            <w:tcBorders>
              <w:bottom w:val="single" w:sz="4" w:space="0" w:color="D2232A"/>
            </w:tcBorders>
            <w:shd w:val="clear" w:color="auto" w:fill="FFFFFF" w:themeFill="background1"/>
            <w:vAlign w:val="center"/>
          </w:tcPr>
          <w:p w14:paraId="684DFBEE" w14:textId="77777777" w:rsidR="00E7502F" w:rsidRPr="0004037D" w:rsidRDefault="00E7502F" w:rsidP="00954C83">
            <w:pPr>
              <w:spacing w:before="60" w:after="60" w:line="288" w:lineRule="auto"/>
              <w:jc w:val="center"/>
              <w:rPr>
                <w:rFonts w:cs="Arial"/>
                <w:b/>
                <w:color w:val="FFFFFF"/>
                <w:lang w:val="en-GB"/>
              </w:rPr>
            </w:pPr>
            <w:r w:rsidRPr="0004037D">
              <w:rPr>
                <w:rFonts w:cs="Arial"/>
                <w:color w:val="000000"/>
                <w:kern w:val="24"/>
                <w:szCs w:val="22"/>
                <w:lang w:val="en-GB"/>
              </w:rPr>
              <w:t>1502-1507</w:t>
            </w:r>
          </w:p>
        </w:tc>
        <w:tc>
          <w:tcPr>
            <w:tcW w:w="0" w:type="auto"/>
            <w:tcBorders>
              <w:bottom w:val="single" w:sz="4" w:space="0" w:color="D2232A"/>
            </w:tcBorders>
            <w:shd w:val="clear" w:color="auto" w:fill="FFFFFF" w:themeFill="background1"/>
            <w:vAlign w:val="center"/>
          </w:tcPr>
          <w:p w14:paraId="684DFBEF" w14:textId="77777777" w:rsidR="00E7502F" w:rsidRPr="0004037D" w:rsidRDefault="00E7502F" w:rsidP="00954C83">
            <w:pPr>
              <w:spacing w:before="60" w:after="60" w:line="288" w:lineRule="auto"/>
              <w:jc w:val="center"/>
              <w:rPr>
                <w:rFonts w:cs="Arial"/>
                <w:b/>
                <w:color w:val="FFFFFF"/>
                <w:lang w:val="en-GB"/>
              </w:rPr>
            </w:pPr>
            <w:r w:rsidRPr="0004037D">
              <w:rPr>
                <w:rFonts w:cs="Arial"/>
                <w:color w:val="000000"/>
                <w:kern w:val="24"/>
                <w:szCs w:val="22"/>
                <w:lang w:val="en-GB"/>
              </w:rPr>
              <w:t>1507-1512</w:t>
            </w:r>
          </w:p>
        </w:tc>
        <w:tc>
          <w:tcPr>
            <w:tcW w:w="0" w:type="auto"/>
            <w:tcBorders>
              <w:bottom w:val="single" w:sz="4" w:space="0" w:color="D2232A"/>
            </w:tcBorders>
            <w:shd w:val="clear" w:color="auto" w:fill="FFFFFF" w:themeFill="background1"/>
            <w:vAlign w:val="center"/>
          </w:tcPr>
          <w:p w14:paraId="684DFBF0" w14:textId="77777777" w:rsidR="00E7502F" w:rsidRPr="0004037D" w:rsidRDefault="00E7502F" w:rsidP="00954C83">
            <w:pPr>
              <w:spacing w:before="60" w:after="60" w:line="288" w:lineRule="auto"/>
              <w:jc w:val="center"/>
              <w:rPr>
                <w:rFonts w:cs="Arial"/>
                <w:b/>
                <w:color w:val="FFFFFF"/>
                <w:lang w:val="en-GB"/>
              </w:rPr>
            </w:pPr>
            <w:r w:rsidRPr="0004037D">
              <w:rPr>
                <w:rFonts w:cs="Arial"/>
                <w:color w:val="000000"/>
                <w:kern w:val="24"/>
                <w:szCs w:val="22"/>
                <w:lang w:val="en-GB"/>
              </w:rPr>
              <w:t>1512-1517**</w:t>
            </w:r>
          </w:p>
        </w:tc>
        <w:tc>
          <w:tcPr>
            <w:tcW w:w="0" w:type="auto"/>
            <w:shd w:val="clear" w:color="auto" w:fill="FFFFFF" w:themeFill="background1"/>
          </w:tcPr>
          <w:p w14:paraId="684DFBF1" w14:textId="77777777" w:rsidR="00E7502F" w:rsidRPr="0004037D" w:rsidRDefault="00E7502F" w:rsidP="00954C83">
            <w:pPr>
              <w:spacing w:before="60" w:after="60" w:line="288" w:lineRule="auto"/>
              <w:jc w:val="center"/>
              <w:rPr>
                <w:rFonts w:cs="Arial"/>
                <w:color w:val="000000"/>
                <w:kern w:val="24"/>
                <w:szCs w:val="22"/>
                <w:lang w:val="en-GB"/>
              </w:rPr>
            </w:pPr>
            <w:r w:rsidRPr="0004037D">
              <w:rPr>
                <w:rFonts w:cs="Arial"/>
                <w:color w:val="000000"/>
                <w:kern w:val="24"/>
                <w:szCs w:val="22"/>
                <w:lang w:val="en-GB"/>
              </w:rPr>
              <w:t>1517-1518</w:t>
            </w:r>
          </w:p>
        </w:tc>
      </w:tr>
      <w:tr w:rsidR="00E7502F" w:rsidRPr="0004037D" w14:paraId="684DFBF5" w14:textId="77777777" w:rsidTr="00954C83">
        <w:trPr>
          <w:tblHeader/>
          <w:jc w:val="center"/>
        </w:trPr>
        <w:tc>
          <w:tcPr>
            <w:tcW w:w="0" w:type="auto"/>
            <w:gridSpan w:val="5"/>
            <w:tcBorders>
              <w:right w:val="single" w:sz="4" w:space="0" w:color="FFFFFF" w:themeColor="background1"/>
            </w:tcBorders>
            <w:shd w:val="clear" w:color="auto" w:fill="D2232A"/>
          </w:tcPr>
          <w:p w14:paraId="684DFBF3" w14:textId="77777777" w:rsidR="00E7502F" w:rsidRPr="0004037D" w:rsidRDefault="00E7502F" w:rsidP="00954C83">
            <w:pPr>
              <w:spacing w:before="60" w:after="60"/>
              <w:jc w:val="center"/>
              <w:rPr>
                <w:rFonts w:cs="Arial"/>
                <w:color w:val="FFFFFF" w:themeColor="background1"/>
                <w:lang w:val="en-GB"/>
              </w:rPr>
            </w:pPr>
            <w:r w:rsidRPr="0004037D">
              <w:rPr>
                <w:rFonts w:cs="Arial"/>
                <w:b/>
                <w:bCs/>
                <w:color w:val="FFFFFF" w:themeColor="background1"/>
                <w:lang w:val="en-GB"/>
              </w:rPr>
              <w:t>Downlink (base station transmit)</w:t>
            </w:r>
          </w:p>
        </w:tc>
        <w:tc>
          <w:tcPr>
            <w:tcW w:w="0" w:type="auto"/>
            <w:tcBorders>
              <w:left w:val="single" w:sz="4" w:space="0" w:color="FFFFFF" w:themeColor="background1"/>
            </w:tcBorders>
            <w:shd w:val="clear" w:color="auto" w:fill="D2232A"/>
          </w:tcPr>
          <w:p w14:paraId="684DFBF4" w14:textId="77777777" w:rsidR="00E7502F" w:rsidRPr="0004037D" w:rsidRDefault="00E7502F" w:rsidP="00954C83">
            <w:pPr>
              <w:spacing w:before="60" w:after="60"/>
              <w:jc w:val="center"/>
              <w:rPr>
                <w:rFonts w:cs="Arial"/>
                <w:b/>
                <w:bCs/>
                <w:color w:val="FFFFFF" w:themeColor="background1"/>
                <w:lang w:val="en-GB"/>
              </w:rPr>
            </w:pPr>
            <w:r w:rsidRPr="0004037D">
              <w:rPr>
                <w:rFonts w:cs="Arial"/>
                <w:b/>
                <w:bCs/>
                <w:color w:val="FFFFFF" w:themeColor="background1"/>
                <w:lang w:val="en-GB"/>
              </w:rPr>
              <w:t>Guard band</w:t>
            </w:r>
          </w:p>
        </w:tc>
      </w:tr>
      <w:tr w:rsidR="00E7502F" w:rsidRPr="0004037D" w14:paraId="684DFBF8" w14:textId="77777777" w:rsidTr="00954C83">
        <w:trPr>
          <w:jc w:val="center"/>
        </w:trPr>
        <w:tc>
          <w:tcPr>
            <w:tcW w:w="0" w:type="auto"/>
            <w:gridSpan w:val="5"/>
          </w:tcPr>
          <w:p w14:paraId="684DFBF6" w14:textId="77777777" w:rsidR="00E7502F" w:rsidRPr="0004037D" w:rsidRDefault="00E7502F" w:rsidP="00954C83">
            <w:pPr>
              <w:spacing w:before="60" w:after="60"/>
              <w:jc w:val="center"/>
              <w:rPr>
                <w:rFonts w:cs="Arial"/>
                <w:lang w:val="en-GB"/>
              </w:rPr>
            </w:pPr>
            <w:r w:rsidRPr="0004037D">
              <w:rPr>
                <w:rFonts w:cs="Arial"/>
                <w:lang w:val="en-GB"/>
              </w:rPr>
              <w:t>25 MHz (5 blocks of 5 MHz)</w:t>
            </w:r>
          </w:p>
        </w:tc>
        <w:tc>
          <w:tcPr>
            <w:tcW w:w="0" w:type="auto"/>
          </w:tcPr>
          <w:p w14:paraId="684DFBF7" w14:textId="77777777" w:rsidR="00E7502F" w:rsidRPr="0004037D" w:rsidRDefault="00E7502F" w:rsidP="00954C83">
            <w:pPr>
              <w:spacing w:before="60" w:after="60"/>
              <w:jc w:val="center"/>
              <w:rPr>
                <w:rFonts w:cs="Arial"/>
                <w:lang w:val="en-GB"/>
              </w:rPr>
            </w:pPr>
            <w:r w:rsidRPr="0004037D">
              <w:rPr>
                <w:rFonts w:cs="Arial"/>
                <w:lang w:val="en-GB"/>
              </w:rPr>
              <w:t>1 MHz</w:t>
            </w:r>
          </w:p>
        </w:tc>
      </w:tr>
    </w:tbl>
    <w:p w14:paraId="684DFBF9" w14:textId="77777777" w:rsidR="00E7502F" w:rsidRPr="0004037D" w:rsidRDefault="00E7502F" w:rsidP="00E7502F">
      <w:pPr>
        <w:pStyle w:val="ECCTablenote"/>
      </w:pPr>
      <w:r w:rsidRPr="0004037D">
        <w:t>**Restricted power: see Annex 2</w:t>
      </w:r>
    </w:p>
    <w:p w14:paraId="684DFBFA" w14:textId="77777777" w:rsidR="00E7502F" w:rsidRPr="0004037D" w:rsidRDefault="00E7502F" w:rsidP="00E7502F">
      <w:pPr>
        <w:pStyle w:val="Caption"/>
        <w:keepNext/>
        <w:rPr>
          <w:lang w:val="en-GB"/>
        </w:rPr>
      </w:pPr>
      <w:bookmarkStart w:id="22" w:name="_Ref481761428"/>
    </w:p>
    <w:p w14:paraId="684DFBFB" w14:textId="77777777" w:rsidR="00E7502F" w:rsidRPr="0004037D" w:rsidRDefault="00E7502F" w:rsidP="00E7502F">
      <w:pPr>
        <w:pStyle w:val="Caption"/>
        <w:keepNext/>
        <w:rPr>
          <w:lang w:val="en-GB"/>
        </w:rPr>
      </w:pPr>
      <w:bookmarkStart w:id="23" w:name="_Ref482004949"/>
      <w:r w:rsidRPr="0004037D">
        <w:rPr>
          <w:lang w:val="en-GB"/>
        </w:rPr>
        <w:t xml:space="preserve">Table </w:t>
      </w:r>
      <w:r w:rsidRPr="0004037D">
        <w:rPr>
          <w:lang w:val="en-GB"/>
        </w:rPr>
        <w:fldChar w:fldCharType="begin"/>
      </w:r>
      <w:r w:rsidRPr="0004037D">
        <w:rPr>
          <w:lang w:val="en-GB"/>
        </w:rPr>
        <w:instrText xml:space="preserve"> SEQ Table \* ARABIC </w:instrText>
      </w:r>
      <w:r w:rsidRPr="0004037D">
        <w:rPr>
          <w:lang w:val="en-GB"/>
        </w:rPr>
        <w:fldChar w:fldCharType="separate"/>
      </w:r>
      <w:r w:rsidR="00B616E1">
        <w:rPr>
          <w:noProof/>
          <w:lang w:val="en-GB"/>
        </w:rPr>
        <w:t>3</w:t>
      </w:r>
      <w:r w:rsidRPr="0004037D">
        <w:rPr>
          <w:lang w:val="en-GB"/>
        </w:rPr>
        <w:fldChar w:fldCharType="end"/>
      </w:r>
      <w:bookmarkEnd w:id="22"/>
      <w:bookmarkEnd w:id="23"/>
      <w:r w:rsidRPr="0004037D">
        <w:rPr>
          <w:lang w:val="en-GB"/>
        </w:rPr>
        <w:t xml:space="preserve">: Combined harmonised frequency arrangement </w:t>
      </w:r>
      <w:r w:rsidRPr="0004037D">
        <w:rPr>
          <w:lang w:val="en-GB"/>
        </w:rPr>
        <w:br/>
        <w:t>(incl. EC Decision (EU) 2015/750 for informative purpose)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525"/>
        <w:gridCol w:w="526"/>
        <w:gridCol w:w="526"/>
        <w:gridCol w:w="526"/>
        <w:gridCol w:w="525"/>
        <w:gridCol w:w="526"/>
        <w:gridCol w:w="526"/>
        <w:gridCol w:w="526"/>
        <w:gridCol w:w="526"/>
        <w:gridCol w:w="525"/>
        <w:gridCol w:w="526"/>
        <w:gridCol w:w="526"/>
        <w:gridCol w:w="526"/>
        <w:gridCol w:w="525"/>
        <w:gridCol w:w="526"/>
        <w:gridCol w:w="526"/>
        <w:gridCol w:w="519"/>
        <w:gridCol w:w="567"/>
        <w:gridCol w:w="567"/>
      </w:tblGrid>
      <w:tr w:rsidR="00E7502F" w:rsidRPr="0004037D" w14:paraId="684DFC0A" w14:textId="77777777" w:rsidTr="00954C83">
        <w:tc>
          <w:tcPr>
            <w:tcW w:w="1577" w:type="dxa"/>
            <w:gridSpan w:val="3"/>
            <w:tcBorders>
              <w:top w:val="single" w:sz="4" w:space="0" w:color="FFFFFF" w:themeColor="background1"/>
              <w:left w:val="single" w:sz="4" w:space="0" w:color="FFFFFF" w:themeColor="background1"/>
              <w:bottom w:val="single" w:sz="4" w:space="0" w:color="D2232A"/>
              <w:right w:val="single" w:sz="4" w:space="0" w:color="FFFFFF" w:themeColor="background1"/>
            </w:tcBorders>
            <w:vAlign w:val="center"/>
          </w:tcPr>
          <w:p w14:paraId="684DFBFC" w14:textId="77777777" w:rsidR="00E7502F" w:rsidRPr="0004037D" w:rsidRDefault="00E7502F" w:rsidP="00954C83">
            <w:pPr>
              <w:spacing w:line="288" w:lineRule="auto"/>
              <w:rPr>
                <w:lang w:val="en-GB"/>
              </w:rPr>
            </w:pPr>
            <w:r w:rsidRPr="0004037D">
              <w:rPr>
                <w:b/>
                <w:lang w:val="en-GB"/>
              </w:rPr>
              <w:t>1427 MHz</w:t>
            </w: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BFD" w14:textId="77777777" w:rsidR="00E7502F" w:rsidRPr="0004037D" w:rsidRDefault="00E7502F" w:rsidP="00954C83">
            <w:pPr>
              <w:spacing w:line="288" w:lineRule="auto"/>
              <w:rPr>
                <w:lang w:val="en-GB"/>
              </w:rPr>
            </w:pPr>
          </w:p>
        </w:tc>
        <w:tc>
          <w:tcPr>
            <w:tcW w:w="525"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BFE" w14:textId="77777777" w:rsidR="00E7502F" w:rsidRPr="0004037D" w:rsidRDefault="00E7502F" w:rsidP="00954C83">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BFF" w14:textId="77777777" w:rsidR="00E7502F" w:rsidRPr="0004037D" w:rsidRDefault="00E7502F" w:rsidP="00954C83">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C00" w14:textId="77777777" w:rsidR="00E7502F" w:rsidRPr="0004037D" w:rsidRDefault="00E7502F" w:rsidP="00954C83">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C01" w14:textId="77777777" w:rsidR="00E7502F" w:rsidRPr="0004037D" w:rsidRDefault="00E7502F" w:rsidP="00954C83">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C02" w14:textId="77777777" w:rsidR="00E7502F" w:rsidRPr="0004037D" w:rsidRDefault="00E7502F" w:rsidP="00954C83">
            <w:pPr>
              <w:spacing w:line="288" w:lineRule="auto"/>
              <w:rPr>
                <w:lang w:val="en-GB"/>
              </w:rPr>
            </w:pPr>
          </w:p>
        </w:tc>
        <w:tc>
          <w:tcPr>
            <w:tcW w:w="525"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C03" w14:textId="77777777" w:rsidR="00E7502F" w:rsidRPr="0004037D" w:rsidRDefault="00E7502F" w:rsidP="00954C83">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C04" w14:textId="77777777" w:rsidR="00E7502F" w:rsidRPr="0004037D" w:rsidRDefault="00E7502F" w:rsidP="00954C83">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C05" w14:textId="77777777" w:rsidR="00E7502F" w:rsidRPr="0004037D" w:rsidRDefault="00E7502F" w:rsidP="00954C83">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C06" w14:textId="77777777" w:rsidR="00E7502F" w:rsidRPr="0004037D" w:rsidRDefault="00E7502F" w:rsidP="00954C83">
            <w:pPr>
              <w:spacing w:line="288" w:lineRule="auto"/>
              <w:rPr>
                <w:lang w:val="en-GB"/>
              </w:rPr>
            </w:pPr>
          </w:p>
        </w:tc>
        <w:tc>
          <w:tcPr>
            <w:tcW w:w="525"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C07" w14:textId="77777777" w:rsidR="00E7502F" w:rsidRPr="0004037D" w:rsidRDefault="00E7502F" w:rsidP="00954C83">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C08" w14:textId="77777777" w:rsidR="00E7502F" w:rsidRPr="0004037D" w:rsidRDefault="00E7502F" w:rsidP="00954C83">
            <w:pPr>
              <w:spacing w:line="288" w:lineRule="auto"/>
              <w:rPr>
                <w:lang w:val="en-GB"/>
              </w:rPr>
            </w:pPr>
          </w:p>
        </w:tc>
        <w:tc>
          <w:tcPr>
            <w:tcW w:w="2179" w:type="dxa"/>
            <w:gridSpan w:val="4"/>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684DFC09" w14:textId="77777777" w:rsidR="00E7502F" w:rsidRPr="0004037D" w:rsidRDefault="00E7502F" w:rsidP="00954C83">
            <w:pPr>
              <w:spacing w:line="288" w:lineRule="auto"/>
              <w:jc w:val="right"/>
              <w:rPr>
                <w:b/>
                <w:lang w:val="en-GB"/>
              </w:rPr>
            </w:pPr>
            <w:r w:rsidRPr="0004037D">
              <w:rPr>
                <w:b/>
                <w:lang w:val="en-GB"/>
              </w:rPr>
              <w:t>1518 MHz</w:t>
            </w:r>
          </w:p>
        </w:tc>
      </w:tr>
      <w:tr w:rsidR="00E7502F" w:rsidRPr="0004037D" w14:paraId="684DFC44" w14:textId="77777777" w:rsidTr="00954C83">
        <w:tc>
          <w:tcPr>
            <w:tcW w:w="525" w:type="dxa"/>
            <w:tcBorders>
              <w:top w:val="single" w:sz="4" w:space="0" w:color="D2232A"/>
              <w:left w:val="single" w:sz="4" w:space="0" w:color="D2232A"/>
              <w:bottom w:val="single" w:sz="4" w:space="0" w:color="D2232A"/>
              <w:right w:val="single" w:sz="4" w:space="0" w:color="D2232A"/>
            </w:tcBorders>
            <w:vAlign w:val="center"/>
          </w:tcPr>
          <w:p w14:paraId="684DFC0B" w14:textId="77777777" w:rsidR="00E7502F" w:rsidRPr="0004037D" w:rsidRDefault="00E7502F" w:rsidP="00954C83">
            <w:pPr>
              <w:spacing w:line="288" w:lineRule="auto"/>
              <w:jc w:val="center"/>
              <w:rPr>
                <w:sz w:val="12"/>
                <w:lang w:val="en-GB"/>
              </w:rPr>
            </w:pPr>
            <w:r w:rsidRPr="0004037D">
              <w:rPr>
                <w:sz w:val="12"/>
                <w:lang w:val="en-GB"/>
              </w:rPr>
              <w:t>1427</w:t>
            </w:r>
          </w:p>
          <w:p w14:paraId="684DFC0C" w14:textId="77777777" w:rsidR="00E7502F" w:rsidRPr="0004037D" w:rsidRDefault="00E7502F" w:rsidP="00954C83">
            <w:pPr>
              <w:spacing w:line="288" w:lineRule="auto"/>
              <w:jc w:val="center"/>
              <w:rPr>
                <w:sz w:val="12"/>
                <w:lang w:val="en-GB"/>
              </w:rPr>
            </w:pPr>
            <w:r w:rsidRPr="0004037D">
              <w:rPr>
                <w:sz w:val="12"/>
                <w:lang w:val="en-GB"/>
              </w:rPr>
              <w:t>-</w:t>
            </w:r>
          </w:p>
          <w:p w14:paraId="684DFC0D" w14:textId="77777777" w:rsidR="00E7502F" w:rsidRPr="0004037D" w:rsidRDefault="00E7502F" w:rsidP="00954C83">
            <w:pPr>
              <w:spacing w:line="288" w:lineRule="auto"/>
              <w:jc w:val="center"/>
              <w:rPr>
                <w:lang w:val="en-GB"/>
              </w:rPr>
            </w:pPr>
            <w:r w:rsidRPr="0004037D">
              <w:rPr>
                <w:sz w:val="12"/>
                <w:lang w:val="en-GB"/>
              </w:rPr>
              <w:t>1432</w:t>
            </w:r>
            <w:r w:rsidRPr="0004037D">
              <w:rPr>
                <w:sz w:val="10"/>
                <w:lang w:val="en-GB"/>
              </w:rPr>
              <w:t>*</w:t>
            </w:r>
          </w:p>
        </w:tc>
        <w:tc>
          <w:tcPr>
            <w:tcW w:w="526" w:type="dxa"/>
            <w:tcBorders>
              <w:top w:val="single" w:sz="4" w:space="0" w:color="D2232A"/>
              <w:left w:val="single" w:sz="4" w:space="0" w:color="D2232A"/>
              <w:bottom w:val="single" w:sz="4" w:space="0" w:color="D2232A"/>
              <w:right w:val="single" w:sz="4" w:space="0" w:color="D2232A"/>
            </w:tcBorders>
            <w:vAlign w:val="center"/>
          </w:tcPr>
          <w:p w14:paraId="684DFC0E" w14:textId="77777777" w:rsidR="00E7502F" w:rsidRPr="0004037D" w:rsidRDefault="00E7502F" w:rsidP="00954C83">
            <w:pPr>
              <w:spacing w:line="288" w:lineRule="auto"/>
              <w:jc w:val="center"/>
              <w:rPr>
                <w:sz w:val="12"/>
                <w:lang w:val="en-GB"/>
              </w:rPr>
            </w:pPr>
            <w:r w:rsidRPr="0004037D">
              <w:rPr>
                <w:sz w:val="12"/>
                <w:lang w:val="en-GB"/>
              </w:rPr>
              <w:t>1432</w:t>
            </w:r>
          </w:p>
          <w:p w14:paraId="684DFC0F" w14:textId="77777777" w:rsidR="00E7502F" w:rsidRPr="0004037D" w:rsidRDefault="00E7502F" w:rsidP="00954C83">
            <w:pPr>
              <w:spacing w:line="288" w:lineRule="auto"/>
              <w:jc w:val="center"/>
              <w:rPr>
                <w:sz w:val="12"/>
                <w:lang w:val="en-GB"/>
              </w:rPr>
            </w:pPr>
            <w:r w:rsidRPr="0004037D">
              <w:rPr>
                <w:sz w:val="12"/>
                <w:lang w:val="en-GB"/>
              </w:rPr>
              <w:t>-</w:t>
            </w:r>
          </w:p>
          <w:p w14:paraId="684DFC10" w14:textId="77777777" w:rsidR="00E7502F" w:rsidRPr="0004037D" w:rsidRDefault="00E7502F" w:rsidP="00954C83">
            <w:pPr>
              <w:spacing w:line="288" w:lineRule="auto"/>
              <w:rPr>
                <w:lang w:val="en-GB"/>
              </w:rPr>
            </w:pPr>
            <w:r w:rsidRPr="0004037D">
              <w:rPr>
                <w:sz w:val="12"/>
                <w:lang w:val="en-GB"/>
              </w:rPr>
              <w:t>1437</w:t>
            </w:r>
          </w:p>
        </w:tc>
        <w:tc>
          <w:tcPr>
            <w:tcW w:w="526" w:type="dxa"/>
            <w:tcBorders>
              <w:top w:val="single" w:sz="4" w:space="0" w:color="D2232A"/>
              <w:left w:val="single" w:sz="4" w:space="0" w:color="D2232A"/>
              <w:bottom w:val="single" w:sz="4" w:space="0" w:color="D2232A"/>
              <w:right w:val="single" w:sz="4" w:space="0" w:color="D2232A"/>
            </w:tcBorders>
            <w:vAlign w:val="center"/>
          </w:tcPr>
          <w:p w14:paraId="684DFC11" w14:textId="77777777" w:rsidR="00E7502F" w:rsidRPr="0004037D" w:rsidRDefault="00E7502F" w:rsidP="00954C83">
            <w:pPr>
              <w:spacing w:line="288" w:lineRule="auto"/>
              <w:jc w:val="center"/>
              <w:rPr>
                <w:sz w:val="12"/>
                <w:lang w:val="en-GB"/>
              </w:rPr>
            </w:pPr>
            <w:r w:rsidRPr="0004037D">
              <w:rPr>
                <w:sz w:val="12"/>
                <w:lang w:val="en-GB"/>
              </w:rPr>
              <w:t>1437</w:t>
            </w:r>
          </w:p>
          <w:p w14:paraId="684DFC12" w14:textId="77777777" w:rsidR="00E7502F" w:rsidRPr="0004037D" w:rsidRDefault="00E7502F" w:rsidP="00954C83">
            <w:pPr>
              <w:spacing w:line="288" w:lineRule="auto"/>
              <w:jc w:val="center"/>
              <w:rPr>
                <w:sz w:val="12"/>
                <w:lang w:val="en-GB"/>
              </w:rPr>
            </w:pPr>
            <w:r w:rsidRPr="0004037D">
              <w:rPr>
                <w:sz w:val="12"/>
                <w:lang w:val="en-GB"/>
              </w:rPr>
              <w:t>-</w:t>
            </w:r>
          </w:p>
          <w:p w14:paraId="684DFC13" w14:textId="77777777" w:rsidR="00E7502F" w:rsidRPr="0004037D" w:rsidRDefault="00E7502F" w:rsidP="00954C83">
            <w:pPr>
              <w:spacing w:line="288" w:lineRule="auto"/>
              <w:rPr>
                <w:lang w:val="en-GB"/>
              </w:rPr>
            </w:pPr>
            <w:r w:rsidRPr="0004037D">
              <w:rPr>
                <w:sz w:val="12"/>
                <w:lang w:val="en-GB"/>
              </w:rPr>
              <w:t>1442</w:t>
            </w:r>
          </w:p>
        </w:tc>
        <w:tc>
          <w:tcPr>
            <w:tcW w:w="526" w:type="dxa"/>
            <w:tcBorders>
              <w:top w:val="single" w:sz="4" w:space="0" w:color="D2232A"/>
              <w:left w:val="single" w:sz="4" w:space="0" w:color="D2232A"/>
              <w:bottom w:val="single" w:sz="4" w:space="0" w:color="D2232A"/>
              <w:right w:val="single" w:sz="4" w:space="0" w:color="D2232A"/>
            </w:tcBorders>
          </w:tcPr>
          <w:p w14:paraId="684DFC14" w14:textId="77777777" w:rsidR="00E7502F" w:rsidRPr="0004037D" w:rsidRDefault="00E7502F" w:rsidP="00954C83">
            <w:pPr>
              <w:spacing w:line="288" w:lineRule="auto"/>
              <w:jc w:val="center"/>
              <w:rPr>
                <w:sz w:val="12"/>
                <w:lang w:val="en-GB"/>
              </w:rPr>
            </w:pPr>
            <w:r w:rsidRPr="0004037D">
              <w:rPr>
                <w:sz w:val="12"/>
                <w:lang w:val="en-GB"/>
              </w:rPr>
              <w:t>1442</w:t>
            </w:r>
          </w:p>
          <w:p w14:paraId="684DFC15" w14:textId="77777777" w:rsidR="00E7502F" w:rsidRPr="0004037D" w:rsidRDefault="00E7502F" w:rsidP="00954C83">
            <w:pPr>
              <w:spacing w:line="288" w:lineRule="auto"/>
              <w:jc w:val="center"/>
              <w:rPr>
                <w:sz w:val="12"/>
                <w:lang w:val="en-GB"/>
              </w:rPr>
            </w:pPr>
            <w:r w:rsidRPr="0004037D">
              <w:rPr>
                <w:sz w:val="12"/>
                <w:lang w:val="en-GB"/>
              </w:rPr>
              <w:t>-</w:t>
            </w:r>
          </w:p>
          <w:p w14:paraId="684DFC16" w14:textId="77777777" w:rsidR="00E7502F" w:rsidRPr="0004037D" w:rsidRDefault="00E7502F" w:rsidP="00954C83">
            <w:pPr>
              <w:spacing w:line="288" w:lineRule="auto"/>
              <w:rPr>
                <w:lang w:val="en-GB"/>
              </w:rPr>
            </w:pPr>
            <w:r w:rsidRPr="0004037D">
              <w:rPr>
                <w:sz w:val="12"/>
                <w:lang w:val="en-GB"/>
              </w:rPr>
              <w:t>1447</w:t>
            </w:r>
          </w:p>
        </w:tc>
        <w:tc>
          <w:tcPr>
            <w:tcW w:w="525" w:type="dxa"/>
            <w:tcBorders>
              <w:top w:val="single" w:sz="4" w:space="0" w:color="D2232A"/>
              <w:left w:val="single" w:sz="4" w:space="0" w:color="D2232A"/>
              <w:bottom w:val="single" w:sz="4" w:space="0" w:color="D2232A"/>
              <w:right w:val="single" w:sz="4" w:space="0" w:color="D2232A"/>
            </w:tcBorders>
          </w:tcPr>
          <w:p w14:paraId="684DFC17" w14:textId="77777777" w:rsidR="00E7502F" w:rsidRPr="0004037D" w:rsidRDefault="00E7502F" w:rsidP="00954C83">
            <w:pPr>
              <w:spacing w:line="288" w:lineRule="auto"/>
              <w:jc w:val="center"/>
              <w:rPr>
                <w:sz w:val="12"/>
                <w:lang w:val="en-GB"/>
              </w:rPr>
            </w:pPr>
            <w:r w:rsidRPr="0004037D">
              <w:rPr>
                <w:sz w:val="12"/>
                <w:lang w:val="en-GB"/>
              </w:rPr>
              <w:t>1447</w:t>
            </w:r>
          </w:p>
          <w:p w14:paraId="684DFC18" w14:textId="77777777" w:rsidR="00E7502F" w:rsidRPr="0004037D" w:rsidRDefault="00E7502F" w:rsidP="00954C83">
            <w:pPr>
              <w:spacing w:line="288" w:lineRule="auto"/>
              <w:jc w:val="center"/>
              <w:rPr>
                <w:sz w:val="12"/>
                <w:lang w:val="en-GB"/>
              </w:rPr>
            </w:pPr>
            <w:r w:rsidRPr="0004037D">
              <w:rPr>
                <w:sz w:val="12"/>
                <w:lang w:val="en-GB"/>
              </w:rPr>
              <w:t>-</w:t>
            </w:r>
          </w:p>
          <w:p w14:paraId="684DFC19" w14:textId="77777777" w:rsidR="00E7502F" w:rsidRPr="0004037D" w:rsidRDefault="00E7502F" w:rsidP="00954C83">
            <w:pPr>
              <w:spacing w:line="288" w:lineRule="auto"/>
              <w:rPr>
                <w:lang w:val="en-GB"/>
              </w:rPr>
            </w:pPr>
            <w:r w:rsidRPr="0004037D">
              <w:rPr>
                <w:sz w:val="12"/>
                <w:lang w:val="en-GB"/>
              </w:rPr>
              <w:t>1452</w:t>
            </w:r>
          </w:p>
        </w:tc>
        <w:tc>
          <w:tcPr>
            <w:tcW w:w="526" w:type="dxa"/>
            <w:tcBorders>
              <w:top w:val="single" w:sz="4" w:space="0" w:color="D2232A"/>
              <w:left w:val="single" w:sz="4" w:space="0" w:color="D2232A"/>
              <w:bottom w:val="single" w:sz="4" w:space="0" w:color="D2232A"/>
              <w:right w:val="single" w:sz="4" w:space="0" w:color="D2232A"/>
            </w:tcBorders>
          </w:tcPr>
          <w:p w14:paraId="684DFC1A" w14:textId="77777777" w:rsidR="00E7502F" w:rsidRPr="0004037D" w:rsidRDefault="00E7502F" w:rsidP="00954C83">
            <w:pPr>
              <w:spacing w:line="288" w:lineRule="auto"/>
              <w:jc w:val="center"/>
              <w:rPr>
                <w:sz w:val="12"/>
                <w:lang w:val="en-GB"/>
              </w:rPr>
            </w:pPr>
            <w:r w:rsidRPr="0004037D">
              <w:rPr>
                <w:sz w:val="12"/>
                <w:lang w:val="en-GB"/>
              </w:rPr>
              <w:t>1452</w:t>
            </w:r>
          </w:p>
          <w:p w14:paraId="684DFC1B" w14:textId="77777777" w:rsidR="00E7502F" w:rsidRPr="0004037D" w:rsidRDefault="00E7502F" w:rsidP="00954C83">
            <w:pPr>
              <w:spacing w:line="288" w:lineRule="auto"/>
              <w:jc w:val="center"/>
              <w:rPr>
                <w:sz w:val="12"/>
                <w:lang w:val="en-GB"/>
              </w:rPr>
            </w:pPr>
            <w:r w:rsidRPr="0004037D">
              <w:rPr>
                <w:sz w:val="12"/>
                <w:lang w:val="en-GB"/>
              </w:rPr>
              <w:t>-</w:t>
            </w:r>
          </w:p>
          <w:p w14:paraId="684DFC1C" w14:textId="77777777" w:rsidR="00E7502F" w:rsidRPr="0004037D" w:rsidRDefault="00E7502F" w:rsidP="00954C83">
            <w:pPr>
              <w:spacing w:line="288" w:lineRule="auto"/>
              <w:rPr>
                <w:lang w:val="en-GB"/>
              </w:rPr>
            </w:pPr>
            <w:r w:rsidRPr="0004037D">
              <w:rPr>
                <w:sz w:val="12"/>
                <w:lang w:val="en-GB"/>
              </w:rPr>
              <w:t>1457</w:t>
            </w:r>
          </w:p>
        </w:tc>
        <w:tc>
          <w:tcPr>
            <w:tcW w:w="526" w:type="dxa"/>
            <w:tcBorders>
              <w:top w:val="single" w:sz="4" w:space="0" w:color="D2232A"/>
              <w:left w:val="single" w:sz="4" w:space="0" w:color="D2232A"/>
              <w:bottom w:val="single" w:sz="4" w:space="0" w:color="D2232A"/>
              <w:right w:val="single" w:sz="4" w:space="0" w:color="D2232A"/>
            </w:tcBorders>
          </w:tcPr>
          <w:p w14:paraId="684DFC1D" w14:textId="77777777" w:rsidR="00E7502F" w:rsidRPr="0004037D" w:rsidRDefault="00E7502F" w:rsidP="00954C83">
            <w:pPr>
              <w:spacing w:line="288" w:lineRule="auto"/>
              <w:jc w:val="center"/>
              <w:rPr>
                <w:sz w:val="12"/>
                <w:lang w:val="en-GB"/>
              </w:rPr>
            </w:pPr>
            <w:r w:rsidRPr="0004037D">
              <w:rPr>
                <w:sz w:val="12"/>
                <w:lang w:val="en-GB"/>
              </w:rPr>
              <w:t>1457</w:t>
            </w:r>
          </w:p>
          <w:p w14:paraId="684DFC1E" w14:textId="77777777" w:rsidR="00E7502F" w:rsidRPr="0004037D" w:rsidRDefault="00E7502F" w:rsidP="00954C83">
            <w:pPr>
              <w:spacing w:line="288" w:lineRule="auto"/>
              <w:jc w:val="center"/>
              <w:rPr>
                <w:sz w:val="12"/>
                <w:lang w:val="en-GB"/>
              </w:rPr>
            </w:pPr>
            <w:r w:rsidRPr="0004037D">
              <w:rPr>
                <w:sz w:val="12"/>
                <w:lang w:val="en-GB"/>
              </w:rPr>
              <w:t>-</w:t>
            </w:r>
          </w:p>
          <w:p w14:paraId="684DFC1F" w14:textId="77777777" w:rsidR="00E7502F" w:rsidRPr="0004037D" w:rsidRDefault="00E7502F" w:rsidP="00954C83">
            <w:pPr>
              <w:spacing w:line="288" w:lineRule="auto"/>
              <w:rPr>
                <w:lang w:val="en-GB"/>
              </w:rPr>
            </w:pPr>
            <w:r w:rsidRPr="0004037D">
              <w:rPr>
                <w:sz w:val="12"/>
                <w:lang w:val="en-GB"/>
              </w:rPr>
              <w:t>1462</w:t>
            </w:r>
          </w:p>
        </w:tc>
        <w:tc>
          <w:tcPr>
            <w:tcW w:w="526" w:type="dxa"/>
            <w:tcBorders>
              <w:top w:val="single" w:sz="4" w:space="0" w:color="D2232A"/>
              <w:left w:val="single" w:sz="4" w:space="0" w:color="D2232A"/>
              <w:bottom w:val="single" w:sz="4" w:space="0" w:color="D2232A"/>
              <w:right w:val="single" w:sz="4" w:space="0" w:color="D2232A"/>
            </w:tcBorders>
          </w:tcPr>
          <w:p w14:paraId="684DFC20" w14:textId="77777777" w:rsidR="00E7502F" w:rsidRPr="0004037D" w:rsidRDefault="00E7502F" w:rsidP="00954C83">
            <w:pPr>
              <w:spacing w:line="288" w:lineRule="auto"/>
              <w:jc w:val="center"/>
              <w:rPr>
                <w:sz w:val="12"/>
                <w:lang w:val="en-GB"/>
              </w:rPr>
            </w:pPr>
            <w:r w:rsidRPr="0004037D">
              <w:rPr>
                <w:sz w:val="12"/>
                <w:lang w:val="en-GB"/>
              </w:rPr>
              <w:t>1462</w:t>
            </w:r>
          </w:p>
          <w:p w14:paraId="684DFC21" w14:textId="77777777" w:rsidR="00E7502F" w:rsidRPr="0004037D" w:rsidRDefault="00E7502F" w:rsidP="00954C83">
            <w:pPr>
              <w:spacing w:line="288" w:lineRule="auto"/>
              <w:jc w:val="center"/>
              <w:rPr>
                <w:sz w:val="12"/>
                <w:lang w:val="en-GB"/>
              </w:rPr>
            </w:pPr>
            <w:r w:rsidRPr="0004037D">
              <w:rPr>
                <w:sz w:val="12"/>
                <w:lang w:val="en-GB"/>
              </w:rPr>
              <w:t>-</w:t>
            </w:r>
          </w:p>
          <w:p w14:paraId="684DFC22" w14:textId="77777777" w:rsidR="00E7502F" w:rsidRPr="0004037D" w:rsidRDefault="00E7502F" w:rsidP="00954C83">
            <w:pPr>
              <w:spacing w:line="288" w:lineRule="auto"/>
              <w:rPr>
                <w:lang w:val="en-GB"/>
              </w:rPr>
            </w:pPr>
            <w:r w:rsidRPr="0004037D">
              <w:rPr>
                <w:sz w:val="12"/>
                <w:lang w:val="en-GB"/>
              </w:rPr>
              <w:t>1467</w:t>
            </w:r>
          </w:p>
        </w:tc>
        <w:tc>
          <w:tcPr>
            <w:tcW w:w="526" w:type="dxa"/>
            <w:tcBorders>
              <w:top w:val="single" w:sz="4" w:space="0" w:color="D2232A"/>
              <w:left w:val="single" w:sz="4" w:space="0" w:color="D2232A"/>
              <w:bottom w:val="single" w:sz="4" w:space="0" w:color="D2232A"/>
              <w:right w:val="single" w:sz="4" w:space="0" w:color="D2232A"/>
            </w:tcBorders>
          </w:tcPr>
          <w:p w14:paraId="684DFC23" w14:textId="77777777" w:rsidR="00E7502F" w:rsidRPr="0004037D" w:rsidRDefault="00E7502F" w:rsidP="00954C83">
            <w:pPr>
              <w:spacing w:line="288" w:lineRule="auto"/>
              <w:jc w:val="center"/>
              <w:rPr>
                <w:sz w:val="12"/>
                <w:lang w:val="en-GB"/>
              </w:rPr>
            </w:pPr>
            <w:r w:rsidRPr="0004037D">
              <w:rPr>
                <w:sz w:val="12"/>
                <w:lang w:val="en-GB"/>
              </w:rPr>
              <w:t>1467</w:t>
            </w:r>
          </w:p>
          <w:p w14:paraId="684DFC24" w14:textId="77777777" w:rsidR="00E7502F" w:rsidRPr="0004037D" w:rsidRDefault="00E7502F" w:rsidP="00954C83">
            <w:pPr>
              <w:spacing w:line="288" w:lineRule="auto"/>
              <w:jc w:val="center"/>
              <w:rPr>
                <w:sz w:val="12"/>
                <w:lang w:val="en-GB"/>
              </w:rPr>
            </w:pPr>
            <w:r w:rsidRPr="0004037D">
              <w:rPr>
                <w:sz w:val="12"/>
                <w:lang w:val="en-GB"/>
              </w:rPr>
              <w:t>-</w:t>
            </w:r>
          </w:p>
          <w:p w14:paraId="684DFC25" w14:textId="77777777" w:rsidR="00E7502F" w:rsidRPr="0004037D" w:rsidRDefault="00E7502F" w:rsidP="00954C83">
            <w:pPr>
              <w:spacing w:line="288" w:lineRule="auto"/>
              <w:rPr>
                <w:lang w:val="en-GB"/>
              </w:rPr>
            </w:pPr>
            <w:r w:rsidRPr="0004037D">
              <w:rPr>
                <w:sz w:val="12"/>
                <w:lang w:val="en-GB"/>
              </w:rPr>
              <w:t>1472</w:t>
            </w:r>
          </w:p>
        </w:tc>
        <w:tc>
          <w:tcPr>
            <w:tcW w:w="525" w:type="dxa"/>
            <w:tcBorders>
              <w:top w:val="single" w:sz="4" w:space="0" w:color="D2232A"/>
              <w:left w:val="single" w:sz="4" w:space="0" w:color="D2232A"/>
              <w:bottom w:val="single" w:sz="4" w:space="0" w:color="D2232A"/>
              <w:right w:val="single" w:sz="4" w:space="0" w:color="D2232A"/>
            </w:tcBorders>
          </w:tcPr>
          <w:p w14:paraId="684DFC26" w14:textId="77777777" w:rsidR="00E7502F" w:rsidRPr="0004037D" w:rsidRDefault="00E7502F" w:rsidP="00954C83">
            <w:pPr>
              <w:spacing w:line="288" w:lineRule="auto"/>
              <w:jc w:val="center"/>
              <w:rPr>
                <w:sz w:val="12"/>
                <w:lang w:val="en-GB"/>
              </w:rPr>
            </w:pPr>
            <w:r w:rsidRPr="0004037D">
              <w:rPr>
                <w:sz w:val="12"/>
                <w:lang w:val="en-GB"/>
              </w:rPr>
              <w:t>1472</w:t>
            </w:r>
          </w:p>
          <w:p w14:paraId="684DFC27" w14:textId="77777777" w:rsidR="00E7502F" w:rsidRPr="0004037D" w:rsidRDefault="00E7502F" w:rsidP="00954C83">
            <w:pPr>
              <w:spacing w:line="288" w:lineRule="auto"/>
              <w:jc w:val="center"/>
              <w:rPr>
                <w:sz w:val="12"/>
                <w:lang w:val="en-GB"/>
              </w:rPr>
            </w:pPr>
            <w:r w:rsidRPr="0004037D">
              <w:rPr>
                <w:sz w:val="12"/>
                <w:lang w:val="en-GB"/>
              </w:rPr>
              <w:t>-</w:t>
            </w:r>
          </w:p>
          <w:p w14:paraId="684DFC28" w14:textId="77777777" w:rsidR="00E7502F" w:rsidRPr="0004037D" w:rsidRDefault="00E7502F" w:rsidP="00954C83">
            <w:pPr>
              <w:spacing w:line="288" w:lineRule="auto"/>
              <w:rPr>
                <w:lang w:val="en-GB"/>
              </w:rPr>
            </w:pPr>
            <w:r w:rsidRPr="0004037D">
              <w:rPr>
                <w:sz w:val="12"/>
                <w:lang w:val="en-GB"/>
              </w:rPr>
              <w:t>1477</w:t>
            </w:r>
          </w:p>
        </w:tc>
        <w:tc>
          <w:tcPr>
            <w:tcW w:w="526" w:type="dxa"/>
            <w:tcBorders>
              <w:top w:val="single" w:sz="4" w:space="0" w:color="D2232A"/>
              <w:left w:val="single" w:sz="4" w:space="0" w:color="D2232A"/>
              <w:bottom w:val="single" w:sz="4" w:space="0" w:color="D2232A"/>
              <w:right w:val="single" w:sz="4" w:space="0" w:color="D2232A"/>
            </w:tcBorders>
          </w:tcPr>
          <w:p w14:paraId="684DFC29" w14:textId="77777777" w:rsidR="00E7502F" w:rsidRPr="0004037D" w:rsidRDefault="00E7502F" w:rsidP="00954C83">
            <w:pPr>
              <w:spacing w:line="288" w:lineRule="auto"/>
              <w:jc w:val="center"/>
              <w:rPr>
                <w:sz w:val="12"/>
                <w:lang w:val="en-GB"/>
              </w:rPr>
            </w:pPr>
            <w:r w:rsidRPr="0004037D">
              <w:rPr>
                <w:sz w:val="12"/>
                <w:lang w:val="en-GB"/>
              </w:rPr>
              <w:t>1477</w:t>
            </w:r>
          </w:p>
          <w:p w14:paraId="684DFC2A" w14:textId="77777777" w:rsidR="00E7502F" w:rsidRPr="0004037D" w:rsidRDefault="00E7502F" w:rsidP="00954C83">
            <w:pPr>
              <w:spacing w:line="288" w:lineRule="auto"/>
              <w:jc w:val="center"/>
              <w:rPr>
                <w:sz w:val="12"/>
                <w:lang w:val="en-GB"/>
              </w:rPr>
            </w:pPr>
            <w:r w:rsidRPr="0004037D">
              <w:rPr>
                <w:sz w:val="12"/>
                <w:lang w:val="en-GB"/>
              </w:rPr>
              <w:t>-</w:t>
            </w:r>
          </w:p>
          <w:p w14:paraId="684DFC2B" w14:textId="77777777" w:rsidR="00E7502F" w:rsidRPr="0004037D" w:rsidRDefault="00E7502F" w:rsidP="00954C83">
            <w:pPr>
              <w:spacing w:line="288" w:lineRule="auto"/>
              <w:rPr>
                <w:lang w:val="en-GB"/>
              </w:rPr>
            </w:pPr>
            <w:r w:rsidRPr="0004037D">
              <w:rPr>
                <w:sz w:val="12"/>
                <w:lang w:val="en-GB"/>
              </w:rPr>
              <w:t>1482</w:t>
            </w:r>
          </w:p>
        </w:tc>
        <w:tc>
          <w:tcPr>
            <w:tcW w:w="526" w:type="dxa"/>
            <w:tcBorders>
              <w:top w:val="single" w:sz="4" w:space="0" w:color="D2232A"/>
              <w:left w:val="single" w:sz="4" w:space="0" w:color="D2232A"/>
              <w:bottom w:val="single" w:sz="4" w:space="0" w:color="D2232A"/>
              <w:right w:val="single" w:sz="4" w:space="0" w:color="D2232A"/>
            </w:tcBorders>
          </w:tcPr>
          <w:p w14:paraId="684DFC2C" w14:textId="77777777" w:rsidR="00E7502F" w:rsidRPr="0004037D" w:rsidRDefault="00E7502F" w:rsidP="00954C83">
            <w:pPr>
              <w:spacing w:line="288" w:lineRule="auto"/>
              <w:jc w:val="center"/>
              <w:rPr>
                <w:sz w:val="12"/>
                <w:lang w:val="en-GB"/>
              </w:rPr>
            </w:pPr>
            <w:r w:rsidRPr="0004037D">
              <w:rPr>
                <w:sz w:val="12"/>
                <w:lang w:val="en-GB"/>
              </w:rPr>
              <w:t>1482</w:t>
            </w:r>
          </w:p>
          <w:p w14:paraId="684DFC2D" w14:textId="77777777" w:rsidR="00E7502F" w:rsidRPr="0004037D" w:rsidRDefault="00E7502F" w:rsidP="00954C83">
            <w:pPr>
              <w:spacing w:line="288" w:lineRule="auto"/>
              <w:jc w:val="center"/>
              <w:rPr>
                <w:sz w:val="12"/>
                <w:lang w:val="en-GB"/>
              </w:rPr>
            </w:pPr>
            <w:r w:rsidRPr="0004037D">
              <w:rPr>
                <w:sz w:val="12"/>
                <w:lang w:val="en-GB"/>
              </w:rPr>
              <w:t>-</w:t>
            </w:r>
          </w:p>
          <w:p w14:paraId="684DFC2E" w14:textId="77777777" w:rsidR="00E7502F" w:rsidRPr="0004037D" w:rsidRDefault="00E7502F" w:rsidP="00954C83">
            <w:pPr>
              <w:spacing w:line="288" w:lineRule="auto"/>
              <w:rPr>
                <w:lang w:val="en-GB"/>
              </w:rPr>
            </w:pPr>
            <w:r w:rsidRPr="0004037D">
              <w:rPr>
                <w:sz w:val="12"/>
                <w:lang w:val="en-GB"/>
              </w:rPr>
              <w:t>1487</w:t>
            </w:r>
          </w:p>
        </w:tc>
        <w:tc>
          <w:tcPr>
            <w:tcW w:w="526" w:type="dxa"/>
            <w:tcBorders>
              <w:top w:val="single" w:sz="4" w:space="0" w:color="D2232A"/>
              <w:left w:val="single" w:sz="4" w:space="0" w:color="D2232A"/>
              <w:bottom w:val="single" w:sz="4" w:space="0" w:color="D2232A"/>
              <w:right w:val="single" w:sz="4" w:space="0" w:color="D2232A"/>
            </w:tcBorders>
          </w:tcPr>
          <w:p w14:paraId="684DFC2F" w14:textId="77777777" w:rsidR="00E7502F" w:rsidRPr="0004037D" w:rsidRDefault="00E7502F" w:rsidP="00954C83">
            <w:pPr>
              <w:spacing w:line="288" w:lineRule="auto"/>
              <w:jc w:val="center"/>
              <w:rPr>
                <w:sz w:val="12"/>
                <w:lang w:val="en-GB"/>
              </w:rPr>
            </w:pPr>
            <w:r w:rsidRPr="0004037D">
              <w:rPr>
                <w:sz w:val="12"/>
                <w:lang w:val="en-GB"/>
              </w:rPr>
              <w:t>1487</w:t>
            </w:r>
          </w:p>
          <w:p w14:paraId="684DFC30" w14:textId="77777777" w:rsidR="00E7502F" w:rsidRPr="0004037D" w:rsidRDefault="00E7502F" w:rsidP="00954C83">
            <w:pPr>
              <w:spacing w:line="288" w:lineRule="auto"/>
              <w:jc w:val="center"/>
              <w:rPr>
                <w:sz w:val="12"/>
                <w:lang w:val="en-GB"/>
              </w:rPr>
            </w:pPr>
            <w:r w:rsidRPr="0004037D">
              <w:rPr>
                <w:sz w:val="12"/>
                <w:lang w:val="en-GB"/>
              </w:rPr>
              <w:t>-</w:t>
            </w:r>
          </w:p>
          <w:p w14:paraId="684DFC31" w14:textId="77777777" w:rsidR="00E7502F" w:rsidRPr="0004037D" w:rsidRDefault="00E7502F" w:rsidP="00954C83">
            <w:pPr>
              <w:spacing w:line="288" w:lineRule="auto"/>
              <w:rPr>
                <w:lang w:val="en-GB"/>
              </w:rPr>
            </w:pPr>
            <w:r w:rsidRPr="0004037D">
              <w:rPr>
                <w:sz w:val="12"/>
                <w:lang w:val="en-GB"/>
              </w:rPr>
              <w:t>1492</w:t>
            </w:r>
          </w:p>
        </w:tc>
        <w:tc>
          <w:tcPr>
            <w:tcW w:w="525" w:type="dxa"/>
            <w:tcBorders>
              <w:top w:val="single" w:sz="4" w:space="0" w:color="D2232A"/>
              <w:left w:val="single" w:sz="4" w:space="0" w:color="D2232A"/>
              <w:bottom w:val="single" w:sz="4" w:space="0" w:color="D2232A"/>
              <w:right w:val="single" w:sz="4" w:space="0" w:color="D2232A"/>
            </w:tcBorders>
          </w:tcPr>
          <w:p w14:paraId="684DFC32" w14:textId="77777777" w:rsidR="00E7502F" w:rsidRPr="0004037D" w:rsidRDefault="00E7502F" w:rsidP="00954C83">
            <w:pPr>
              <w:spacing w:line="288" w:lineRule="auto"/>
              <w:jc w:val="center"/>
              <w:rPr>
                <w:sz w:val="12"/>
                <w:lang w:val="en-GB"/>
              </w:rPr>
            </w:pPr>
            <w:r w:rsidRPr="0004037D">
              <w:rPr>
                <w:sz w:val="12"/>
                <w:lang w:val="en-GB"/>
              </w:rPr>
              <w:t>1492</w:t>
            </w:r>
          </w:p>
          <w:p w14:paraId="684DFC33" w14:textId="77777777" w:rsidR="00E7502F" w:rsidRPr="0004037D" w:rsidRDefault="00E7502F" w:rsidP="00954C83">
            <w:pPr>
              <w:spacing w:line="288" w:lineRule="auto"/>
              <w:jc w:val="center"/>
              <w:rPr>
                <w:sz w:val="12"/>
                <w:lang w:val="en-GB"/>
              </w:rPr>
            </w:pPr>
            <w:r w:rsidRPr="0004037D">
              <w:rPr>
                <w:sz w:val="12"/>
                <w:lang w:val="en-GB"/>
              </w:rPr>
              <w:t>-</w:t>
            </w:r>
          </w:p>
          <w:p w14:paraId="684DFC34" w14:textId="77777777" w:rsidR="00E7502F" w:rsidRPr="0004037D" w:rsidRDefault="00E7502F" w:rsidP="00954C83">
            <w:pPr>
              <w:spacing w:line="288" w:lineRule="auto"/>
              <w:rPr>
                <w:lang w:val="en-GB"/>
              </w:rPr>
            </w:pPr>
            <w:r w:rsidRPr="0004037D">
              <w:rPr>
                <w:sz w:val="12"/>
                <w:lang w:val="en-GB"/>
              </w:rPr>
              <w:t>1497</w:t>
            </w:r>
          </w:p>
        </w:tc>
        <w:tc>
          <w:tcPr>
            <w:tcW w:w="526" w:type="dxa"/>
            <w:tcBorders>
              <w:top w:val="single" w:sz="4" w:space="0" w:color="D2232A"/>
              <w:left w:val="single" w:sz="4" w:space="0" w:color="D2232A"/>
              <w:bottom w:val="single" w:sz="4" w:space="0" w:color="D2232A"/>
              <w:right w:val="single" w:sz="4" w:space="0" w:color="D2232A"/>
            </w:tcBorders>
          </w:tcPr>
          <w:p w14:paraId="684DFC35" w14:textId="77777777" w:rsidR="00E7502F" w:rsidRPr="0004037D" w:rsidRDefault="00E7502F" w:rsidP="00954C83">
            <w:pPr>
              <w:spacing w:line="288" w:lineRule="auto"/>
              <w:jc w:val="center"/>
              <w:rPr>
                <w:sz w:val="12"/>
                <w:lang w:val="en-GB"/>
              </w:rPr>
            </w:pPr>
            <w:r w:rsidRPr="0004037D">
              <w:rPr>
                <w:sz w:val="12"/>
                <w:lang w:val="en-GB"/>
              </w:rPr>
              <w:t>1497</w:t>
            </w:r>
          </w:p>
          <w:p w14:paraId="684DFC36" w14:textId="77777777" w:rsidR="00E7502F" w:rsidRPr="0004037D" w:rsidRDefault="00E7502F" w:rsidP="00954C83">
            <w:pPr>
              <w:spacing w:line="288" w:lineRule="auto"/>
              <w:jc w:val="center"/>
              <w:rPr>
                <w:sz w:val="12"/>
                <w:lang w:val="en-GB"/>
              </w:rPr>
            </w:pPr>
            <w:r w:rsidRPr="0004037D">
              <w:rPr>
                <w:sz w:val="12"/>
                <w:lang w:val="en-GB"/>
              </w:rPr>
              <w:t>-</w:t>
            </w:r>
          </w:p>
          <w:p w14:paraId="684DFC37" w14:textId="77777777" w:rsidR="00E7502F" w:rsidRPr="0004037D" w:rsidRDefault="00E7502F" w:rsidP="00954C83">
            <w:pPr>
              <w:spacing w:line="288" w:lineRule="auto"/>
              <w:rPr>
                <w:lang w:val="en-GB"/>
              </w:rPr>
            </w:pPr>
            <w:r w:rsidRPr="0004037D">
              <w:rPr>
                <w:sz w:val="12"/>
                <w:lang w:val="en-GB"/>
              </w:rPr>
              <w:t>1502</w:t>
            </w:r>
          </w:p>
        </w:tc>
        <w:tc>
          <w:tcPr>
            <w:tcW w:w="526" w:type="dxa"/>
            <w:tcBorders>
              <w:top w:val="single" w:sz="4" w:space="0" w:color="D2232A"/>
              <w:left w:val="single" w:sz="4" w:space="0" w:color="D2232A"/>
              <w:bottom w:val="single" w:sz="4" w:space="0" w:color="D2232A"/>
              <w:right w:val="single" w:sz="4" w:space="0" w:color="D2232A"/>
            </w:tcBorders>
          </w:tcPr>
          <w:p w14:paraId="684DFC38" w14:textId="77777777" w:rsidR="00E7502F" w:rsidRPr="0004037D" w:rsidRDefault="00E7502F" w:rsidP="00954C83">
            <w:pPr>
              <w:spacing w:line="288" w:lineRule="auto"/>
              <w:jc w:val="center"/>
              <w:rPr>
                <w:sz w:val="12"/>
                <w:lang w:val="en-GB"/>
              </w:rPr>
            </w:pPr>
            <w:r w:rsidRPr="0004037D">
              <w:rPr>
                <w:sz w:val="12"/>
                <w:lang w:val="en-GB"/>
              </w:rPr>
              <w:t>1502</w:t>
            </w:r>
          </w:p>
          <w:p w14:paraId="684DFC39" w14:textId="77777777" w:rsidR="00E7502F" w:rsidRPr="0004037D" w:rsidRDefault="00E7502F" w:rsidP="00954C83">
            <w:pPr>
              <w:spacing w:line="288" w:lineRule="auto"/>
              <w:jc w:val="center"/>
              <w:rPr>
                <w:sz w:val="12"/>
                <w:lang w:val="en-GB"/>
              </w:rPr>
            </w:pPr>
            <w:r w:rsidRPr="0004037D">
              <w:rPr>
                <w:sz w:val="12"/>
                <w:lang w:val="en-GB"/>
              </w:rPr>
              <w:t>-</w:t>
            </w:r>
          </w:p>
          <w:p w14:paraId="684DFC3A" w14:textId="77777777" w:rsidR="00E7502F" w:rsidRPr="0004037D" w:rsidRDefault="00E7502F" w:rsidP="00954C83">
            <w:pPr>
              <w:spacing w:line="288" w:lineRule="auto"/>
              <w:rPr>
                <w:lang w:val="en-GB"/>
              </w:rPr>
            </w:pPr>
            <w:r w:rsidRPr="0004037D">
              <w:rPr>
                <w:sz w:val="12"/>
                <w:lang w:val="en-GB"/>
              </w:rPr>
              <w:t>1507</w:t>
            </w:r>
          </w:p>
        </w:tc>
        <w:tc>
          <w:tcPr>
            <w:tcW w:w="519" w:type="dxa"/>
            <w:tcBorders>
              <w:top w:val="single" w:sz="4" w:space="0" w:color="D2232A"/>
              <w:left w:val="single" w:sz="4" w:space="0" w:color="D2232A"/>
              <w:bottom w:val="single" w:sz="4" w:space="0" w:color="D2232A"/>
              <w:right w:val="single" w:sz="4" w:space="0" w:color="D2232A"/>
            </w:tcBorders>
          </w:tcPr>
          <w:p w14:paraId="684DFC3B" w14:textId="77777777" w:rsidR="00E7502F" w:rsidRPr="0004037D" w:rsidRDefault="00E7502F" w:rsidP="00954C83">
            <w:pPr>
              <w:spacing w:line="288" w:lineRule="auto"/>
              <w:jc w:val="center"/>
              <w:rPr>
                <w:sz w:val="12"/>
                <w:lang w:val="en-GB"/>
              </w:rPr>
            </w:pPr>
            <w:r w:rsidRPr="0004037D">
              <w:rPr>
                <w:sz w:val="12"/>
                <w:lang w:val="en-GB"/>
              </w:rPr>
              <w:t>1507</w:t>
            </w:r>
          </w:p>
          <w:p w14:paraId="684DFC3C" w14:textId="77777777" w:rsidR="00E7502F" w:rsidRPr="0004037D" w:rsidRDefault="00E7502F" w:rsidP="00954C83">
            <w:pPr>
              <w:spacing w:line="288" w:lineRule="auto"/>
              <w:jc w:val="center"/>
              <w:rPr>
                <w:sz w:val="12"/>
                <w:lang w:val="en-GB"/>
              </w:rPr>
            </w:pPr>
            <w:r w:rsidRPr="0004037D">
              <w:rPr>
                <w:sz w:val="12"/>
                <w:lang w:val="en-GB"/>
              </w:rPr>
              <w:t>-</w:t>
            </w:r>
          </w:p>
          <w:p w14:paraId="684DFC3D" w14:textId="77777777" w:rsidR="00E7502F" w:rsidRPr="0004037D" w:rsidRDefault="00E7502F" w:rsidP="00954C83">
            <w:pPr>
              <w:spacing w:line="288" w:lineRule="auto"/>
              <w:rPr>
                <w:lang w:val="en-GB"/>
              </w:rPr>
            </w:pPr>
            <w:r w:rsidRPr="0004037D">
              <w:rPr>
                <w:sz w:val="12"/>
                <w:lang w:val="en-GB"/>
              </w:rPr>
              <w:t>1512</w:t>
            </w:r>
          </w:p>
        </w:tc>
        <w:tc>
          <w:tcPr>
            <w:tcW w:w="567" w:type="dxa"/>
            <w:tcBorders>
              <w:top w:val="single" w:sz="4" w:space="0" w:color="D2232A"/>
              <w:left w:val="single" w:sz="4" w:space="0" w:color="D2232A"/>
              <w:bottom w:val="single" w:sz="4" w:space="0" w:color="D2232A"/>
              <w:right w:val="single" w:sz="4" w:space="0" w:color="D2232A"/>
            </w:tcBorders>
          </w:tcPr>
          <w:p w14:paraId="684DFC3E" w14:textId="77777777" w:rsidR="00E7502F" w:rsidRPr="0004037D" w:rsidRDefault="00E7502F" w:rsidP="00954C83">
            <w:pPr>
              <w:spacing w:line="288" w:lineRule="auto"/>
              <w:jc w:val="center"/>
              <w:rPr>
                <w:sz w:val="12"/>
                <w:lang w:val="en-GB"/>
              </w:rPr>
            </w:pPr>
            <w:r w:rsidRPr="0004037D">
              <w:rPr>
                <w:sz w:val="12"/>
                <w:lang w:val="en-GB"/>
              </w:rPr>
              <w:t>1512</w:t>
            </w:r>
          </w:p>
          <w:p w14:paraId="684DFC3F" w14:textId="77777777" w:rsidR="00E7502F" w:rsidRPr="0004037D" w:rsidRDefault="00E7502F" w:rsidP="00954C83">
            <w:pPr>
              <w:spacing w:line="288" w:lineRule="auto"/>
              <w:jc w:val="center"/>
              <w:rPr>
                <w:sz w:val="12"/>
                <w:lang w:val="en-GB"/>
              </w:rPr>
            </w:pPr>
            <w:r w:rsidRPr="0004037D">
              <w:rPr>
                <w:sz w:val="12"/>
                <w:lang w:val="en-GB"/>
              </w:rPr>
              <w:t>-</w:t>
            </w:r>
          </w:p>
          <w:p w14:paraId="684DFC40" w14:textId="77777777" w:rsidR="00E7502F" w:rsidRPr="0004037D" w:rsidRDefault="00E7502F" w:rsidP="00954C83">
            <w:pPr>
              <w:spacing w:line="288" w:lineRule="auto"/>
              <w:rPr>
                <w:lang w:val="en-GB"/>
              </w:rPr>
            </w:pPr>
            <w:r w:rsidRPr="0004037D">
              <w:rPr>
                <w:sz w:val="12"/>
                <w:lang w:val="en-GB"/>
              </w:rPr>
              <w:t>1517</w:t>
            </w:r>
            <w:r w:rsidRPr="0004037D">
              <w:rPr>
                <w:sz w:val="10"/>
                <w:lang w:val="en-GB"/>
              </w:rPr>
              <w:t>**</w:t>
            </w:r>
          </w:p>
        </w:tc>
        <w:tc>
          <w:tcPr>
            <w:tcW w:w="567" w:type="dxa"/>
            <w:tcBorders>
              <w:top w:val="single" w:sz="4" w:space="0" w:color="D2232A"/>
              <w:left w:val="single" w:sz="4" w:space="0" w:color="D2232A"/>
              <w:bottom w:val="single" w:sz="4" w:space="0" w:color="D2232A"/>
              <w:right w:val="single" w:sz="4" w:space="0" w:color="D2232A"/>
            </w:tcBorders>
          </w:tcPr>
          <w:p w14:paraId="684DFC41" w14:textId="77777777" w:rsidR="00E7502F" w:rsidRPr="0004037D" w:rsidRDefault="00E7502F" w:rsidP="00954C83">
            <w:pPr>
              <w:spacing w:line="288" w:lineRule="auto"/>
              <w:jc w:val="center"/>
              <w:rPr>
                <w:sz w:val="12"/>
                <w:lang w:val="en-GB"/>
              </w:rPr>
            </w:pPr>
            <w:r w:rsidRPr="0004037D">
              <w:rPr>
                <w:sz w:val="12"/>
                <w:lang w:val="en-GB"/>
              </w:rPr>
              <w:t>1517</w:t>
            </w:r>
          </w:p>
          <w:p w14:paraId="684DFC42" w14:textId="77777777" w:rsidR="00E7502F" w:rsidRPr="0004037D" w:rsidRDefault="00E7502F" w:rsidP="00954C83">
            <w:pPr>
              <w:spacing w:line="288" w:lineRule="auto"/>
              <w:jc w:val="center"/>
              <w:rPr>
                <w:sz w:val="12"/>
                <w:lang w:val="en-GB"/>
              </w:rPr>
            </w:pPr>
            <w:r w:rsidRPr="0004037D">
              <w:rPr>
                <w:sz w:val="12"/>
                <w:lang w:val="en-GB"/>
              </w:rPr>
              <w:t>-</w:t>
            </w:r>
          </w:p>
          <w:p w14:paraId="684DFC43" w14:textId="77777777" w:rsidR="00E7502F" w:rsidRPr="0004037D" w:rsidRDefault="00E7502F" w:rsidP="00954C83">
            <w:pPr>
              <w:spacing w:line="288" w:lineRule="auto"/>
              <w:jc w:val="center"/>
              <w:rPr>
                <w:sz w:val="12"/>
                <w:lang w:val="en-GB"/>
              </w:rPr>
            </w:pPr>
            <w:r w:rsidRPr="0004037D">
              <w:rPr>
                <w:sz w:val="12"/>
                <w:lang w:val="en-GB"/>
              </w:rPr>
              <w:t>1518</w:t>
            </w:r>
          </w:p>
        </w:tc>
      </w:tr>
      <w:tr w:rsidR="00E7502F" w:rsidRPr="0004037D" w14:paraId="684DFC47" w14:textId="77777777" w:rsidTr="00954C83">
        <w:trPr>
          <w:tblHeader/>
        </w:trPr>
        <w:tc>
          <w:tcPr>
            <w:tcW w:w="9498" w:type="dxa"/>
            <w:gridSpan w:val="18"/>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684DFC45" w14:textId="77777777" w:rsidR="00E7502F" w:rsidRPr="0004037D" w:rsidRDefault="00E7502F" w:rsidP="00954C83">
            <w:pPr>
              <w:spacing w:line="288" w:lineRule="auto"/>
              <w:jc w:val="center"/>
              <w:rPr>
                <w:b/>
                <w:color w:val="FFFFFF"/>
                <w:lang w:val="en-GB"/>
              </w:rPr>
            </w:pPr>
            <w:r w:rsidRPr="0004037D">
              <w:rPr>
                <w:b/>
                <w:color w:val="FFFFFF"/>
                <w:lang w:val="en-GB"/>
              </w:rPr>
              <w:t xml:space="preserve">Downlink (base station transmit) </w:t>
            </w:r>
          </w:p>
        </w:tc>
        <w:tc>
          <w:tcPr>
            <w:tcW w:w="567" w:type="dxa"/>
            <w:tcBorders>
              <w:top w:val="single" w:sz="4" w:space="0" w:color="D2232A"/>
              <w:left w:val="single" w:sz="4" w:space="0" w:color="FFFFFF" w:themeColor="background1"/>
              <w:bottom w:val="single" w:sz="4" w:space="0" w:color="D2232A"/>
              <w:right w:val="single" w:sz="4" w:space="0" w:color="D2232A"/>
            </w:tcBorders>
            <w:shd w:val="clear" w:color="auto" w:fill="D2232A"/>
          </w:tcPr>
          <w:p w14:paraId="684DFC46" w14:textId="77777777" w:rsidR="00E7502F" w:rsidRPr="0004037D" w:rsidRDefault="00E7502F" w:rsidP="00954C83">
            <w:pPr>
              <w:spacing w:line="288" w:lineRule="auto"/>
              <w:jc w:val="center"/>
              <w:rPr>
                <w:b/>
                <w:color w:val="FFFFFF"/>
                <w:sz w:val="12"/>
                <w:szCs w:val="12"/>
                <w:lang w:val="en-GB"/>
              </w:rPr>
            </w:pPr>
            <w:r w:rsidRPr="0004037D">
              <w:rPr>
                <w:b/>
                <w:color w:val="FFFFFF"/>
                <w:sz w:val="12"/>
                <w:szCs w:val="12"/>
                <w:lang w:val="en-GB"/>
              </w:rPr>
              <w:t>Guard band</w:t>
            </w:r>
          </w:p>
        </w:tc>
      </w:tr>
      <w:tr w:rsidR="00E7502F" w:rsidRPr="0004037D" w14:paraId="684DFC4A" w14:textId="77777777" w:rsidTr="00954C83">
        <w:tc>
          <w:tcPr>
            <w:tcW w:w="9498" w:type="dxa"/>
            <w:gridSpan w:val="18"/>
            <w:tcBorders>
              <w:top w:val="single" w:sz="4" w:space="0" w:color="D2232A"/>
              <w:left w:val="single" w:sz="4" w:space="0" w:color="D2232A"/>
              <w:bottom w:val="single" w:sz="4" w:space="0" w:color="D2232A"/>
              <w:right w:val="single" w:sz="4" w:space="0" w:color="D2232A"/>
            </w:tcBorders>
            <w:vAlign w:val="center"/>
          </w:tcPr>
          <w:p w14:paraId="684DFC48" w14:textId="77777777" w:rsidR="00E7502F" w:rsidRPr="0004037D" w:rsidRDefault="00E7502F" w:rsidP="00954C83">
            <w:pPr>
              <w:spacing w:line="288" w:lineRule="auto"/>
              <w:jc w:val="center"/>
              <w:rPr>
                <w:lang w:val="en-GB"/>
              </w:rPr>
            </w:pPr>
            <w:r w:rsidRPr="0004037D">
              <w:rPr>
                <w:lang w:val="en-GB"/>
              </w:rPr>
              <w:t>90 MHz (18 blocks of 5 MHz)</w:t>
            </w:r>
          </w:p>
        </w:tc>
        <w:tc>
          <w:tcPr>
            <w:tcW w:w="567" w:type="dxa"/>
            <w:tcBorders>
              <w:top w:val="single" w:sz="4" w:space="0" w:color="D2232A"/>
              <w:left w:val="single" w:sz="4" w:space="0" w:color="D2232A"/>
              <w:bottom w:val="single" w:sz="4" w:space="0" w:color="D2232A"/>
              <w:right w:val="single" w:sz="4" w:space="0" w:color="D2232A"/>
            </w:tcBorders>
            <w:vAlign w:val="center"/>
          </w:tcPr>
          <w:p w14:paraId="684DFC49" w14:textId="77777777" w:rsidR="00E7502F" w:rsidRPr="0004037D" w:rsidRDefault="00E7502F" w:rsidP="00954C83">
            <w:pPr>
              <w:spacing w:line="288" w:lineRule="auto"/>
              <w:jc w:val="center"/>
              <w:rPr>
                <w:sz w:val="12"/>
                <w:szCs w:val="12"/>
                <w:lang w:val="en-GB"/>
              </w:rPr>
            </w:pPr>
            <w:r w:rsidRPr="0004037D">
              <w:rPr>
                <w:sz w:val="12"/>
                <w:szCs w:val="12"/>
                <w:lang w:val="en-GB"/>
              </w:rPr>
              <w:t>1 MHz</w:t>
            </w:r>
          </w:p>
        </w:tc>
      </w:tr>
    </w:tbl>
    <w:p w14:paraId="684DFC4B" w14:textId="77777777" w:rsidR="00E7502F" w:rsidRPr="0004037D" w:rsidRDefault="00E7502F" w:rsidP="00E7502F">
      <w:pPr>
        <w:pStyle w:val="ECCTablenote"/>
      </w:pPr>
      <w:r w:rsidRPr="0004037D">
        <w:t>*Block conditions and **Restricted power: see ANNEX 2</w:t>
      </w:r>
    </w:p>
    <w:p w14:paraId="684DFC4C" w14:textId="77777777" w:rsidR="00E7502F" w:rsidRDefault="00E7502F" w:rsidP="00E7502F">
      <w:pPr>
        <w:pStyle w:val="ECCParagraph"/>
      </w:pPr>
    </w:p>
    <w:p w14:paraId="684DFC4D" w14:textId="77777777" w:rsidR="00E7502F" w:rsidRDefault="00E7502F" w:rsidP="00E7502F">
      <w:pPr>
        <w:pStyle w:val="ECCParagraph"/>
      </w:pPr>
      <w:r w:rsidRPr="0004037D">
        <w:t xml:space="preserve">Table 3 for information reveals the </w:t>
      </w:r>
      <w:r w:rsidRPr="00532BDB">
        <w:t>consistency</w:t>
      </w:r>
      <w:r w:rsidRPr="0004037D">
        <w:t xml:space="preserve"> with EC Decision</w:t>
      </w:r>
      <w:r>
        <w:t xml:space="preserve"> (EU) 2015/750 </w:t>
      </w:r>
      <w:r>
        <w:fldChar w:fldCharType="begin"/>
      </w:r>
      <w:r>
        <w:instrText xml:space="preserve"> REF _Ref481767554 \r \h </w:instrText>
      </w:r>
      <w:r>
        <w:fldChar w:fldCharType="separate"/>
      </w:r>
      <w:r w:rsidR="00B616E1">
        <w:t>[1]</w:t>
      </w:r>
      <w:r>
        <w:fldChar w:fldCharType="end"/>
      </w:r>
      <w:r>
        <w:t>.</w:t>
      </w:r>
    </w:p>
    <w:p w14:paraId="684DFC4E" w14:textId="77777777" w:rsidR="00E7502F" w:rsidRDefault="00E7502F" w:rsidP="00E7502F">
      <w:pPr>
        <w:pStyle w:val="Heading1"/>
        <w:spacing w:after="60"/>
      </w:pPr>
      <w:bookmarkStart w:id="24" w:name="_Toc492574933"/>
      <w:bookmarkStart w:id="25" w:name="_Toc498934654"/>
      <w:bookmarkStart w:id="26" w:name="_Ref274743743"/>
      <w:r>
        <w:lastRenderedPageBreak/>
        <w:t>Compatibility studies</w:t>
      </w:r>
      <w:bookmarkEnd w:id="24"/>
      <w:bookmarkEnd w:id="25"/>
    </w:p>
    <w:p w14:paraId="684DFC4F" w14:textId="77777777" w:rsidR="00954C83" w:rsidRDefault="00954C83" w:rsidP="00954C83">
      <w:pPr>
        <w:pStyle w:val="Heading2"/>
        <w:spacing w:after="60"/>
        <w:jc w:val="both"/>
      </w:pPr>
      <w:bookmarkStart w:id="27" w:name="_Toc492574934"/>
      <w:bookmarkStart w:id="28" w:name="_Toc498934655"/>
      <w:r>
        <w:t>Compatibility between WBB ECS in 1427-1452 MHz and services operating in 1400-1427 MHz</w:t>
      </w:r>
      <w:bookmarkEnd w:id="27"/>
      <w:bookmarkEnd w:id="28"/>
    </w:p>
    <w:p w14:paraId="684DFC50" w14:textId="77777777" w:rsidR="00954C83" w:rsidRDefault="00954C83" w:rsidP="00954C83">
      <w:pPr>
        <w:pStyle w:val="ECCParagraph"/>
      </w:pPr>
      <w:r>
        <w:t xml:space="preserve">The band 1400-1427 MHz is allocated to EESS (passive), Radio astronomy and Space Research (passive), on a worldwide basis. In the band 1427-1452 MHz, Resolution 750 (Rev.WRC-15) applies for the protection of EESS (passive) in 1400-1427 MHz. </w:t>
      </w:r>
    </w:p>
    <w:p w14:paraId="684DFC51" w14:textId="77777777" w:rsidR="00954C83" w:rsidRDefault="00954C83" w:rsidP="00954C83">
      <w:pPr>
        <w:pStyle w:val="ECCParagraph"/>
      </w:pPr>
      <w:r>
        <w:t xml:space="preserve">Resolution 750 (Rev. WRC-15) </w:t>
      </w:r>
      <w:r>
        <w:fldChar w:fldCharType="begin"/>
      </w:r>
      <w:r>
        <w:instrText xml:space="preserve"> REF _Ref481765869 \r \h </w:instrText>
      </w:r>
      <w:r>
        <w:fldChar w:fldCharType="separate"/>
      </w:r>
      <w:r w:rsidR="00B616E1">
        <w:t>[2]</w:t>
      </w:r>
      <w:r>
        <w:fldChar w:fldCharType="end"/>
      </w:r>
      <w:r>
        <w:t xml:space="preserve"> sets the maximum unwanted emission power in the band </w:t>
      </w:r>
      <w:r>
        <w:br/>
        <w:t>1400-1427 MHz for base stations operating in 1427-1452 MHz.</w:t>
      </w:r>
    </w:p>
    <w:p w14:paraId="684DFC52" w14:textId="77777777" w:rsidR="00954C83" w:rsidRDefault="00954C83" w:rsidP="00954C83">
      <w:pPr>
        <w:pStyle w:val="Caption"/>
        <w:rPr>
          <w:lang w:val="en-GB"/>
        </w:rPr>
      </w:pPr>
      <w:bookmarkStart w:id="29" w:name="_Ref478045203"/>
      <w:r>
        <w:rPr>
          <w:lang w:val="en-GB"/>
        </w:rPr>
        <w:t xml:space="preserve">Table </w:t>
      </w:r>
      <w:r>
        <w:rPr>
          <w:lang w:val="en-GB"/>
        </w:rPr>
        <w:fldChar w:fldCharType="begin"/>
      </w:r>
      <w:r>
        <w:rPr>
          <w:lang w:val="en-GB"/>
        </w:rPr>
        <w:instrText xml:space="preserve"> SEQ Table \* ARABIC </w:instrText>
      </w:r>
      <w:r>
        <w:rPr>
          <w:lang w:val="en-GB"/>
        </w:rPr>
        <w:fldChar w:fldCharType="separate"/>
      </w:r>
      <w:r w:rsidR="00B616E1">
        <w:rPr>
          <w:noProof/>
          <w:lang w:val="en-GB"/>
        </w:rPr>
        <w:t>4</w:t>
      </w:r>
      <w:r>
        <w:rPr>
          <w:noProof/>
          <w:lang w:val="en-GB"/>
        </w:rPr>
        <w:fldChar w:fldCharType="end"/>
      </w:r>
      <w:bookmarkEnd w:id="29"/>
      <w:r>
        <w:rPr>
          <w:lang w:val="en-GB"/>
        </w:rPr>
        <w:t xml:space="preserve">: Base station maximum unwanted emission power in the band 1400-1427 MHz </w:t>
      </w:r>
      <w:r>
        <w:rPr>
          <w:lang w:val="en-GB"/>
        </w:rPr>
        <w:br/>
        <w:t>for base stations operating in 1427-1452 MHz</w:t>
      </w:r>
    </w:p>
    <w:tbl>
      <w:tblPr>
        <w:tblStyle w:val="ECCTable-redheader"/>
        <w:tblW w:w="0" w:type="auto"/>
        <w:tblLook w:val="01E0" w:firstRow="1" w:lastRow="1" w:firstColumn="1" w:lastColumn="1" w:noHBand="0" w:noVBand="0"/>
      </w:tblPr>
      <w:tblGrid>
        <w:gridCol w:w="4248"/>
        <w:gridCol w:w="2880"/>
        <w:gridCol w:w="2727"/>
      </w:tblGrid>
      <w:tr w:rsidR="00954C83" w14:paraId="684DFC56" w14:textId="77777777" w:rsidTr="00954C83">
        <w:trPr>
          <w:cnfStyle w:val="100000000000" w:firstRow="1" w:lastRow="0" w:firstColumn="0" w:lastColumn="0" w:oddVBand="0" w:evenVBand="0" w:oddHBand="0" w:evenHBand="0" w:firstRowFirstColumn="0" w:firstRowLastColumn="0" w:lastRowFirstColumn="0" w:lastRowLastColumn="0"/>
        </w:trPr>
        <w:tc>
          <w:tcPr>
            <w:tcW w:w="4248" w:type="dxa"/>
          </w:tcPr>
          <w:p w14:paraId="684DFC53" w14:textId="77777777" w:rsidR="00954C83" w:rsidRDefault="00954C83" w:rsidP="00954C83">
            <w:pPr>
              <w:pStyle w:val="ECCTableHeaderwhitefont"/>
              <w:spacing w:before="0" w:after="0" w:line="288" w:lineRule="auto"/>
              <w:rPr>
                <w:lang w:val="en-GB"/>
              </w:rPr>
            </w:pPr>
            <w:r>
              <w:rPr>
                <w:lang w:val="en-GB"/>
              </w:rPr>
              <w:t xml:space="preserve">Frequency range of </w:t>
            </w:r>
            <w:r>
              <w:rPr>
                <w:lang w:val="en-GB"/>
              </w:rPr>
              <w:br/>
              <w:t>out-of-band emissions</w:t>
            </w:r>
          </w:p>
        </w:tc>
        <w:tc>
          <w:tcPr>
            <w:tcW w:w="2880" w:type="dxa"/>
          </w:tcPr>
          <w:p w14:paraId="684DFC54" w14:textId="77777777" w:rsidR="00954C83" w:rsidRDefault="00954C83" w:rsidP="00954C83">
            <w:pPr>
              <w:pStyle w:val="ECCTableHeaderwhitefont"/>
              <w:spacing w:before="0" w:after="0" w:line="288" w:lineRule="auto"/>
              <w:rPr>
                <w:lang w:val="en-GB"/>
              </w:rPr>
            </w:pPr>
            <w:r>
              <w:rPr>
                <w:lang w:val="en-GB"/>
              </w:rPr>
              <w:t>Maximum unwanted emission power</w:t>
            </w:r>
            <w:r>
              <w:rPr>
                <w:vertAlign w:val="superscript"/>
              </w:rPr>
              <w:footnoteReference w:id="4"/>
            </w:r>
          </w:p>
        </w:tc>
        <w:tc>
          <w:tcPr>
            <w:tcW w:w="2727" w:type="dxa"/>
          </w:tcPr>
          <w:p w14:paraId="684DFC55" w14:textId="77777777" w:rsidR="00954C83" w:rsidRDefault="00954C83" w:rsidP="00954C83">
            <w:pPr>
              <w:pStyle w:val="ECCTableHeaderwhitefont"/>
              <w:spacing w:before="0" w:after="0" w:line="288" w:lineRule="auto"/>
              <w:rPr>
                <w:lang w:val="en-GB"/>
              </w:rPr>
            </w:pPr>
            <w:r>
              <w:rPr>
                <w:lang w:val="en-GB"/>
              </w:rPr>
              <w:t xml:space="preserve">Measurement </w:t>
            </w:r>
            <w:r>
              <w:rPr>
                <w:lang w:val="en-GB"/>
              </w:rPr>
              <w:br/>
              <w:t>Bandwidth</w:t>
            </w:r>
          </w:p>
        </w:tc>
      </w:tr>
      <w:tr w:rsidR="00954C83" w14:paraId="684DFC5A" w14:textId="77777777" w:rsidTr="00954C83">
        <w:tc>
          <w:tcPr>
            <w:tcW w:w="4248" w:type="dxa"/>
          </w:tcPr>
          <w:p w14:paraId="684DFC57" w14:textId="77777777" w:rsidR="00954C83" w:rsidRDefault="00954C83" w:rsidP="00954C83">
            <w:pPr>
              <w:rPr>
                <w:lang w:val="en-GB"/>
              </w:rPr>
            </w:pPr>
            <w:r>
              <w:rPr>
                <w:lang w:val="en-GB"/>
              </w:rPr>
              <w:t>1400-1427 MHz</w:t>
            </w:r>
          </w:p>
        </w:tc>
        <w:tc>
          <w:tcPr>
            <w:tcW w:w="2880" w:type="dxa"/>
          </w:tcPr>
          <w:p w14:paraId="684DFC58" w14:textId="77777777" w:rsidR="00954C83" w:rsidRDefault="00954C83" w:rsidP="00954C83">
            <w:pPr>
              <w:rPr>
                <w:lang w:val="en-GB"/>
              </w:rPr>
            </w:pPr>
            <w:r>
              <w:rPr>
                <w:lang w:val="en-GB"/>
              </w:rPr>
              <w:t xml:space="preserve">-72 </w:t>
            </w:r>
            <w:proofErr w:type="spellStart"/>
            <w:r>
              <w:rPr>
                <w:lang w:val="en-GB"/>
              </w:rPr>
              <w:t>dBW</w:t>
            </w:r>
            <w:proofErr w:type="spellEnd"/>
            <w:r>
              <w:rPr>
                <w:lang w:val="en-GB"/>
              </w:rPr>
              <w:t xml:space="preserve"> </w:t>
            </w:r>
          </w:p>
        </w:tc>
        <w:tc>
          <w:tcPr>
            <w:tcW w:w="2727" w:type="dxa"/>
          </w:tcPr>
          <w:p w14:paraId="684DFC59" w14:textId="77777777" w:rsidR="00954C83" w:rsidRDefault="00954C83" w:rsidP="00954C83">
            <w:pPr>
              <w:rPr>
                <w:lang w:val="en-GB"/>
              </w:rPr>
            </w:pPr>
            <w:r>
              <w:rPr>
                <w:lang w:val="en-GB"/>
              </w:rPr>
              <w:t>27 MHz</w:t>
            </w:r>
          </w:p>
        </w:tc>
      </w:tr>
    </w:tbl>
    <w:p w14:paraId="684DFC5B" w14:textId="77777777" w:rsidR="00954C83" w:rsidRDefault="00954C83" w:rsidP="00954C83">
      <w:pPr>
        <w:pStyle w:val="ECCParagraph"/>
      </w:pPr>
      <w:r>
        <w:t>For the protection of radio astronomy observations in the passive band 1400-1427 MHz from IMT systems in the band 1427-1452 MHz, unwanted emission power limits in Resolution 750 (Rev. WRC-15) may not be sufficient and there is therefore a need to consider at national level relevant separation distances around radio telescopes, and other mitigation techniques such as additional filtering and/or a guard band for MFCN IMT stations, as required.</w:t>
      </w:r>
    </w:p>
    <w:p w14:paraId="684DFC5C" w14:textId="77777777" w:rsidR="00954C83" w:rsidRDefault="00954C83" w:rsidP="00954C83">
      <w:pPr>
        <w:pStyle w:val="Heading2"/>
        <w:spacing w:after="60"/>
        <w:jc w:val="both"/>
      </w:pPr>
      <w:bookmarkStart w:id="30" w:name="_Toc492574935"/>
      <w:bookmarkStart w:id="31" w:name="_Toc498934656"/>
      <w:r>
        <w:t>Compatibility between DL WBB ECS in 1492-1517 MHz and services operating in 1518-1525 MHz</w:t>
      </w:r>
      <w:bookmarkEnd w:id="30"/>
      <w:bookmarkEnd w:id="31"/>
    </w:p>
    <w:p w14:paraId="684DFC5D" w14:textId="77777777" w:rsidR="00954C83" w:rsidRDefault="00954C83" w:rsidP="00954C83">
      <w:pPr>
        <w:pStyle w:val="ECCParagraph"/>
      </w:pPr>
      <w:r>
        <w:t>The CEPT conducted adjacent band compatibility studies between DL WBB ECS operating in the frequency band 1492-1518 MHz and the MSS operating in the frequency band 1518-1525 MHz. CEPT recommends that base station out-of-block emission limits e.i.r.p. for a broadband signal interferer operating below 1518 MHz shall be −30</w:t>
      </w:r>
      <w:r w:rsidR="002F6193">
        <w:t xml:space="preserve"> </w:t>
      </w:r>
      <w:r>
        <w:t xml:space="preserve">dBm/MHz above 1520 MHz. </w:t>
      </w:r>
      <w:r w:rsidRPr="002F6193">
        <w:t xml:space="preserve">This </w:t>
      </w:r>
      <w:r w:rsidR="002F6193">
        <w:t>value</w:t>
      </w:r>
      <w:r>
        <w:t xml:space="preserve"> is 10 dB more stringent than EU Decision 2015/750 due to a different service in the adjacent band.</w:t>
      </w:r>
    </w:p>
    <w:p w14:paraId="684DFC5E" w14:textId="77777777" w:rsidR="00954C83" w:rsidRDefault="00954C83" w:rsidP="00954C83">
      <w:pPr>
        <w:pStyle w:val="ECCParagraph"/>
      </w:pPr>
      <w:r>
        <w:t>CEPT does not provide recommended e.i.r.p. limits for the out-of-block emissions in the band 1518-1520 MHz, but applying a 10 dB reduction to the limits in EU Decision 2015/750 and using a reference bandwidth of 1 MHz leads to the values shown in Table 5.</w:t>
      </w:r>
    </w:p>
    <w:p w14:paraId="684DFC5F" w14:textId="36345CF9" w:rsidR="00954C83" w:rsidRDefault="00954C83" w:rsidP="00954C83">
      <w:pPr>
        <w:pStyle w:val="Caption"/>
        <w:rPr>
          <w:lang w:val="en-GB"/>
        </w:rPr>
      </w:pPr>
      <w:r>
        <w:rPr>
          <w:lang w:val="en-GB"/>
        </w:rPr>
        <w:t xml:space="preserve">Table </w:t>
      </w:r>
      <w:r>
        <w:rPr>
          <w:lang w:val="en-GB"/>
        </w:rPr>
        <w:fldChar w:fldCharType="begin"/>
      </w:r>
      <w:r>
        <w:rPr>
          <w:lang w:val="en-GB"/>
        </w:rPr>
        <w:instrText xml:space="preserve"> SEQ Table \* ARABIC </w:instrText>
      </w:r>
      <w:r>
        <w:rPr>
          <w:lang w:val="en-GB"/>
        </w:rPr>
        <w:fldChar w:fldCharType="separate"/>
      </w:r>
      <w:r w:rsidR="00B616E1">
        <w:rPr>
          <w:noProof/>
          <w:lang w:val="en-GB"/>
        </w:rPr>
        <w:t>5</w:t>
      </w:r>
      <w:r>
        <w:rPr>
          <w:noProof/>
          <w:lang w:val="en-GB"/>
        </w:rPr>
        <w:fldChar w:fldCharType="end"/>
      </w:r>
      <w:r>
        <w:rPr>
          <w:lang w:val="en-GB"/>
        </w:rPr>
        <w:t>: Base station out-of-block emission limits</w:t>
      </w:r>
      <w:r w:rsidR="003A1D2E">
        <w:rPr>
          <w:lang w:val="en-GB"/>
        </w:rPr>
        <w:t xml:space="preserve"> per cell</w:t>
      </w:r>
      <w:r w:rsidR="008036C8" w:rsidRPr="00D63534">
        <w:rPr>
          <w:vertAlign w:val="superscript"/>
          <w:lang w:val="en-GB"/>
        </w:rPr>
        <w:t>(1)</w:t>
      </w:r>
      <w:r>
        <w:rPr>
          <w:lang w:val="en-GB"/>
        </w:rPr>
        <w:t xml:space="preserve"> above </w:t>
      </w:r>
      <w:r w:rsidRPr="00A8637F">
        <w:rPr>
          <w:lang w:val="en-GB"/>
        </w:rPr>
        <w:t>1518 MHz</w:t>
      </w:r>
      <w:r>
        <w:rPr>
          <w:lang w:val="en-GB"/>
        </w:rPr>
        <w:t xml:space="preserve"> </w:t>
      </w:r>
      <w:r>
        <w:rPr>
          <w:lang w:val="en-GB"/>
        </w:rPr>
        <w:br/>
        <w:t>for base stations operating in 1492-1517 MHz</w:t>
      </w:r>
    </w:p>
    <w:tbl>
      <w:tblPr>
        <w:tblStyle w:val="ECCTable-redheader"/>
        <w:tblW w:w="0" w:type="auto"/>
        <w:tblLook w:val="01E0" w:firstRow="1" w:lastRow="1" w:firstColumn="1" w:lastColumn="1" w:noHBand="0" w:noVBand="0"/>
      </w:tblPr>
      <w:tblGrid>
        <w:gridCol w:w="4248"/>
        <w:gridCol w:w="2880"/>
        <w:gridCol w:w="2727"/>
      </w:tblGrid>
      <w:tr w:rsidR="00954C83" w14:paraId="684DFC63" w14:textId="77777777" w:rsidTr="00954C83">
        <w:trPr>
          <w:cnfStyle w:val="100000000000" w:firstRow="1" w:lastRow="0" w:firstColumn="0" w:lastColumn="0" w:oddVBand="0" w:evenVBand="0" w:oddHBand="0" w:evenHBand="0" w:firstRowFirstColumn="0" w:firstRowLastColumn="0" w:lastRowFirstColumn="0" w:lastRowLastColumn="0"/>
        </w:trPr>
        <w:tc>
          <w:tcPr>
            <w:tcW w:w="4248" w:type="dxa"/>
          </w:tcPr>
          <w:p w14:paraId="684DFC60" w14:textId="77777777" w:rsidR="00954C83" w:rsidRDefault="00954C83" w:rsidP="00954C83">
            <w:pPr>
              <w:pStyle w:val="ECCTableHeaderwhitefont"/>
              <w:spacing w:before="0" w:after="0" w:line="288" w:lineRule="auto"/>
              <w:rPr>
                <w:lang w:val="en-GB"/>
              </w:rPr>
            </w:pPr>
            <w:r>
              <w:rPr>
                <w:lang w:val="en-GB"/>
              </w:rPr>
              <w:t xml:space="preserve">Frequency range of </w:t>
            </w:r>
            <w:r>
              <w:rPr>
                <w:lang w:val="en-GB"/>
              </w:rPr>
              <w:br/>
              <w:t>out-of-block emissions</w:t>
            </w:r>
          </w:p>
        </w:tc>
        <w:tc>
          <w:tcPr>
            <w:tcW w:w="2880" w:type="dxa"/>
          </w:tcPr>
          <w:p w14:paraId="684DFC61" w14:textId="77777777" w:rsidR="00954C83" w:rsidRDefault="00954C83" w:rsidP="00954C83">
            <w:pPr>
              <w:pStyle w:val="ECCTableHeaderwhitefont"/>
              <w:spacing w:before="0" w:after="0" w:line="288" w:lineRule="auto"/>
              <w:rPr>
                <w:lang w:val="en-GB"/>
              </w:rPr>
            </w:pPr>
            <w:r>
              <w:rPr>
                <w:lang w:val="en-GB"/>
              </w:rPr>
              <w:t>Maximum out-of-block e.i.r.p.</w:t>
            </w:r>
          </w:p>
        </w:tc>
        <w:tc>
          <w:tcPr>
            <w:tcW w:w="2727" w:type="dxa"/>
          </w:tcPr>
          <w:p w14:paraId="684DFC62" w14:textId="77777777" w:rsidR="00954C83" w:rsidRDefault="00954C83" w:rsidP="00954C83">
            <w:pPr>
              <w:pStyle w:val="ECCTableHeaderwhitefont"/>
              <w:spacing w:before="0" w:after="0" w:line="288" w:lineRule="auto"/>
              <w:rPr>
                <w:lang w:val="en-GB"/>
              </w:rPr>
            </w:pPr>
            <w:r>
              <w:rPr>
                <w:lang w:val="en-GB"/>
              </w:rPr>
              <w:t xml:space="preserve">Measurement </w:t>
            </w:r>
            <w:r>
              <w:rPr>
                <w:lang w:val="en-GB"/>
              </w:rPr>
              <w:br/>
              <w:t>Bandwidth</w:t>
            </w:r>
          </w:p>
        </w:tc>
      </w:tr>
      <w:tr w:rsidR="00954C83" w14:paraId="684DFC67" w14:textId="77777777" w:rsidTr="00954C83">
        <w:tc>
          <w:tcPr>
            <w:tcW w:w="4248" w:type="dxa"/>
          </w:tcPr>
          <w:p w14:paraId="684DFC64" w14:textId="77777777" w:rsidR="00954C83" w:rsidRDefault="00954C83" w:rsidP="00954C83">
            <w:pPr>
              <w:rPr>
                <w:lang w:val="en-GB"/>
              </w:rPr>
            </w:pPr>
            <w:r>
              <w:rPr>
                <w:lang w:val="en-GB"/>
              </w:rPr>
              <w:t xml:space="preserve">Between </w:t>
            </w:r>
            <w:r w:rsidRPr="00A8637F">
              <w:rPr>
                <w:lang w:val="en-GB"/>
              </w:rPr>
              <w:t xml:space="preserve">1518 </w:t>
            </w:r>
            <w:r>
              <w:rPr>
                <w:lang w:val="en-GB"/>
              </w:rPr>
              <w:t>and 1520 MHz</w:t>
            </w:r>
          </w:p>
        </w:tc>
        <w:tc>
          <w:tcPr>
            <w:tcW w:w="2880" w:type="dxa"/>
          </w:tcPr>
          <w:p w14:paraId="684DFC65" w14:textId="77777777" w:rsidR="00954C83" w:rsidRDefault="00954C83" w:rsidP="00954C83">
            <w:pPr>
              <w:rPr>
                <w:lang w:val="en-GB"/>
              </w:rPr>
            </w:pPr>
            <w:r>
              <w:rPr>
                <w:lang w:val="en-GB"/>
              </w:rPr>
              <w:t>-0.8 dBm</w:t>
            </w:r>
          </w:p>
        </w:tc>
        <w:tc>
          <w:tcPr>
            <w:tcW w:w="2727" w:type="dxa"/>
          </w:tcPr>
          <w:p w14:paraId="684DFC66" w14:textId="77777777" w:rsidR="00954C83" w:rsidRDefault="00954C83" w:rsidP="00954C83">
            <w:pPr>
              <w:rPr>
                <w:lang w:val="en-GB"/>
              </w:rPr>
            </w:pPr>
            <w:r>
              <w:rPr>
                <w:lang w:val="en-GB"/>
              </w:rPr>
              <w:t>1 MHz</w:t>
            </w:r>
          </w:p>
        </w:tc>
      </w:tr>
      <w:tr w:rsidR="00954C83" w14:paraId="684DFC6B" w14:textId="77777777" w:rsidTr="00954C83">
        <w:tc>
          <w:tcPr>
            <w:tcW w:w="4248" w:type="dxa"/>
          </w:tcPr>
          <w:p w14:paraId="684DFC68" w14:textId="77777777" w:rsidR="00954C83" w:rsidRDefault="00954C83" w:rsidP="00954C83">
            <w:pPr>
              <w:rPr>
                <w:lang w:val="en-GB"/>
              </w:rPr>
            </w:pPr>
            <w:r>
              <w:rPr>
                <w:lang w:val="en-GB"/>
              </w:rPr>
              <w:t>Between 1520 and 1559 MHz</w:t>
            </w:r>
          </w:p>
        </w:tc>
        <w:tc>
          <w:tcPr>
            <w:tcW w:w="2880" w:type="dxa"/>
          </w:tcPr>
          <w:p w14:paraId="684DFC69" w14:textId="77777777" w:rsidR="00954C83" w:rsidRDefault="00954C83" w:rsidP="00954C83">
            <w:pPr>
              <w:rPr>
                <w:lang w:val="en-GB"/>
              </w:rPr>
            </w:pPr>
            <w:r>
              <w:rPr>
                <w:lang w:val="en-GB"/>
              </w:rPr>
              <w:t xml:space="preserve">-30 dBm </w:t>
            </w:r>
          </w:p>
        </w:tc>
        <w:tc>
          <w:tcPr>
            <w:tcW w:w="2727" w:type="dxa"/>
          </w:tcPr>
          <w:p w14:paraId="684DFC6A" w14:textId="77777777" w:rsidR="00954C83" w:rsidRDefault="00954C83" w:rsidP="00954C83">
            <w:pPr>
              <w:rPr>
                <w:lang w:val="en-GB"/>
              </w:rPr>
            </w:pPr>
            <w:r>
              <w:rPr>
                <w:lang w:val="en-GB"/>
              </w:rPr>
              <w:t>1 MHz</w:t>
            </w:r>
          </w:p>
        </w:tc>
      </w:tr>
      <w:tr w:rsidR="008036C8" w14:paraId="6C946192" w14:textId="77777777" w:rsidTr="00D63534">
        <w:tc>
          <w:tcPr>
            <w:tcW w:w="9855" w:type="dxa"/>
            <w:gridSpan w:val="3"/>
          </w:tcPr>
          <w:p w14:paraId="16378FCD" w14:textId="4364270C" w:rsidR="008036C8" w:rsidRDefault="008036C8" w:rsidP="00954C83">
            <w:pPr>
              <w:rPr>
                <w:lang w:val="en-GB"/>
              </w:rPr>
            </w:pPr>
            <w:r w:rsidRPr="00C41DBC">
              <w:rPr>
                <w:vertAlign w:val="superscript"/>
                <w:lang w:val="en-GB"/>
              </w:rPr>
              <w:t>(1)</w:t>
            </w:r>
            <w:r w:rsidRPr="00C41DBC">
              <w:rPr>
                <w:lang w:val="en-GB"/>
              </w:rPr>
              <w:t xml:space="preserve"> In a multi-sector site, the value per ‘cell’ corresponds to the value for one of the sectors.</w:t>
            </w:r>
          </w:p>
        </w:tc>
      </w:tr>
    </w:tbl>
    <w:p w14:paraId="684DFC6C" w14:textId="77777777" w:rsidR="00954C83" w:rsidRPr="0004037D" w:rsidRDefault="00954C83" w:rsidP="00954C83">
      <w:pPr>
        <w:pStyle w:val="ECCParagraph"/>
      </w:pPr>
      <w:r w:rsidRPr="0004037D">
        <w:t xml:space="preserve">Although ECC Report 263 </w:t>
      </w:r>
      <w:r w:rsidRPr="0004037D">
        <w:fldChar w:fldCharType="begin"/>
      </w:r>
      <w:r w:rsidRPr="0004037D">
        <w:instrText xml:space="preserve"> REF _Ref481764288 \r \h  \* MERGEFORMAT </w:instrText>
      </w:r>
      <w:r w:rsidRPr="0004037D">
        <w:fldChar w:fldCharType="separate"/>
      </w:r>
      <w:r w:rsidR="00B616E1">
        <w:t>[5]</w:t>
      </w:r>
      <w:r w:rsidRPr="0004037D">
        <w:fldChar w:fldCharType="end"/>
      </w:r>
      <w:r w:rsidRPr="0004037D">
        <w:t xml:space="preserve"> mentioned the potential need to provide protection for MES use at sea ports and airports, it is noted that the Radio Regulations (5.353A, 5.356 and 5.357) refer to safety requirements only in the band 1530-1544 MHz for Global Maritime Distress and Safety System (GMDSS) MES, in the band 1544-1545 MHz for distress and safety communications and in the band 1545-1555 MHz for safety related communications under AMS(R</w:t>
      </w:r>
      <w:proofErr w:type="gramStart"/>
      <w:r w:rsidRPr="0004037D">
        <w:t>)S</w:t>
      </w:r>
      <w:proofErr w:type="gramEnd"/>
      <w:r w:rsidRPr="0004037D">
        <w:t xml:space="preserve">. Therefore, the MSS frequencies covered by ECC Report 263 (1518-1525 MHz) cannot benefit from protection afforded to safety communications </w:t>
      </w:r>
      <w:proofErr w:type="gramStart"/>
      <w:r w:rsidRPr="0004037D">
        <w:t>However</w:t>
      </w:r>
      <w:proofErr w:type="gramEnd"/>
      <w:r w:rsidRPr="0004037D">
        <w:t xml:space="preserve"> the latest </w:t>
      </w:r>
      <w:r w:rsidRPr="0004037D">
        <w:lastRenderedPageBreak/>
        <w:t xml:space="preserve">satellite terminals used for maritime and aeronautical safety-related services tune across the full frequency range 1518-1559 MHz.   </w:t>
      </w:r>
    </w:p>
    <w:p w14:paraId="684DFC6D" w14:textId="77777777" w:rsidR="00954C83" w:rsidRPr="0004037D" w:rsidRDefault="00954C83" w:rsidP="00954C83">
      <w:pPr>
        <w:pStyle w:val="ECCParagraph"/>
      </w:pPr>
      <w:r w:rsidRPr="0004037D">
        <w:t>Concerning maritime and aircraft MES at sea ports and airports, the compatibility studies cover the frequency range 1518-1525 MHz and do not give indications of impact on systems operating above 1525 MHz.</w:t>
      </w:r>
    </w:p>
    <w:p w14:paraId="684DFC6E" w14:textId="77777777" w:rsidR="00954C83" w:rsidRPr="00532BDB" w:rsidRDefault="00954C83" w:rsidP="00954C83">
      <w:pPr>
        <w:pStyle w:val="ECCParagraph"/>
        <w:rPr>
          <w:lang w:val="en-US"/>
        </w:rPr>
      </w:pPr>
      <w:r w:rsidRPr="0004037D">
        <w:t>In ECC Report 263, the MCL analysis indicates that the required separation distances necessary to ensure protection of MES in the different environment types (land, sea and air, where the aircraft is considered to be on the ground, or a vessel is in port) range from tens of metres to some k</w:t>
      </w:r>
      <w:r w:rsidR="00975E33">
        <w:t>ilometres</w:t>
      </w:r>
      <w:r w:rsidRPr="0004037D">
        <w:t>. Therefore, CEPT has launched additional work to study measures to address potential blocking of MES operating in bands adjacent to 1518 MHz (including 1525-1559 MHz) at sea ports and airports. This future study does not prevent the harmonisation of LRTC for WBB ECS as proposed in this CEPT report.</w:t>
      </w:r>
    </w:p>
    <w:p w14:paraId="684DFC6F" w14:textId="77777777" w:rsidR="00954C83" w:rsidRDefault="00954C83" w:rsidP="00954C83">
      <w:pPr>
        <w:pStyle w:val="ECCParagraph"/>
      </w:pPr>
      <w:r w:rsidRPr="0004037D">
        <w:t>The operation of ship earth stations (SESs) in sea ports and aircraft MES at airports is necessary since even</w:t>
      </w:r>
      <w:r>
        <w:t xml:space="preserve"> though other communication means may be available, operational procedures may require testing of the satellite communication equipment before leaving. </w:t>
      </w:r>
      <w:bookmarkStart w:id="32" w:name="_Hlk481059850"/>
    </w:p>
    <w:bookmarkEnd w:id="32"/>
    <w:p w14:paraId="684DFC70" w14:textId="77777777" w:rsidR="00E7502F" w:rsidRPr="00954C83" w:rsidRDefault="00954C83" w:rsidP="00954C83">
      <w:pPr>
        <w:pStyle w:val="ECCParagraph"/>
        <w:rPr>
          <w:rStyle w:val="ECCHLyellow"/>
          <w:szCs w:val="24"/>
          <w:shd w:val="clear" w:color="auto" w:fill="auto"/>
        </w:rPr>
      </w:pPr>
      <w:r w:rsidRPr="00954C83">
        <w:rPr>
          <w:rStyle w:val="ECCHLyellow"/>
          <w:szCs w:val="24"/>
          <w:shd w:val="clear" w:color="auto" w:fill="auto"/>
        </w:rPr>
        <w:t xml:space="preserve">ECC Report 263 concludes that the in-band blocking characteristic for land mobile earth stations shall be -30 dBm above 1520 MHz. </w:t>
      </w:r>
      <w:r w:rsidRPr="00954C83">
        <w:t xml:space="preserve">Current MESs, </w:t>
      </w:r>
      <w:r w:rsidRPr="00954C83">
        <w:rPr>
          <w:rStyle w:val="ECCHLyellow"/>
          <w:szCs w:val="24"/>
          <w:shd w:val="clear" w:color="auto" w:fill="auto"/>
        </w:rPr>
        <w:t>land, aeronautical and maritime,</w:t>
      </w:r>
      <w:r w:rsidRPr="00954C83">
        <w:t xml:space="preserve"> do not comply with the -30dBm blocking protection requirement. </w:t>
      </w:r>
      <w:r w:rsidRPr="00954C83">
        <w:rPr>
          <w:rStyle w:val="ECCHLyellow"/>
          <w:szCs w:val="24"/>
          <w:shd w:val="clear" w:color="auto" w:fill="auto"/>
        </w:rPr>
        <w:t>Improvements in MES receiver performance, in line with the Radio Equipment Directive, to a level specified in ECC Report 263 are expected in a harmonised standard in the future. This would reduce the impact of interference due to MES blocking in the longer term, as newer MES terminals are deployed, in which case the mitigation techniques mentioned above may no longer be required or can be relaxed.</w:t>
      </w:r>
    </w:p>
    <w:p w14:paraId="684DFC71" w14:textId="77777777" w:rsidR="00954C83" w:rsidRDefault="00954C83" w:rsidP="00954C83">
      <w:pPr>
        <w:pStyle w:val="Heading2"/>
        <w:spacing w:after="60"/>
        <w:jc w:val="both"/>
      </w:pPr>
      <w:bookmarkStart w:id="33" w:name="_Toc492574936"/>
      <w:bookmarkStart w:id="34" w:name="_Toc498934657"/>
      <w:r>
        <w:t>Compatibility between WBB ECS systems operating in adjacent channels in 1427-1517 MHz</w:t>
      </w:r>
      <w:bookmarkEnd w:id="33"/>
      <w:bookmarkEnd w:id="34"/>
    </w:p>
    <w:p w14:paraId="684DFC72" w14:textId="77777777" w:rsidR="00954C83" w:rsidRDefault="00954C83" w:rsidP="00954C83">
      <w:pPr>
        <w:pStyle w:val="ECCParagraph"/>
      </w:pPr>
      <w:r>
        <w:t>CEPT defines the BEM to allow coexistence between DL WBB ECS in the 1452-1492 MHz band. There is no fundamental difference between coexistence of WBB ECS in 1452-1492 MHz and coexistence of WBB ECS in 1427-1517 MHz. Therefore, the following BEMs are still valid and can be adopted.</w:t>
      </w:r>
    </w:p>
    <w:p w14:paraId="684DFC73" w14:textId="3A9FFF9C" w:rsidR="00954C83" w:rsidRDefault="00954C83" w:rsidP="00954C83">
      <w:pPr>
        <w:pStyle w:val="Caption"/>
        <w:rPr>
          <w:lang w:val="en-GB"/>
        </w:rPr>
      </w:pPr>
      <w:bookmarkStart w:id="35" w:name="_Ref499023058"/>
      <w:r>
        <w:rPr>
          <w:lang w:val="en-GB"/>
        </w:rPr>
        <w:t xml:space="preserve">Table </w:t>
      </w:r>
      <w:r>
        <w:rPr>
          <w:lang w:val="en-GB"/>
        </w:rPr>
        <w:fldChar w:fldCharType="begin"/>
      </w:r>
      <w:r>
        <w:rPr>
          <w:lang w:val="en-GB"/>
        </w:rPr>
        <w:instrText xml:space="preserve"> SEQ Table \* ARABIC </w:instrText>
      </w:r>
      <w:r>
        <w:rPr>
          <w:lang w:val="en-GB"/>
        </w:rPr>
        <w:fldChar w:fldCharType="separate"/>
      </w:r>
      <w:r w:rsidR="00B616E1">
        <w:rPr>
          <w:noProof/>
          <w:lang w:val="en-GB"/>
        </w:rPr>
        <w:t>6</w:t>
      </w:r>
      <w:r>
        <w:rPr>
          <w:noProof/>
          <w:lang w:val="en-GB"/>
        </w:rPr>
        <w:fldChar w:fldCharType="end"/>
      </w:r>
      <w:bookmarkEnd w:id="35"/>
      <w:r>
        <w:rPr>
          <w:lang w:val="en-GB"/>
        </w:rPr>
        <w:t xml:space="preserve">: Base station BEM out-of-block e.i.r.p. limits </w:t>
      </w:r>
      <w:r w:rsidR="003A1D2E">
        <w:rPr>
          <w:lang w:val="en-GB"/>
        </w:rPr>
        <w:t xml:space="preserve">per antenna </w:t>
      </w:r>
      <w:r>
        <w:rPr>
          <w:lang w:val="en-GB"/>
        </w:rPr>
        <w:t xml:space="preserve">within the band 1427-1517 MHz </w:t>
      </w:r>
    </w:p>
    <w:tbl>
      <w:tblPr>
        <w:tblStyle w:val="ECCTable-redheader"/>
        <w:tblW w:w="0" w:type="auto"/>
        <w:tblLook w:val="01E0" w:firstRow="1" w:lastRow="1" w:firstColumn="1" w:lastColumn="1" w:noHBand="0" w:noVBand="0"/>
      </w:tblPr>
      <w:tblGrid>
        <w:gridCol w:w="4248"/>
        <w:gridCol w:w="2880"/>
        <w:gridCol w:w="2727"/>
      </w:tblGrid>
      <w:tr w:rsidR="00954C83" w14:paraId="684DFC77" w14:textId="77777777" w:rsidTr="00954C83">
        <w:trPr>
          <w:cnfStyle w:val="100000000000" w:firstRow="1" w:lastRow="0" w:firstColumn="0" w:lastColumn="0" w:oddVBand="0" w:evenVBand="0" w:oddHBand="0" w:evenHBand="0" w:firstRowFirstColumn="0" w:firstRowLastColumn="0" w:lastRowFirstColumn="0" w:lastRowLastColumn="0"/>
        </w:trPr>
        <w:tc>
          <w:tcPr>
            <w:tcW w:w="4248" w:type="dxa"/>
          </w:tcPr>
          <w:p w14:paraId="684DFC74" w14:textId="77777777" w:rsidR="00954C83" w:rsidRDefault="00954C83" w:rsidP="00954C83">
            <w:pPr>
              <w:pStyle w:val="ECCTableHeaderwhitefont"/>
              <w:spacing w:before="0" w:after="0" w:line="288" w:lineRule="auto"/>
              <w:rPr>
                <w:lang w:val="en-GB"/>
              </w:rPr>
            </w:pPr>
            <w:r>
              <w:rPr>
                <w:lang w:val="en-GB"/>
              </w:rPr>
              <w:t xml:space="preserve">Frequency range of </w:t>
            </w:r>
            <w:r>
              <w:rPr>
                <w:lang w:val="en-GB"/>
              </w:rPr>
              <w:br/>
              <w:t>out-of-block emissions</w:t>
            </w:r>
          </w:p>
        </w:tc>
        <w:tc>
          <w:tcPr>
            <w:tcW w:w="2880" w:type="dxa"/>
          </w:tcPr>
          <w:p w14:paraId="684DFC75" w14:textId="77777777" w:rsidR="00954C83" w:rsidRDefault="00954C83" w:rsidP="00954C83">
            <w:pPr>
              <w:pStyle w:val="ECCTableHeaderwhitefont"/>
              <w:spacing w:before="0" w:after="0" w:line="288" w:lineRule="auto"/>
              <w:rPr>
                <w:lang w:val="en-GB"/>
              </w:rPr>
            </w:pPr>
            <w:r>
              <w:rPr>
                <w:lang w:val="en-GB"/>
              </w:rPr>
              <w:t xml:space="preserve">Maximum mean </w:t>
            </w:r>
            <w:r>
              <w:rPr>
                <w:lang w:val="en-GB"/>
              </w:rPr>
              <w:br/>
              <w:t>out-of-block e.i.r.p.</w:t>
            </w:r>
          </w:p>
        </w:tc>
        <w:tc>
          <w:tcPr>
            <w:tcW w:w="2727" w:type="dxa"/>
          </w:tcPr>
          <w:p w14:paraId="684DFC76" w14:textId="77777777" w:rsidR="00954C83" w:rsidRDefault="00954C83" w:rsidP="00954C83">
            <w:pPr>
              <w:pStyle w:val="ECCTableHeaderwhitefont"/>
              <w:spacing w:before="0" w:after="0" w:line="288" w:lineRule="auto"/>
              <w:rPr>
                <w:lang w:val="en-GB"/>
              </w:rPr>
            </w:pPr>
            <w:r>
              <w:rPr>
                <w:lang w:val="en-GB"/>
              </w:rPr>
              <w:t xml:space="preserve">Measurement </w:t>
            </w:r>
            <w:r>
              <w:rPr>
                <w:lang w:val="en-GB"/>
              </w:rPr>
              <w:br/>
              <w:t>Bandwidth</w:t>
            </w:r>
          </w:p>
        </w:tc>
      </w:tr>
      <w:tr w:rsidR="00954C83" w14:paraId="684DFC7B" w14:textId="77777777" w:rsidTr="00954C83">
        <w:tc>
          <w:tcPr>
            <w:tcW w:w="4248" w:type="dxa"/>
          </w:tcPr>
          <w:p w14:paraId="684DFC78" w14:textId="77777777" w:rsidR="00954C83" w:rsidRDefault="00954C83" w:rsidP="00954C83">
            <w:pPr>
              <w:rPr>
                <w:lang w:val="en-GB"/>
              </w:rPr>
            </w:pPr>
            <w:r>
              <w:rPr>
                <w:lang w:val="en-GB"/>
              </w:rPr>
              <w:t>–10 to –5 MHz from lower block edge</w:t>
            </w:r>
          </w:p>
        </w:tc>
        <w:tc>
          <w:tcPr>
            <w:tcW w:w="2880" w:type="dxa"/>
          </w:tcPr>
          <w:p w14:paraId="684DFC79" w14:textId="77777777" w:rsidR="00954C83" w:rsidRDefault="00954C83" w:rsidP="00954C83">
            <w:pPr>
              <w:rPr>
                <w:lang w:val="en-GB"/>
              </w:rPr>
            </w:pPr>
            <w:r>
              <w:rPr>
                <w:lang w:val="en-GB"/>
              </w:rPr>
              <w:t xml:space="preserve">11 dBm </w:t>
            </w:r>
          </w:p>
        </w:tc>
        <w:tc>
          <w:tcPr>
            <w:tcW w:w="2727" w:type="dxa"/>
          </w:tcPr>
          <w:p w14:paraId="684DFC7A" w14:textId="77777777" w:rsidR="00954C83" w:rsidRDefault="00954C83" w:rsidP="00954C83">
            <w:pPr>
              <w:rPr>
                <w:lang w:val="en-GB"/>
              </w:rPr>
            </w:pPr>
            <w:r>
              <w:rPr>
                <w:lang w:val="en-GB"/>
              </w:rPr>
              <w:t>5 MHz</w:t>
            </w:r>
          </w:p>
        </w:tc>
      </w:tr>
      <w:tr w:rsidR="00954C83" w14:paraId="684DFC7F" w14:textId="77777777" w:rsidTr="00954C83">
        <w:tc>
          <w:tcPr>
            <w:tcW w:w="4248" w:type="dxa"/>
          </w:tcPr>
          <w:p w14:paraId="684DFC7C" w14:textId="77777777" w:rsidR="00954C83" w:rsidRDefault="00954C83" w:rsidP="00954C83">
            <w:pPr>
              <w:rPr>
                <w:lang w:val="en-GB"/>
              </w:rPr>
            </w:pPr>
            <w:r>
              <w:rPr>
                <w:lang w:val="en-GB"/>
              </w:rPr>
              <w:t>–5 to 0 MHz from lower block edge</w:t>
            </w:r>
          </w:p>
        </w:tc>
        <w:tc>
          <w:tcPr>
            <w:tcW w:w="2880" w:type="dxa"/>
          </w:tcPr>
          <w:p w14:paraId="684DFC7D" w14:textId="77777777" w:rsidR="00954C83" w:rsidRDefault="00954C83" w:rsidP="00954C83">
            <w:pPr>
              <w:rPr>
                <w:lang w:val="en-GB"/>
              </w:rPr>
            </w:pPr>
            <w:r>
              <w:rPr>
                <w:lang w:val="en-GB"/>
              </w:rPr>
              <w:t xml:space="preserve">16.3 dBm </w:t>
            </w:r>
          </w:p>
        </w:tc>
        <w:tc>
          <w:tcPr>
            <w:tcW w:w="2727" w:type="dxa"/>
          </w:tcPr>
          <w:p w14:paraId="684DFC7E" w14:textId="77777777" w:rsidR="00954C83" w:rsidRDefault="00954C83" w:rsidP="00954C83">
            <w:pPr>
              <w:rPr>
                <w:lang w:val="en-GB"/>
              </w:rPr>
            </w:pPr>
            <w:r>
              <w:rPr>
                <w:lang w:val="en-GB"/>
              </w:rPr>
              <w:t>5 MHz</w:t>
            </w:r>
          </w:p>
        </w:tc>
      </w:tr>
      <w:tr w:rsidR="00954C83" w14:paraId="684DFC83" w14:textId="77777777" w:rsidTr="00954C83">
        <w:tc>
          <w:tcPr>
            <w:tcW w:w="4248" w:type="dxa"/>
          </w:tcPr>
          <w:p w14:paraId="684DFC80" w14:textId="77777777" w:rsidR="00954C83" w:rsidRDefault="00954C83" w:rsidP="00954C83">
            <w:pPr>
              <w:rPr>
                <w:lang w:val="en-GB"/>
              </w:rPr>
            </w:pPr>
            <w:r>
              <w:rPr>
                <w:lang w:val="en-GB"/>
              </w:rPr>
              <w:t>0 to +5 MHz from upper block edge</w:t>
            </w:r>
          </w:p>
        </w:tc>
        <w:tc>
          <w:tcPr>
            <w:tcW w:w="2880" w:type="dxa"/>
          </w:tcPr>
          <w:p w14:paraId="684DFC81" w14:textId="77777777" w:rsidR="00954C83" w:rsidRDefault="00954C83" w:rsidP="00954C83">
            <w:pPr>
              <w:rPr>
                <w:lang w:val="en-GB"/>
              </w:rPr>
            </w:pPr>
            <w:r>
              <w:rPr>
                <w:lang w:val="en-GB"/>
              </w:rPr>
              <w:t xml:space="preserve">16.3 dBm </w:t>
            </w:r>
          </w:p>
        </w:tc>
        <w:tc>
          <w:tcPr>
            <w:tcW w:w="2727" w:type="dxa"/>
          </w:tcPr>
          <w:p w14:paraId="684DFC82" w14:textId="77777777" w:rsidR="00954C83" w:rsidRDefault="00954C83" w:rsidP="00954C83">
            <w:pPr>
              <w:rPr>
                <w:lang w:val="en-GB"/>
              </w:rPr>
            </w:pPr>
            <w:r>
              <w:rPr>
                <w:lang w:val="en-GB"/>
              </w:rPr>
              <w:t>5 MHz</w:t>
            </w:r>
          </w:p>
        </w:tc>
      </w:tr>
      <w:tr w:rsidR="00954C83" w14:paraId="684DFC87" w14:textId="77777777" w:rsidTr="00954C83">
        <w:tc>
          <w:tcPr>
            <w:tcW w:w="4248" w:type="dxa"/>
          </w:tcPr>
          <w:p w14:paraId="684DFC84" w14:textId="77777777" w:rsidR="00954C83" w:rsidRDefault="00954C83" w:rsidP="00954C83">
            <w:pPr>
              <w:rPr>
                <w:lang w:val="en-GB"/>
              </w:rPr>
            </w:pPr>
            <w:r>
              <w:rPr>
                <w:lang w:val="en-GB"/>
              </w:rPr>
              <w:t>+5 to +10 MHz from upper block edge</w:t>
            </w:r>
          </w:p>
        </w:tc>
        <w:tc>
          <w:tcPr>
            <w:tcW w:w="2880" w:type="dxa"/>
          </w:tcPr>
          <w:p w14:paraId="684DFC85" w14:textId="77777777" w:rsidR="00954C83" w:rsidRDefault="00954C83" w:rsidP="00954C83">
            <w:pPr>
              <w:rPr>
                <w:lang w:val="en-GB"/>
              </w:rPr>
            </w:pPr>
            <w:r>
              <w:rPr>
                <w:lang w:val="en-GB"/>
              </w:rPr>
              <w:t xml:space="preserve">11 dBm </w:t>
            </w:r>
          </w:p>
        </w:tc>
        <w:tc>
          <w:tcPr>
            <w:tcW w:w="2727" w:type="dxa"/>
          </w:tcPr>
          <w:p w14:paraId="684DFC86" w14:textId="77777777" w:rsidR="00954C83" w:rsidRDefault="00954C83" w:rsidP="00954C83">
            <w:pPr>
              <w:rPr>
                <w:lang w:val="en-GB"/>
              </w:rPr>
            </w:pPr>
            <w:r>
              <w:rPr>
                <w:lang w:val="en-GB"/>
              </w:rPr>
              <w:t>5 MHz</w:t>
            </w:r>
          </w:p>
        </w:tc>
      </w:tr>
      <w:tr w:rsidR="00954C83" w14:paraId="684DFC8B" w14:textId="77777777" w:rsidTr="00954C83">
        <w:tc>
          <w:tcPr>
            <w:tcW w:w="4248" w:type="dxa"/>
          </w:tcPr>
          <w:p w14:paraId="684DFC88" w14:textId="77777777" w:rsidR="00954C83" w:rsidRDefault="00954C83" w:rsidP="00954C83">
            <w:pPr>
              <w:rPr>
                <w:lang w:val="en-GB"/>
              </w:rPr>
            </w:pPr>
            <w:r>
              <w:rPr>
                <w:lang w:val="en-GB"/>
              </w:rPr>
              <w:t>Remaining DL WBB ECS frequencies</w:t>
            </w:r>
          </w:p>
        </w:tc>
        <w:tc>
          <w:tcPr>
            <w:tcW w:w="2880" w:type="dxa"/>
          </w:tcPr>
          <w:p w14:paraId="684DFC89" w14:textId="77777777" w:rsidR="00954C83" w:rsidRDefault="00954C83" w:rsidP="00954C83">
            <w:pPr>
              <w:rPr>
                <w:lang w:val="en-GB"/>
              </w:rPr>
            </w:pPr>
            <w:r>
              <w:rPr>
                <w:lang w:val="en-GB"/>
              </w:rPr>
              <w:t xml:space="preserve">9 dBm </w:t>
            </w:r>
          </w:p>
        </w:tc>
        <w:tc>
          <w:tcPr>
            <w:tcW w:w="2727" w:type="dxa"/>
          </w:tcPr>
          <w:p w14:paraId="684DFC8A" w14:textId="77777777" w:rsidR="00954C83" w:rsidRDefault="00954C83" w:rsidP="00954C83">
            <w:pPr>
              <w:rPr>
                <w:lang w:val="en-GB"/>
              </w:rPr>
            </w:pPr>
            <w:r>
              <w:rPr>
                <w:lang w:val="en-GB"/>
              </w:rPr>
              <w:t>5 MHz</w:t>
            </w:r>
          </w:p>
        </w:tc>
      </w:tr>
    </w:tbl>
    <w:p w14:paraId="684DFC8C" w14:textId="77777777" w:rsidR="00975E33" w:rsidRDefault="00975E33" w:rsidP="00954C83">
      <w:pPr>
        <w:pStyle w:val="ECCParagraph"/>
      </w:pPr>
    </w:p>
    <w:p w14:paraId="684DFC8D" w14:textId="77777777" w:rsidR="00954C83" w:rsidRDefault="00954C83" w:rsidP="00954C83">
      <w:pPr>
        <w:pStyle w:val="ECCParagraph"/>
      </w:pPr>
      <w:r>
        <w:t xml:space="preserve">For further details on BS operating in 1452-1492 MHz, see Section </w:t>
      </w:r>
      <w:r>
        <w:fldChar w:fldCharType="begin"/>
      </w:r>
      <w:r>
        <w:instrText xml:space="preserve"> REF _Ref481058056 \r \h </w:instrText>
      </w:r>
      <w:r>
        <w:fldChar w:fldCharType="separate"/>
      </w:r>
      <w:r w:rsidR="00B616E1">
        <w:t>6</w:t>
      </w:r>
      <w:r>
        <w:fldChar w:fldCharType="end"/>
      </w:r>
      <w:r>
        <w:t>.</w:t>
      </w:r>
    </w:p>
    <w:p w14:paraId="684DFC8E" w14:textId="77777777" w:rsidR="00954C83" w:rsidRPr="00E7502F" w:rsidRDefault="00954C83" w:rsidP="00954C83">
      <w:pPr>
        <w:pStyle w:val="ECCParagraph"/>
      </w:pPr>
    </w:p>
    <w:p w14:paraId="684DFC8F" w14:textId="77777777" w:rsidR="00954C83" w:rsidRDefault="00954C83" w:rsidP="00954C83">
      <w:pPr>
        <w:pStyle w:val="Heading1"/>
        <w:tabs>
          <w:tab w:val="num" w:pos="432"/>
        </w:tabs>
        <w:ind w:left="432" w:hanging="432"/>
        <w:jc w:val="left"/>
      </w:pPr>
      <w:bookmarkStart w:id="36" w:name="_Toc492574937"/>
      <w:bookmarkStart w:id="37" w:name="_Toc498934658"/>
      <w:r>
        <w:lastRenderedPageBreak/>
        <w:t>CO-EXISTENCE WITH INCUMBENT RADIO SERVICES AND APPLICATIONS IN THE 1427-1518 MHZ band</w:t>
      </w:r>
      <w:bookmarkEnd w:id="36"/>
      <w:bookmarkEnd w:id="37"/>
    </w:p>
    <w:p w14:paraId="684DFC90" w14:textId="77777777" w:rsidR="00954C83" w:rsidRDefault="00954C83" w:rsidP="00954C83">
      <w:pPr>
        <w:pStyle w:val="ECCParagraph"/>
      </w:pPr>
      <w:r>
        <w:t>The EC Mandate addresses in Task 3 the possibility of co-existence with incumbent radio services and applications in the 1427-1518 MHz frequency range. Therefore the following sections consider sharing and compatibility scenarios with the relevant radio services and applications. In this respect, it is noted that the frequency bands 1427-1452 MHz and 1492-1518 MHz are allocated to the mobile service (except aeronautical mobile service) and fixed service on a co-primary basis and identified for use by administrations wishing to implement International Mobile Telecommunications (IMT) in ITU Region 1.</w:t>
      </w:r>
    </w:p>
    <w:p w14:paraId="684DFC91" w14:textId="77777777" w:rsidR="00954C83" w:rsidRDefault="00954C83" w:rsidP="00954C83">
      <w:pPr>
        <w:pStyle w:val="ECCParagraph"/>
      </w:pPr>
      <w:r w:rsidRPr="0004037D">
        <w:rPr>
          <w:rFonts w:cs="Arial"/>
        </w:rPr>
        <w:t xml:space="preserve">CEPT is supporting the current bilateral cross border coordination process between relevant CEPT countries (including those listed in ITU RR No. 5.342) on </w:t>
      </w:r>
      <w:r>
        <w:rPr>
          <w:rFonts w:cs="Arial"/>
        </w:rPr>
        <w:t>MFCN (</w:t>
      </w:r>
      <w:r w:rsidRPr="0004037D">
        <w:rPr>
          <w:rFonts w:cs="Arial"/>
        </w:rPr>
        <w:t>WBB ECS</w:t>
      </w:r>
      <w:r>
        <w:rPr>
          <w:rFonts w:cs="Arial"/>
        </w:rPr>
        <w:t>)</w:t>
      </w:r>
      <w:r w:rsidRPr="0004037D">
        <w:rPr>
          <w:rFonts w:cs="Arial"/>
        </w:rPr>
        <w:t xml:space="preserve"> and ATS (aeronautical telemetry system) in the 1429-1518 MHz band.</w:t>
      </w:r>
    </w:p>
    <w:p w14:paraId="684DFC92" w14:textId="77777777" w:rsidR="00954C83" w:rsidRDefault="00954C83" w:rsidP="00954C83">
      <w:pPr>
        <w:pStyle w:val="Heading2"/>
        <w:spacing w:after="60"/>
        <w:jc w:val="both"/>
      </w:pPr>
      <w:bookmarkStart w:id="38" w:name="_Toc492574938"/>
      <w:bookmarkStart w:id="39" w:name="_Toc498934659"/>
      <w:r>
        <w:t>Sharing and compatibility between WBB ECS and Fixed Service</w:t>
      </w:r>
      <w:bookmarkEnd w:id="38"/>
      <w:bookmarkEnd w:id="39"/>
    </w:p>
    <w:p w14:paraId="684DFC93" w14:textId="77777777" w:rsidR="00954C83" w:rsidRPr="001376AB" w:rsidRDefault="00954C83" w:rsidP="00954C83">
      <w:pPr>
        <w:pStyle w:val="ECCParagraph"/>
      </w:pPr>
      <w:r>
        <w:t xml:space="preserve">As a starting point it has to be noted that the studies in ECC Report 202 </w:t>
      </w:r>
      <w:r>
        <w:fldChar w:fldCharType="begin"/>
      </w:r>
      <w:r>
        <w:instrText xml:space="preserve"> REF _Ref481765799 \r \h </w:instrText>
      </w:r>
      <w:r>
        <w:fldChar w:fldCharType="separate"/>
      </w:r>
      <w:r w:rsidR="00B616E1">
        <w:t>[7]</w:t>
      </w:r>
      <w:r>
        <w:fldChar w:fldCharType="end"/>
      </w:r>
      <w:r>
        <w:t xml:space="preserve">, provide in-block and Out-of-Band e.i.r.p. (OOBE) limits for the harmonised use of 1452-1492 MHz for WBB SDL, which ensure coexistence with applications/services in the adjacent band including Tactical Radio Relays, coordinated Fixed Links and aeronautical telemetry ground stations operating below 1452 MHz and above 1492 MHz. </w:t>
      </w:r>
    </w:p>
    <w:p w14:paraId="684DFC94" w14:textId="77777777" w:rsidR="00954C83" w:rsidRDefault="00954C83" w:rsidP="00954C83">
      <w:pPr>
        <w:pStyle w:val="ECCParagraph"/>
      </w:pPr>
      <w:r>
        <w:t xml:space="preserve">It is widely accepted that co-frequency, co-coverage operation of mobile and fixed service is not feasible. In this context it needs to be highlighted that ECC Report 45 </w:t>
      </w:r>
      <w:r>
        <w:fldChar w:fldCharType="begin"/>
      </w:r>
      <w:r>
        <w:instrText xml:space="preserve"> REF _Ref482006118 \r \h </w:instrText>
      </w:r>
      <w:r>
        <w:fldChar w:fldCharType="separate"/>
      </w:r>
      <w:r w:rsidR="00B616E1">
        <w:t>[8]</w:t>
      </w:r>
      <w:r>
        <w:fldChar w:fldCharType="end"/>
      </w:r>
      <w:r>
        <w:t xml:space="preserve"> as well as ERC Report 64 </w:t>
      </w:r>
      <w:r>
        <w:fldChar w:fldCharType="begin"/>
      </w:r>
      <w:r>
        <w:instrText xml:space="preserve"> REF _Ref482006126 \r \h </w:instrText>
      </w:r>
      <w:r>
        <w:fldChar w:fldCharType="separate"/>
      </w:r>
      <w:r w:rsidR="00B616E1">
        <w:t>[9]</w:t>
      </w:r>
      <w:r>
        <w:fldChar w:fldCharType="end"/>
      </w:r>
      <w:r>
        <w:t xml:space="preserve"> addressed coexistence of mobile system (UMTS) with fixed service operating in the 2.5 GHz and 2.1 GHz bands, respectively. In general terms, it shows that a large separation distance (tens of k</w:t>
      </w:r>
      <w:r w:rsidR="00975E33">
        <w:t>ilometres</w:t>
      </w:r>
      <w:r>
        <w:t xml:space="preserve">) is required in order to ensure coexistence (in co-frequency operation). </w:t>
      </w:r>
    </w:p>
    <w:p w14:paraId="684DFC95" w14:textId="77777777" w:rsidR="00954C83" w:rsidRDefault="00954C83" w:rsidP="00954C83">
      <w:pPr>
        <w:pStyle w:val="ECCParagraph"/>
      </w:pPr>
      <w:r>
        <w:t xml:space="preserve">Moreover, taking into account the results of CEPT Report 54 </w:t>
      </w:r>
      <w:r>
        <w:fldChar w:fldCharType="begin"/>
      </w:r>
      <w:r>
        <w:instrText xml:space="preserve"> REF _Ref482006194 \r \h </w:instrText>
      </w:r>
      <w:r>
        <w:fldChar w:fldCharType="separate"/>
      </w:r>
      <w:r w:rsidR="00B616E1">
        <w:t>[10]</w:t>
      </w:r>
      <w:r>
        <w:fldChar w:fldCharType="end"/>
      </w:r>
      <w:r>
        <w:t>, in the case where an Administration uses fixed links in the bands 1427-1452 MHz and/or in 1492-1518 MHz, adjacent to WBB SDL, this Administration may implement at national level some specific measures to ensure coexistence. Those measures would need to include site coordination (which may include additional technical/operational conditions i.e. frequency-territorial planning) in the case of coordinated fixed links or more restrictive technical conditions in the case of uncoordinated fixed links. These technical conditions such as more stringent out-of-band emission limits are highly dependent of the uncoordinated fixed links considered and are as such only relevant for the concerned administration.</w:t>
      </w:r>
    </w:p>
    <w:p w14:paraId="684DFC96" w14:textId="77777777" w:rsidR="00954C83" w:rsidRDefault="00954C83" w:rsidP="00954C83">
      <w:pPr>
        <w:pStyle w:val="ECCParagraph"/>
      </w:pPr>
      <w:r>
        <w:t>The ability to make the frequency bands available for DL WBB ECS varies at national level. Therefore, flexibility is needed.</w:t>
      </w:r>
    </w:p>
    <w:p w14:paraId="684DFC97" w14:textId="77777777" w:rsidR="00954C83" w:rsidRDefault="00954C83" w:rsidP="00954C83">
      <w:pPr>
        <w:pStyle w:val="Heading2"/>
        <w:spacing w:after="60"/>
        <w:jc w:val="both"/>
      </w:pPr>
      <w:bookmarkStart w:id="40" w:name="_Toc492574939"/>
      <w:bookmarkStart w:id="41" w:name="_Toc498934660"/>
      <w:r>
        <w:t>Introduction of WBB ECS in sub-bands</w:t>
      </w:r>
      <w:bookmarkEnd w:id="40"/>
      <w:bookmarkEnd w:id="41"/>
    </w:p>
    <w:p w14:paraId="684DFC98" w14:textId="77777777" w:rsidR="00954C83" w:rsidRDefault="00954C83" w:rsidP="00954C83">
      <w:pPr>
        <w:pStyle w:val="ECCParagraph"/>
      </w:pPr>
      <w:r>
        <w:t xml:space="preserve">It is not expected that WBB ECS and incumbent services would operate within the same sub-band. </w:t>
      </w:r>
    </w:p>
    <w:p w14:paraId="684DFC99" w14:textId="77777777" w:rsidR="00954C83" w:rsidRDefault="00954C83" w:rsidP="00954C83">
      <w:pPr>
        <w:pStyle w:val="ECCParagraph"/>
      </w:pPr>
      <w:r>
        <w:t xml:space="preserve">CEPT confirms that the DL WBB ECS inherently offers national flexibility to administrations to introduce WBB ECS in all parts of the extension bands. The flexibility introduced gives freedom to administration to use 1427-1452 MHz (respectively 1492-1518 MHz) either for incumbent services or for DL WBB ECS. </w:t>
      </w:r>
      <w:r>
        <w:fldChar w:fldCharType="begin"/>
      </w:r>
      <w:r>
        <w:instrText xml:space="preserve"> REF _Ref481058385 \r \h </w:instrText>
      </w:r>
      <w:r>
        <w:fldChar w:fldCharType="separate"/>
      </w:r>
      <w:r w:rsidR="00B616E1">
        <w:t>A2.2</w:t>
      </w:r>
      <w:r>
        <w:fldChar w:fldCharType="end"/>
      </w:r>
      <w:r>
        <w:t xml:space="preserve"> provides additional details on the options available to administrations. </w:t>
      </w:r>
    </w:p>
    <w:p w14:paraId="684DFC9A" w14:textId="77777777" w:rsidR="00954C83" w:rsidRDefault="00954C83" w:rsidP="00954C83">
      <w:pPr>
        <w:pStyle w:val="Heading2"/>
        <w:spacing w:after="60"/>
        <w:jc w:val="both"/>
      </w:pPr>
      <w:bookmarkStart w:id="42" w:name="_Toc492574940"/>
      <w:bookmarkStart w:id="43" w:name="_Toc498934661"/>
      <w:r>
        <w:t>Sharing and compatibility between WBB ECS and aeronautical mobile service</w:t>
      </w:r>
      <w:bookmarkEnd w:id="42"/>
      <w:bookmarkEnd w:id="43"/>
    </w:p>
    <w:p w14:paraId="684DFC9B" w14:textId="77777777" w:rsidR="00954C83" w:rsidRDefault="00954C83" w:rsidP="00954C83">
      <w:pPr>
        <w:pStyle w:val="ECCParagraph"/>
      </w:pPr>
      <w:r>
        <w:t xml:space="preserve">The frequency bands 1427-1452 MHz and 1492-1518 MHz are allocated to the mobile service (except aeronautical mobile service) and fixed service on a co-primary basis and identified for use by administrations wishing to implement International Mobile Telecommunications (IMT) in ITU Region 1. In some CEPT countries, the band is also allocated on a co-primary basis to aeronautical mobile service exclusively for the purpose of aeronautical telemetry within the national territory according to No 5.342 of the ITU Radio Regulations </w:t>
      </w:r>
      <w:r>
        <w:fldChar w:fldCharType="begin"/>
      </w:r>
      <w:r>
        <w:instrText xml:space="preserve"> REF _Ref481765869 \r \h </w:instrText>
      </w:r>
      <w:r>
        <w:fldChar w:fldCharType="separate"/>
      </w:r>
      <w:r w:rsidR="00B616E1">
        <w:t>[2]</w:t>
      </w:r>
      <w:r>
        <w:fldChar w:fldCharType="end"/>
      </w:r>
      <w:r>
        <w:t>.</w:t>
      </w:r>
    </w:p>
    <w:p w14:paraId="684DFC9C" w14:textId="77777777" w:rsidR="00954C83" w:rsidRPr="0004037D" w:rsidRDefault="00954C83" w:rsidP="00954C83">
      <w:pPr>
        <w:pStyle w:val="ECCParagraph"/>
      </w:pPr>
      <w:r w:rsidRPr="0004037D">
        <w:lastRenderedPageBreak/>
        <w:t>The aeronautical telemetry stations of aeronautical mobile service in the countries mentioned in No 5.342 RR have equality of right to operate with WBB ECS stations.</w:t>
      </w:r>
    </w:p>
    <w:p w14:paraId="684DFC9D" w14:textId="77777777" w:rsidR="00954C83" w:rsidRDefault="00954C83" w:rsidP="00954C83">
      <w:pPr>
        <w:pStyle w:val="ECCParagraph"/>
      </w:pPr>
      <w:r w:rsidRPr="0004037D">
        <w:t xml:space="preserve">Cross-border coordination between DL WBB ECS and aeronautical telemetry in the frequency bands </w:t>
      </w:r>
      <w:r w:rsidRPr="0004037D">
        <w:br/>
        <w:t>1429-1452 MHz and 1492-1518 MHz will be addressed between the CEPT administrations concerned on a bi/multi-lateral basis and CEPT has initiated some activity to provide guidance to concerned administrations.</w:t>
      </w:r>
    </w:p>
    <w:p w14:paraId="684DFC9E" w14:textId="77777777" w:rsidR="00954C83" w:rsidRDefault="00954C83" w:rsidP="00954C83">
      <w:pPr>
        <w:pStyle w:val="Heading1"/>
        <w:spacing w:after="60"/>
      </w:pPr>
      <w:bookmarkStart w:id="44" w:name="_Toc492574941"/>
      <w:bookmarkStart w:id="45" w:name="_Toc498934662"/>
      <w:r>
        <w:lastRenderedPageBreak/>
        <w:t>Maximum in-band e.i.r.p. for base stations operating in 1427-1452 and 1492-1517 MH</w:t>
      </w:r>
      <w:r>
        <w:rPr>
          <w:caps w:val="0"/>
          <w:sz w:val="18"/>
        </w:rPr>
        <w:t>z</w:t>
      </w:r>
      <w:bookmarkEnd w:id="44"/>
      <w:bookmarkEnd w:id="45"/>
    </w:p>
    <w:p w14:paraId="684DFC9F" w14:textId="77777777" w:rsidR="00954C83" w:rsidRDefault="00954C83" w:rsidP="00954C83">
      <w:pPr>
        <w:pStyle w:val="Heading2"/>
        <w:spacing w:after="60"/>
        <w:jc w:val="both"/>
      </w:pPr>
      <w:bookmarkStart w:id="46" w:name="_Toc492574942"/>
      <w:bookmarkStart w:id="47" w:name="_Toc498934663"/>
      <w:r>
        <w:t>Legacy Situation in 1452-1492 MHz</w:t>
      </w:r>
      <w:bookmarkEnd w:id="46"/>
      <w:bookmarkEnd w:id="47"/>
    </w:p>
    <w:p w14:paraId="684DFCA0" w14:textId="77777777" w:rsidR="00954C83" w:rsidRDefault="00954C83" w:rsidP="00954C83">
      <w:pPr>
        <w:pStyle w:val="ECCParagraph"/>
      </w:pPr>
      <w:r>
        <w:t xml:space="preserve">The ECC Decision 13(03) </w:t>
      </w:r>
      <w:r>
        <w:fldChar w:fldCharType="begin"/>
      </w:r>
      <w:r>
        <w:instrText xml:space="preserve"> REF _Ref481765313 \r \h  \* MERGEFORMAT </w:instrText>
      </w:r>
      <w:r>
        <w:fldChar w:fldCharType="separate"/>
      </w:r>
      <w:r w:rsidR="00B616E1">
        <w:t>[11]</w:t>
      </w:r>
      <w:r>
        <w:fldChar w:fldCharType="end"/>
      </w:r>
      <w:r>
        <w:t xml:space="preserve"> states that:</w:t>
      </w:r>
    </w:p>
    <w:p w14:paraId="684DFCA1" w14:textId="77777777" w:rsidR="00954C83" w:rsidRDefault="00954C83" w:rsidP="00954C83">
      <w:pPr>
        <w:pStyle w:val="ECCParagraph"/>
        <w:rPr>
          <w:rStyle w:val="Emphasis"/>
        </w:rPr>
      </w:pPr>
      <w:r>
        <w:t>"</w:t>
      </w:r>
      <w:r>
        <w:rPr>
          <w:rStyle w:val="Emphasis"/>
        </w:rPr>
        <w:t>Administrations should take into account the following aspects:</w:t>
      </w:r>
    </w:p>
    <w:p w14:paraId="684DFCA2" w14:textId="77777777" w:rsidR="00954C83" w:rsidRDefault="00954C83" w:rsidP="00954C83">
      <w:pPr>
        <w:pStyle w:val="ECCBulletsLv1"/>
        <w:rPr>
          <w:rStyle w:val="Emphasis"/>
        </w:rPr>
      </w:pPr>
      <w:r>
        <w:rPr>
          <w:rStyle w:val="Emphasis"/>
        </w:rPr>
        <w:t>It is not desirable to restrict the in-band e.i.r.p. as the 1452-1492 MHz band could be aggregated with FDD coverage bands in lower frequencies and thus higher in-band e.i.r.p. for a base station allows benefiting of the SDL capacity across the base station cell.</w:t>
      </w:r>
    </w:p>
    <w:p w14:paraId="684DFCA3" w14:textId="77777777" w:rsidR="00954C83" w:rsidRDefault="00954C83" w:rsidP="00954C83">
      <w:pPr>
        <w:pStyle w:val="ECCBulletsLv1"/>
        <w:rPr>
          <w:rStyle w:val="Emphasis"/>
        </w:rPr>
      </w:pPr>
      <w:r>
        <w:rPr>
          <w:rStyle w:val="Emphasis"/>
        </w:rPr>
        <w:t>Based on deployment requirements and on compatibility studies with other services operating in adjacent bands (see ECC Report 202), an administration could at national level:</w:t>
      </w:r>
    </w:p>
    <w:p w14:paraId="684DFCA4" w14:textId="77777777" w:rsidR="00954C83" w:rsidRDefault="00954C83" w:rsidP="0081111A">
      <w:pPr>
        <w:pStyle w:val="ECCBulletsLv2"/>
        <w:numPr>
          <w:ilvl w:val="0"/>
          <w:numId w:val="10"/>
        </w:numPr>
        <w:ind w:left="680" w:hanging="340"/>
        <w:rPr>
          <w:rStyle w:val="Emphasis"/>
          <w:szCs w:val="24"/>
        </w:rPr>
      </w:pPr>
      <w:proofErr w:type="gramStart"/>
      <w:r>
        <w:rPr>
          <w:rStyle w:val="Emphasis"/>
        </w:rPr>
        <w:t>restrict</w:t>
      </w:r>
      <w:proofErr w:type="gramEnd"/>
      <w:r>
        <w:rPr>
          <w:rStyle w:val="Emphasis"/>
        </w:rPr>
        <w:t xml:space="preserve"> base stations in-band e.i.r.p.. Such limit may range up to 68 dBm. Higher e.i.r.p. may be considered in specific circumstances;</w:t>
      </w:r>
    </w:p>
    <w:p w14:paraId="684DFCA5" w14:textId="77777777" w:rsidR="00954C83" w:rsidRDefault="00954C83" w:rsidP="00954C83">
      <w:pPr>
        <w:pStyle w:val="ECCBulletsLv1"/>
        <w:numPr>
          <w:ilvl w:val="0"/>
          <w:numId w:val="0"/>
        </w:numPr>
        <w:ind w:left="340"/>
        <w:rPr>
          <w:rStyle w:val="Emphasis"/>
        </w:rPr>
      </w:pPr>
      <w:r>
        <w:rPr>
          <w:rStyle w:val="Emphasis"/>
        </w:rPr>
        <w:tab/>
        <w:t xml:space="preserve">and/or </w:t>
      </w:r>
    </w:p>
    <w:p w14:paraId="684DFCA6" w14:textId="77777777" w:rsidR="00954C83" w:rsidRDefault="00954C83" w:rsidP="00954C83">
      <w:pPr>
        <w:pStyle w:val="ECCBulletsLv1"/>
        <w:tabs>
          <w:tab w:val="clear" w:pos="340"/>
          <w:tab w:val="left" w:pos="709"/>
        </w:tabs>
        <w:ind w:hanging="56"/>
      </w:pPr>
      <w:r>
        <w:rPr>
          <w:rStyle w:val="Emphasis"/>
        </w:rPr>
        <w:t>according to the service considered: handle coordination of stations.</w:t>
      </w:r>
      <w:r>
        <w:t>"</w:t>
      </w:r>
    </w:p>
    <w:p w14:paraId="684DFCA7" w14:textId="77777777" w:rsidR="00954C83" w:rsidRDefault="00954C83" w:rsidP="00954C83">
      <w:pPr>
        <w:pStyle w:val="Heading2"/>
        <w:spacing w:after="60"/>
        <w:jc w:val="both"/>
      </w:pPr>
      <w:bookmarkStart w:id="48" w:name="_Toc492574943"/>
      <w:bookmarkStart w:id="49" w:name="_Toc498934664"/>
      <w:r>
        <w:t>Maximum In band e.i.r.p. for BS operating in 1427-1452 MHz</w:t>
      </w:r>
      <w:bookmarkEnd w:id="48"/>
      <w:bookmarkEnd w:id="49"/>
    </w:p>
    <w:p w14:paraId="684DFCA8" w14:textId="77777777" w:rsidR="00954C83" w:rsidRDefault="00954C83" w:rsidP="00954C83">
      <w:pPr>
        <w:pStyle w:val="ECCParagraph"/>
      </w:pPr>
      <w:r>
        <w:t xml:space="preserve">Resolution 750 </w:t>
      </w:r>
      <w:r>
        <w:fldChar w:fldCharType="begin"/>
      </w:r>
      <w:r>
        <w:instrText xml:space="preserve"> REF _Ref481765869 \r \h </w:instrText>
      </w:r>
      <w:r>
        <w:fldChar w:fldCharType="separate"/>
      </w:r>
      <w:r w:rsidR="00B616E1">
        <w:t>[2]</w:t>
      </w:r>
      <w:r>
        <w:fldChar w:fldCharType="end"/>
      </w:r>
      <w:r>
        <w:t xml:space="preserve"> provides restrictions on the emissions in 1400-1427 MHz but does not specify any requirements on emission levels above 1427 MHz. As long as the equipment complies with the unwanted emissions in 1400-1427 MHz, there is no reason to restrict the in-band e.i.r.p. in 1427-1452 MHz.</w:t>
      </w:r>
    </w:p>
    <w:p w14:paraId="684DFCA9" w14:textId="77777777" w:rsidR="00954C83" w:rsidRDefault="00954C83" w:rsidP="00954C83">
      <w:pPr>
        <w:pStyle w:val="ECCParagraph"/>
      </w:pPr>
      <w:r>
        <w:t xml:space="preserve">Therefore, the maximum in-band e.i.r.p. framework defined in EC Decision (EU) 2015/750 </w:t>
      </w:r>
      <w:r>
        <w:fldChar w:fldCharType="begin"/>
      </w:r>
      <w:r>
        <w:instrText xml:space="preserve"> REF _Ref481767554 \r \h </w:instrText>
      </w:r>
      <w:r>
        <w:fldChar w:fldCharType="separate"/>
      </w:r>
      <w:r w:rsidR="00B616E1">
        <w:t>[1]</w:t>
      </w:r>
      <w:r>
        <w:fldChar w:fldCharType="end"/>
      </w:r>
      <w:r>
        <w:t xml:space="preserve"> is applicable to the band 1427-1452 MHz.</w:t>
      </w:r>
    </w:p>
    <w:p w14:paraId="684DFCAA" w14:textId="77777777" w:rsidR="00954C83" w:rsidRDefault="00954C83" w:rsidP="00954C83">
      <w:pPr>
        <w:pStyle w:val="Heading3"/>
        <w:spacing w:after="60"/>
        <w:jc w:val="both"/>
        <w:rPr>
          <w:lang w:val="en-GB"/>
        </w:rPr>
      </w:pPr>
      <w:bookmarkStart w:id="50" w:name="_Toc492574944"/>
      <w:bookmarkStart w:id="51" w:name="_Toc498934665"/>
      <w:r>
        <w:rPr>
          <w:lang w:val="en-GB"/>
        </w:rPr>
        <w:t>Practical limitation on maximum in band e.i.r.p. in 1427-1432 MHz</w:t>
      </w:r>
      <w:bookmarkEnd w:id="50"/>
      <w:bookmarkEnd w:id="51"/>
    </w:p>
    <w:p w14:paraId="684DFCAB" w14:textId="77777777" w:rsidR="00954C83" w:rsidRDefault="00954C83" w:rsidP="00954C83">
      <w:pPr>
        <w:pStyle w:val="ECCParagraph"/>
      </w:pPr>
      <w:r>
        <w:t>It is not expected that base stations operating at maximum power in 1427-1432 MHz will be able to comply with the emission limits below 1427 MHz specified in Table 4. On the contrary, it is expected that only lower power base stations can be deployed in the block 1427-1432 MHz.</w:t>
      </w:r>
    </w:p>
    <w:p w14:paraId="684DFCAC" w14:textId="77777777" w:rsidR="00954C83" w:rsidRDefault="00954C83" w:rsidP="00954C83">
      <w:pPr>
        <w:pStyle w:val="ECCParagraph"/>
      </w:pPr>
      <w:r>
        <w:t>It is not appropriate to introduce regulatory emission limits for these bands as such limits are only related to current state-of-the-art of the technology and specific deployment models.</w:t>
      </w:r>
    </w:p>
    <w:p w14:paraId="684DFCAD" w14:textId="77777777" w:rsidR="00954C83" w:rsidRDefault="00954C83" w:rsidP="00954C83">
      <w:pPr>
        <w:pStyle w:val="Heading2"/>
        <w:spacing w:after="60"/>
        <w:jc w:val="both"/>
      </w:pPr>
      <w:bookmarkStart w:id="52" w:name="_Toc492574945"/>
      <w:bookmarkStart w:id="53" w:name="_Toc498934666"/>
      <w:bookmarkStart w:id="54" w:name="_Toc380056505"/>
      <w:bookmarkStart w:id="55" w:name="_Toc380059755"/>
      <w:bookmarkStart w:id="56" w:name="_Toc380059793"/>
      <w:bookmarkStart w:id="57" w:name="_Toc396153643"/>
      <w:bookmarkStart w:id="58" w:name="_Toc396383871"/>
      <w:bookmarkStart w:id="59" w:name="_Toc396917304"/>
      <w:bookmarkStart w:id="60" w:name="_Toc396917415"/>
      <w:bookmarkStart w:id="61" w:name="_Toc396917635"/>
      <w:bookmarkStart w:id="62" w:name="_Toc396917650"/>
      <w:bookmarkStart w:id="63" w:name="_Toc396917755"/>
      <w:bookmarkStart w:id="64" w:name="_Toc428793397"/>
      <w:r>
        <w:t>Maximum In band EIRP for BS operating in 1492-1517 MHz</w:t>
      </w:r>
      <w:bookmarkEnd w:id="52"/>
      <w:bookmarkEnd w:id="53"/>
      <w:r>
        <w:t xml:space="preserve"> </w:t>
      </w:r>
      <w:bookmarkEnd w:id="54"/>
      <w:bookmarkEnd w:id="55"/>
      <w:bookmarkEnd w:id="56"/>
      <w:bookmarkEnd w:id="57"/>
      <w:bookmarkEnd w:id="58"/>
      <w:bookmarkEnd w:id="59"/>
      <w:bookmarkEnd w:id="60"/>
      <w:bookmarkEnd w:id="61"/>
      <w:bookmarkEnd w:id="62"/>
      <w:bookmarkEnd w:id="63"/>
      <w:bookmarkEnd w:id="64"/>
    </w:p>
    <w:p w14:paraId="684DFCAE" w14:textId="77777777" w:rsidR="00954C83" w:rsidRDefault="00954C83" w:rsidP="00954C83">
      <w:pPr>
        <w:pStyle w:val="ECCParagraph"/>
      </w:pPr>
      <w:r>
        <w:t xml:space="preserve">ECC Report 263 </w:t>
      </w:r>
      <w:r>
        <w:fldChar w:fldCharType="begin"/>
      </w:r>
      <w:r>
        <w:instrText xml:space="preserve"> REF _Ref481764288 \r \h </w:instrText>
      </w:r>
      <w:r>
        <w:fldChar w:fldCharType="separate"/>
      </w:r>
      <w:r w:rsidR="00B616E1">
        <w:t>[5]</w:t>
      </w:r>
      <w:r>
        <w:fldChar w:fldCharType="end"/>
      </w:r>
      <w:r>
        <w:t xml:space="preserve"> defined the compatibility framework between IMT operating in the frequency band </w:t>
      </w:r>
      <w:r>
        <w:br/>
        <w:t xml:space="preserve">1492-1518 MHz and the MSS operating in the frequency band 1518-1525 MHz. Compatibility requirements identified in this framework include a maximum base station in band e.i.r.p. of 58 dBm/5MHz for base stations operating in 1512-1517 MHz. Corresponding minimum blocking requirements for MSS terminals operating above 1518 MHz were defined in ECC Report 263 </w:t>
      </w:r>
      <w:r w:rsidRPr="00954C83">
        <w:t>taking into account, in particular, a maximum in band e.i.r.p of 58 dBm  for BS operating in 1512-1517 MHz. CEPT requested ETSI to change the relevant harmonized standard(s) applicable to MES in order to improve the blocking requirement and this was proposed as a compromise with the maximum in band e.i.r.p. limit in the ECC</w:t>
      </w:r>
      <w:r w:rsidR="002F6193">
        <w:t xml:space="preserve"> </w:t>
      </w:r>
      <w:r w:rsidR="002F6193" w:rsidRPr="00954C83">
        <w:t xml:space="preserve">Decision </w:t>
      </w:r>
      <w:r w:rsidRPr="00954C83">
        <w:t xml:space="preserve">(17)06 </w:t>
      </w:r>
      <w:r w:rsidR="00975E33">
        <w:fldChar w:fldCharType="begin"/>
      </w:r>
      <w:r w:rsidR="00975E33">
        <w:instrText xml:space="preserve"> REF _Ref498935212 \r \h </w:instrText>
      </w:r>
      <w:r w:rsidR="00975E33">
        <w:fldChar w:fldCharType="separate"/>
      </w:r>
      <w:r w:rsidR="00B616E1">
        <w:t>[12]</w:t>
      </w:r>
      <w:r w:rsidR="00975E33">
        <w:fldChar w:fldCharType="end"/>
      </w:r>
      <w:r w:rsidR="00975E33">
        <w:t xml:space="preserve"> </w:t>
      </w:r>
      <w:r w:rsidRPr="00954C83">
        <w:t>as well as in the annex 2 of this CEPT Report. Any change of this limit would undermine this compromise.</w:t>
      </w:r>
      <w:r>
        <w:t xml:space="preserve"> </w:t>
      </w:r>
    </w:p>
    <w:p w14:paraId="684DFCAF" w14:textId="68C747BA" w:rsidR="00954C83" w:rsidRDefault="00954C83" w:rsidP="00954C83">
      <w:pPr>
        <w:pStyle w:val="Caption"/>
        <w:rPr>
          <w:lang w:val="en-GB"/>
        </w:rPr>
      </w:pPr>
      <w:r>
        <w:rPr>
          <w:lang w:val="en-GB"/>
        </w:rPr>
        <w:t xml:space="preserve">Table </w:t>
      </w:r>
      <w:r>
        <w:rPr>
          <w:lang w:val="en-GB"/>
        </w:rPr>
        <w:fldChar w:fldCharType="begin"/>
      </w:r>
      <w:r>
        <w:rPr>
          <w:lang w:val="en-GB"/>
        </w:rPr>
        <w:instrText xml:space="preserve"> SEQ Table \* ARABIC </w:instrText>
      </w:r>
      <w:r>
        <w:rPr>
          <w:lang w:val="en-GB"/>
        </w:rPr>
        <w:fldChar w:fldCharType="separate"/>
      </w:r>
      <w:r w:rsidR="00B616E1">
        <w:rPr>
          <w:noProof/>
          <w:lang w:val="en-GB"/>
        </w:rPr>
        <w:t>7</w:t>
      </w:r>
      <w:r>
        <w:rPr>
          <w:noProof/>
          <w:lang w:val="en-GB"/>
        </w:rPr>
        <w:fldChar w:fldCharType="end"/>
      </w:r>
      <w:r>
        <w:rPr>
          <w:lang w:val="en-GB"/>
        </w:rPr>
        <w:t>: Maximum in band e.i.r.p.</w:t>
      </w:r>
      <w:r w:rsidR="003A1D2E">
        <w:rPr>
          <w:lang w:val="en-GB"/>
        </w:rPr>
        <w:t xml:space="preserve"> per </w:t>
      </w:r>
      <w:proofErr w:type="gramStart"/>
      <w:r w:rsidR="003A1D2E">
        <w:rPr>
          <w:lang w:val="en-GB"/>
        </w:rPr>
        <w:t>cell</w:t>
      </w:r>
      <w:r w:rsidR="008036C8" w:rsidRPr="00C41DBC">
        <w:rPr>
          <w:vertAlign w:val="superscript"/>
          <w:lang w:val="en-GB"/>
        </w:rPr>
        <w:t>(</w:t>
      </w:r>
      <w:proofErr w:type="gramEnd"/>
      <w:r w:rsidR="008036C8" w:rsidRPr="00C41DBC">
        <w:rPr>
          <w:vertAlign w:val="superscript"/>
          <w:lang w:val="en-GB"/>
        </w:rPr>
        <w:t>1)</w:t>
      </w:r>
      <w:r>
        <w:rPr>
          <w:lang w:val="en-GB"/>
        </w:rPr>
        <w:t xml:space="preserve"> for BS operating in 1512-1517 MHz</w:t>
      </w:r>
    </w:p>
    <w:tbl>
      <w:tblPr>
        <w:tblStyle w:val="ECCTable-redheader"/>
        <w:tblW w:w="5000" w:type="pct"/>
        <w:tblLook w:val="04A0" w:firstRow="1" w:lastRow="0" w:firstColumn="1" w:lastColumn="0" w:noHBand="0" w:noVBand="1"/>
      </w:tblPr>
      <w:tblGrid>
        <w:gridCol w:w="2787"/>
        <w:gridCol w:w="3534"/>
        <w:gridCol w:w="3534"/>
      </w:tblGrid>
      <w:tr w:rsidR="00954C83" w14:paraId="684DFCB3" w14:textId="77777777" w:rsidTr="00954C83">
        <w:trPr>
          <w:cnfStyle w:val="100000000000" w:firstRow="1" w:lastRow="0" w:firstColumn="0" w:lastColumn="0" w:oddVBand="0" w:evenVBand="0" w:oddHBand="0" w:evenHBand="0" w:firstRowFirstColumn="0" w:firstRowLastColumn="0" w:lastRowFirstColumn="0" w:lastRowLastColumn="0"/>
        </w:trPr>
        <w:tc>
          <w:tcPr>
            <w:tcW w:w="1414" w:type="pct"/>
          </w:tcPr>
          <w:p w14:paraId="684DFCB0" w14:textId="77777777" w:rsidR="00954C83" w:rsidRDefault="00954C83" w:rsidP="00954C83">
            <w:pPr>
              <w:pStyle w:val="ECCTableHeaderwhitefont"/>
              <w:spacing w:before="0" w:after="0" w:line="288" w:lineRule="auto"/>
              <w:rPr>
                <w:lang w:val="en-GB"/>
              </w:rPr>
            </w:pPr>
            <w:r>
              <w:rPr>
                <w:lang w:val="en-GB"/>
              </w:rPr>
              <w:t>WBB ECS block</w:t>
            </w:r>
          </w:p>
        </w:tc>
        <w:tc>
          <w:tcPr>
            <w:tcW w:w="1793" w:type="pct"/>
          </w:tcPr>
          <w:p w14:paraId="684DFCB1" w14:textId="77777777" w:rsidR="00954C83" w:rsidRPr="00532BDB" w:rsidRDefault="00954C83" w:rsidP="00954C83">
            <w:pPr>
              <w:pStyle w:val="ECCTableHeaderwhitefont"/>
              <w:spacing w:before="0" w:after="0" w:line="288" w:lineRule="auto"/>
            </w:pPr>
            <w:r w:rsidRPr="00A8637F">
              <w:t xml:space="preserve">Maximum in band e.i.r.p. </w:t>
            </w:r>
          </w:p>
        </w:tc>
        <w:tc>
          <w:tcPr>
            <w:tcW w:w="1793" w:type="pct"/>
          </w:tcPr>
          <w:p w14:paraId="684DFCB2" w14:textId="77777777" w:rsidR="00954C83" w:rsidRDefault="00954C83" w:rsidP="00954C83">
            <w:pPr>
              <w:pStyle w:val="ECCTableHeaderwhitefont"/>
              <w:spacing w:before="0" w:after="0" w:line="288" w:lineRule="auto"/>
              <w:rPr>
                <w:lang w:val="en-GB"/>
              </w:rPr>
            </w:pPr>
            <w:r>
              <w:rPr>
                <w:lang w:val="en-GB"/>
              </w:rPr>
              <w:t>Measurement bandwidth</w:t>
            </w:r>
          </w:p>
        </w:tc>
      </w:tr>
      <w:tr w:rsidR="00954C83" w14:paraId="684DFCB7" w14:textId="77777777" w:rsidTr="00954C83">
        <w:trPr>
          <w:trHeight w:val="265"/>
        </w:trPr>
        <w:tc>
          <w:tcPr>
            <w:tcW w:w="1414" w:type="pct"/>
          </w:tcPr>
          <w:p w14:paraId="684DFCB4" w14:textId="77777777" w:rsidR="00954C83" w:rsidRDefault="00954C83" w:rsidP="00954C83">
            <w:pPr>
              <w:pStyle w:val="ECCTabletext"/>
            </w:pPr>
            <w:r>
              <w:t>1512-1517 MHz</w:t>
            </w:r>
          </w:p>
        </w:tc>
        <w:tc>
          <w:tcPr>
            <w:tcW w:w="1793" w:type="pct"/>
          </w:tcPr>
          <w:p w14:paraId="684DFCB5" w14:textId="77777777" w:rsidR="00954C83" w:rsidRDefault="00954C83" w:rsidP="00954C83">
            <w:pPr>
              <w:pStyle w:val="ECCTabletext"/>
            </w:pPr>
            <w:r>
              <w:t>58 dBm</w:t>
            </w:r>
          </w:p>
        </w:tc>
        <w:tc>
          <w:tcPr>
            <w:tcW w:w="1793" w:type="pct"/>
          </w:tcPr>
          <w:p w14:paraId="684DFCB6" w14:textId="77777777" w:rsidR="00954C83" w:rsidRDefault="00954C83" w:rsidP="00954C83">
            <w:pPr>
              <w:pStyle w:val="ECCTabletext"/>
            </w:pPr>
            <w:r>
              <w:t>5 MHz</w:t>
            </w:r>
          </w:p>
        </w:tc>
      </w:tr>
      <w:tr w:rsidR="008036C8" w14:paraId="22420FF5" w14:textId="77777777" w:rsidTr="008036C8">
        <w:trPr>
          <w:trHeight w:val="265"/>
        </w:trPr>
        <w:tc>
          <w:tcPr>
            <w:tcW w:w="5000" w:type="pct"/>
            <w:gridSpan w:val="3"/>
          </w:tcPr>
          <w:p w14:paraId="0C6538D6" w14:textId="1C3DE592" w:rsidR="008036C8" w:rsidRDefault="008036C8" w:rsidP="00954C83">
            <w:pPr>
              <w:pStyle w:val="ECCTabletext"/>
            </w:pPr>
            <w:r w:rsidRPr="00C41DBC">
              <w:rPr>
                <w:vertAlign w:val="superscript"/>
              </w:rPr>
              <w:t>(1)</w:t>
            </w:r>
            <w:r w:rsidRPr="00C41DBC">
              <w:t xml:space="preserve"> In a multi-sector site, the value per ‘cell’ corresponds to the value for one of the sectors.</w:t>
            </w:r>
          </w:p>
        </w:tc>
      </w:tr>
    </w:tbl>
    <w:p w14:paraId="684DFCB8" w14:textId="77777777" w:rsidR="00AB46DF" w:rsidRDefault="00954C83" w:rsidP="00954C83">
      <w:pPr>
        <w:pStyle w:val="ECCParagraph"/>
      </w:pPr>
      <w:r>
        <w:lastRenderedPageBreak/>
        <w:t>For base stations operating below 1512 MHz (i.e. more than 6 MHz away from MSS terminals), there is no reason to restrict the WBB ECS BS maximum in band e.i.r.p</w:t>
      </w:r>
      <w:proofErr w:type="gramStart"/>
      <w:r>
        <w:t>..</w:t>
      </w:r>
      <w:proofErr w:type="gramEnd"/>
      <w:r>
        <w:t xml:space="preserve"> Therefore, the maximum in-band e.i.r.p. framework defined in EC Decision (EU) 2015/750 is applicable to the band 1492-1512 MHz.</w:t>
      </w:r>
      <w:bookmarkEnd w:id="26"/>
    </w:p>
    <w:p w14:paraId="684DFCB9" w14:textId="77777777" w:rsidR="00954C83" w:rsidRDefault="00954C83" w:rsidP="00954C83">
      <w:pPr>
        <w:pStyle w:val="Heading1"/>
        <w:spacing w:after="60"/>
      </w:pPr>
      <w:bookmarkStart w:id="65" w:name="_Ref481058056"/>
      <w:bookmarkStart w:id="66" w:name="_Toc492574946"/>
      <w:bookmarkStart w:id="67" w:name="_Toc498934667"/>
      <w:bookmarkStart w:id="68" w:name="_Toc492574947"/>
      <w:r>
        <w:lastRenderedPageBreak/>
        <w:t>Impact on LRTC for WBB ECS BS opErating in 1452-1492 MHz</w:t>
      </w:r>
      <w:bookmarkEnd w:id="65"/>
      <w:bookmarkEnd w:id="66"/>
      <w:bookmarkEnd w:id="67"/>
    </w:p>
    <w:p w14:paraId="684DFCBA" w14:textId="77777777" w:rsidR="00954C83" w:rsidRDefault="00954C83" w:rsidP="00954C83">
      <w:pPr>
        <w:pStyle w:val="Heading2"/>
        <w:spacing w:after="60"/>
        <w:jc w:val="both"/>
      </w:pPr>
      <w:bookmarkStart w:id="69" w:name="_Toc498934668"/>
      <w:r>
        <w:t>Current emission limits in adjacent band</w:t>
      </w:r>
      <w:bookmarkEnd w:id="68"/>
      <w:bookmarkEnd w:id="69"/>
      <w:r>
        <w:t xml:space="preserve"> </w:t>
      </w:r>
    </w:p>
    <w:p w14:paraId="684DFCBB" w14:textId="77777777" w:rsidR="00954C83" w:rsidRDefault="00954C83" w:rsidP="00954C83">
      <w:pPr>
        <w:pStyle w:val="ECCParagraph"/>
      </w:pPr>
      <w:r>
        <w:t xml:space="preserve">EC Decision (EU) 2015/750 </w:t>
      </w:r>
      <w:r>
        <w:fldChar w:fldCharType="begin"/>
      </w:r>
      <w:r>
        <w:instrText xml:space="preserve"> REF _Ref481767554 \r \h </w:instrText>
      </w:r>
      <w:r>
        <w:fldChar w:fldCharType="separate"/>
      </w:r>
      <w:r w:rsidR="00B616E1">
        <w:t>[1]</w:t>
      </w:r>
      <w:r>
        <w:fldChar w:fldCharType="end"/>
      </w:r>
      <w:r>
        <w:t xml:space="preserve"> harmonises the use of the band 1452-1492 MHz for terrestrial mobile/fixed communications networks supplemental downlink (MFCN SDL). </w:t>
      </w:r>
    </w:p>
    <w:p w14:paraId="684DFCBC" w14:textId="0EABE323" w:rsidR="00954C83" w:rsidRDefault="00954C83" w:rsidP="00954C83">
      <w:pPr>
        <w:pStyle w:val="ECCParagraph"/>
      </w:pPr>
      <w:r>
        <w:t>EC Decision (EU) 2015/750 currently specifies emission limits below 1452 MHz and above 1492 MHz, based on the services that were operating in 1427-1452 MHz and 1492-1518 MHz when the Decision was adopted (See Table below).</w:t>
      </w:r>
      <w:r w:rsidR="009655F1">
        <w:t xml:space="preserve"> </w:t>
      </w:r>
      <w:r w:rsidR="006873CB" w:rsidRPr="00C41DBC">
        <w:t>Although the initial technical studies may have considered interference per cell and not just per antenna, these limits should not be modified since already part of existing licences</w:t>
      </w:r>
      <w:r w:rsidR="006873CB">
        <w:t xml:space="preserve">. </w:t>
      </w:r>
    </w:p>
    <w:p w14:paraId="684DFCBD" w14:textId="2BD1972C" w:rsidR="00954C83" w:rsidRDefault="00954C83" w:rsidP="00954C83">
      <w:pPr>
        <w:pStyle w:val="Caption"/>
        <w:rPr>
          <w:lang w:val="en-GB"/>
        </w:rPr>
      </w:pPr>
      <w:r>
        <w:rPr>
          <w:lang w:val="en-GB"/>
        </w:rPr>
        <w:t xml:space="preserve">Table </w:t>
      </w:r>
      <w:r>
        <w:rPr>
          <w:lang w:val="en-GB"/>
        </w:rPr>
        <w:fldChar w:fldCharType="begin"/>
      </w:r>
      <w:r>
        <w:rPr>
          <w:lang w:val="en-GB"/>
        </w:rPr>
        <w:instrText xml:space="preserve"> SEQ Table \* ARABIC </w:instrText>
      </w:r>
      <w:r>
        <w:rPr>
          <w:lang w:val="en-GB"/>
        </w:rPr>
        <w:fldChar w:fldCharType="separate"/>
      </w:r>
      <w:r w:rsidR="00B616E1">
        <w:rPr>
          <w:noProof/>
          <w:lang w:val="en-GB"/>
        </w:rPr>
        <w:t>8</w:t>
      </w:r>
      <w:r>
        <w:rPr>
          <w:lang w:val="en-GB"/>
        </w:rPr>
        <w:fldChar w:fldCharType="end"/>
      </w:r>
      <w:r>
        <w:rPr>
          <w:lang w:val="en-GB"/>
        </w:rPr>
        <w:t xml:space="preserve">: Base station </w:t>
      </w:r>
      <w:bookmarkStart w:id="70" w:name="_Hlk480829079"/>
      <w:r>
        <w:rPr>
          <w:lang w:val="en-GB"/>
        </w:rPr>
        <w:t>out-of-block e.i.r.p. limits out of the band 1452-1492 MHz</w:t>
      </w:r>
      <w:r>
        <w:rPr>
          <w:lang w:val="en-GB"/>
        </w:rPr>
        <w:br/>
        <w:t xml:space="preserve">as specified in </w:t>
      </w:r>
      <w:bookmarkEnd w:id="70"/>
      <w:r>
        <w:rPr>
          <w:lang w:val="en-GB"/>
        </w:rPr>
        <w:t>EC Decision 2015/750</w:t>
      </w:r>
    </w:p>
    <w:tbl>
      <w:tblPr>
        <w:tblStyle w:val="ECCTable-redheader"/>
        <w:tblW w:w="0" w:type="auto"/>
        <w:tblLook w:val="01E0" w:firstRow="1" w:lastRow="1" w:firstColumn="1" w:lastColumn="1" w:noHBand="0" w:noVBand="0"/>
      </w:tblPr>
      <w:tblGrid>
        <w:gridCol w:w="4248"/>
        <w:gridCol w:w="2880"/>
        <w:gridCol w:w="2727"/>
      </w:tblGrid>
      <w:tr w:rsidR="00954C83" w14:paraId="684DFCC1" w14:textId="77777777" w:rsidTr="00954C83">
        <w:trPr>
          <w:cnfStyle w:val="100000000000" w:firstRow="1" w:lastRow="0" w:firstColumn="0" w:lastColumn="0" w:oddVBand="0" w:evenVBand="0" w:oddHBand="0" w:evenHBand="0" w:firstRowFirstColumn="0" w:firstRowLastColumn="0" w:lastRowFirstColumn="0" w:lastRowLastColumn="0"/>
        </w:trPr>
        <w:tc>
          <w:tcPr>
            <w:tcW w:w="4248" w:type="dxa"/>
          </w:tcPr>
          <w:p w14:paraId="684DFCBE" w14:textId="77777777" w:rsidR="00954C83" w:rsidRDefault="00954C83" w:rsidP="00954C83">
            <w:pPr>
              <w:pStyle w:val="ECCTableHeaderwhitefont"/>
              <w:spacing w:before="0" w:after="0" w:line="288" w:lineRule="auto"/>
              <w:rPr>
                <w:lang w:val="en-GB"/>
              </w:rPr>
            </w:pPr>
            <w:r>
              <w:rPr>
                <w:lang w:val="en-GB"/>
              </w:rPr>
              <w:t xml:space="preserve">Frequency range of </w:t>
            </w:r>
            <w:r>
              <w:rPr>
                <w:lang w:val="en-GB"/>
              </w:rPr>
              <w:br/>
              <w:t>out-of-block emissions</w:t>
            </w:r>
          </w:p>
        </w:tc>
        <w:tc>
          <w:tcPr>
            <w:tcW w:w="2880" w:type="dxa"/>
          </w:tcPr>
          <w:p w14:paraId="684DFCBF" w14:textId="77777777" w:rsidR="00954C83" w:rsidRDefault="00954C83" w:rsidP="00954C83">
            <w:pPr>
              <w:pStyle w:val="ECCTableHeaderwhitefont"/>
              <w:spacing w:before="0" w:after="0" w:line="288" w:lineRule="auto"/>
              <w:rPr>
                <w:lang w:val="en-GB"/>
              </w:rPr>
            </w:pPr>
            <w:r>
              <w:rPr>
                <w:lang w:val="en-GB"/>
              </w:rPr>
              <w:t xml:space="preserve">Maximum mean </w:t>
            </w:r>
            <w:r>
              <w:rPr>
                <w:lang w:val="en-GB"/>
              </w:rPr>
              <w:br/>
              <w:t>out-of-block e.i.r.p.</w:t>
            </w:r>
          </w:p>
        </w:tc>
        <w:tc>
          <w:tcPr>
            <w:tcW w:w="2727" w:type="dxa"/>
          </w:tcPr>
          <w:p w14:paraId="684DFCC0" w14:textId="77777777" w:rsidR="00954C83" w:rsidRDefault="00954C83" w:rsidP="00954C83">
            <w:pPr>
              <w:pStyle w:val="ECCTableHeaderwhitefont"/>
              <w:spacing w:before="0" w:after="0" w:line="288" w:lineRule="auto"/>
              <w:rPr>
                <w:lang w:val="en-GB"/>
              </w:rPr>
            </w:pPr>
            <w:r>
              <w:rPr>
                <w:lang w:val="en-GB"/>
              </w:rPr>
              <w:t xml:space="preserve">Measurement </w:t>
            </w:r>
            <w:r>
              <w:rPr>
                <w:lang w:val="en-GB"/>
              </w:rPr>
              <w:br/>
              <w:t>Bandwidth</w:t>
            </w:r>
          </w:p>
        </w:tc>
      </w:tr>
      <w:tr w:rsidR="00954C83" w14:paraId="684DFCC5" w14:textId="77777777" w:rsidTr="00954C83">
        <w:tc>
          <w:tcPr>
            <w:tcW w:w="4248" w:type="dxa"/>
          </w:tcPr>
          <w:p w14:paraId="684DFCC2" w14:textId="77777777" w:rsidR="00954C83" w:rsidRDefault="00954C83" w:rsidP="00954C83">
            <w:pPr>
              <w:rPr>
                <w:lang w:val="en-GB"/>
              </w:rPr>
            </w:pPr>
            <w:r>
              <w:rPr>
                <w:lang w:val="en-GB"/>
              </w:rPr>
              <w:t>Below 1449 MHz</w:t>
            </w:r>
          </w:p>
        </w:tc>
        <w:tc>
          <w:tcPr>
            <w:tcW w:w="2880" w:type="dxa"/>
          </w:tcPr>
          <w:p w14:paraId="684DFCC3" w14:textId="77777777" w:rsidR="00954C83" w:rsidRDefault="00954C83" w:rsidP="00954C83">
            <w:pPr>
              <w:rPr>
                <w:lang w:val="en-GB"/>
              </w:rPr>
            </w:pPr>
            <w:r>
              <w:rPr>
                <w:lang w:val="en-GB"/>
              </w:rPr>
              <w:t>-20 dBm</w:t>
            </w:r>
          </w:p>
        </w:tc>
        <w:tc>
          <w:tcPr>
            <w:tcW w:w="2727" w:type="dxa"/>
          </w:tcPr>
          <w:p w14:paraId="684DFCC4" w14:textId="77777777" w:rsidR="00954C83" w:rsidRDefault="00954C83" w:rsidP="00954C83">
            <w:pPr>
              <w:rPr>
                <w:lang w:val="en-GB"/>
              </w:rPr>
            </w:pPr>
            <w:r>
              <w:rPr>
                <w:lang w:val="en-GB"/>
              </w:rPr>
              <w:t>1 MHz</w:t>
            </w:r>
          </w:p>
        </w:tc>
      </w:tr>
      <w:tr w:rsidR="00954C83" w14:paraId="684DFCC9" w14:textId="77777777" w:rsidTr="00954C83">
        <w:tc>
          <w:tcPr>
            <w:tcW w:w="4248" w:type="dxa"/>
          </w:tcPr>
          <w:p w14:paraId="684DFCC6" w14:textId="77777777" w:rsidR="00954C83" w:rsidRDefault="00954C83" w:rsidP="00954C83">
            <w:pPr>
              <w:rPr>
                <w:lang w:val="en-GB"/>
              </w:rPr>
            </w:pPr>
            <w:r>
              <w:rPr>
                <w:lang w:val="en-GB"/>
              </w:rPr>
              <w:t>1449-1452 MHz</w:t>
            </w:r>
          </w:p>
        </w:tc>
        <w:tc>
          <w:tcPr>
            <w:tcW w:w="2880" w:type="dxa"/>
          </w:tcPr>
          <w:p w14:paraId="684DFCC7" w14:textId="77777777" w:rsidR="00954C83" w:rsidRDefault="00954C83" w:rsidP="00954C83">
            <w:pPr>
              <w:rPr>
                <w:lang w:val="en-GB"/>
              </w:rPr>
            </w:pPr>
            <w:r>
              <w:rPr>
                <w:lang w:val="en-GB"/>
              </w:rPr>
              <w:t>14 dBm</w:t>
            </w:r>
          </w:p>
        </w:tc>
        <w:tc>
          <w:tcPr>
            <w:tcW w:w="2727" w:type="dxa"/>
          </w:tcPr>
          <w:p w14:paraId="684DFCC8" w14:textId="77777777" w:rsidR="00954C83" w:rsidRDefault="00954C83" w:rsidP="00954C83">
            <w:pPr>
              <w:rPr>
                <w:lang w:val="en-GB"/>
              </w:rPr>
            </w:pPr>
            <w:r>
              <w:rPr>
                <w:lang w:val="en-GB"/>
              </w:rPr>
              <w:t>3 MHz</w:t>
            </w:r>
          </w:p>
        </w:tc>
      </w:tr>
      <w:tr w:rsidR="00954C83" w14:paraId="684DFCCD" w14:textId="77777777" w:rsidTr="00954C83">
        <w:tc>
          <w:tcPr>
            <w:tcW w:w="4248" w:type="dxa"/>
          </w:tcPr>
          <w:p w14:paraId="684DFCCA" w14:textId="77777777" w:rsidR="00954C83" w:rsidRDefault="00954C83" w:rsidP="00954C83">
            <w:pPr>
              <w:rPr>
                <w:lang w:val="en-GB"/>
              </w:rPr>
            </w:pPr>
            <w:r>
              <w:rPr>
                <w:lang w:val="en-GB"/>
              </w:rPr>
              <w:t>1492-1495 MHz</w:t>
            </w:r>
          </w:p>
        </w:tc>
        <w:tc>
          <w:tcPr>
            <w:tcW w:w="2880" w:type="dxa"/>
          </w:tcPr>
          <w:p w14:paraId="684DFCCB" w14:textId="77777777" w:rsidR="00954C83" w:rsidRDefault="00954C83" w:rsidP="00954C83">
            <w:pPr>
              <w:rPr>
                <w:lang w:val="en-GB"/>
              </w:rPr>
            </w:pPr>
            <w:r>
              <w:rPr>
                <w:lang w:val="en-GB"/>
              </w:rPr>
              <w:t>14 dBm</w:t>
            </w:r>
          </w:p>
        </w:tc>
        <w:tc>
          <w:tcPr>
            <w:tcW w:w="2727" w:type="dxa"/>
          </w:tcPr>
          <w:p w14:paraId="684DFCCC" w14:textId="77777777" w:rsidR="00954C83" w:rsidRDefault="00954C83" w:rsidP="00954C83">
            <w:pPr>
              <w:rPr>
                <w:lang w:val="en-GB"/>
              </w:rPr>
            </w:pPr>
            <w:r>
              <w:rPr>
                <w:lang w:val="en-GB"/>
              </w:rPr>
              <w:t>3 MHz</w:t>
            </w:r>
          </w:p>
        </w:tc>
      </w:tr>
      <w:tr w:rsidR="00954C83" w14:paraId="684DFCD1" w14:textId="77777777" w:rsidTr="00954C83">
        <w:tc>
          <w:tcPr>
            <w:tcW w:w="4248" w:type="dxa"/>
          </w:tcPr>
          <w:p w14:paraId="684DFCCE" w14:textId="77777777" w:rsidR="00954C83" w:rsidRDefault="00954C83" w:rsidP="00954C83">
            <w:pPr>
              <w:rPr>
                <w:lang w:val="en-GB"/>
              </w:rPr>
            </w:pPr>
            <w:r>
              <w:rPr>
                <w:lang w:val="en-GB"/>
              </w:rPr>
              <w:t>Above 1495 MHz</w:t>
            </w:r>
          </w:p>
        </w:tc>
        <w:tc>
          <w:tcPr>
            <w:tcW w:w="2880" w:type="dxa"/>
          </w:tcPr>
          <w:p w14:paraId="684DFCCF" w14:textId="77777777" w:rsidR="00954C83" w:rsidRDefault="00954C83" w:rsidP="00954C83">
            <w:pPr>
              <w:rPr>
                <w:lang w:val="en-GB"/>
              </w:rPr>
            </w:pPr>
            <w:r>
              <w:rPr>
                <w:lang w:val="en-GB"/>
              </w:rPr>
              <w:t>-20 dBm</w:t>
            </w:r>
          </w:p>
        </w:tc>
        <w:tc>
          <w:tcPr>
            <w:tcW w:w="2727" w:type="dxa"/>
          </w:tcPr>
          <w:p w14:paraId="684DFCD0" w14:textId="77777777" w:rsidR="00954C83" w:rsidRDefault="00954C83" w:rsidP="00954C83">
            <w:pPr>
              <w:rPr>
                <w:lang w:val="en-GB"/>
              </w:rPr>
            </w:pPr>
            <w:r>
              <w:rPr>
                <w:lang w:val="en-GB"/>
              </w:rPr>
              <w:t>1 MHz</w:t>
            </w:r>
          </w:p>
        </w:tc>
      </w:tr>
    </w:tbl>
    <w:p w14:paraId="684DFCD2" w14:textId="77777777" w:rsidR="00954C83" w:rsidRDefault="00954C83" w:rsidP="00954C83">
      <w:pPr>
        <w:pStyle w:val="Heading2"/>
        <w:spacing w:after="60"/>
        <w:jc w:val="both"/>
      </w:pPr>
      <w:bookmarkStart w:id="71" w:name="_Toc492574948"/>
      <w:bookmarkStart w:id="72" w:name="_Toc498934669"/>
      <w:r>
        <w:t>Current emission limits not required and problematic when WBB ECS operates in adjacent band</w:t>
      </w:r>
      <w:bookmarkEnd w:id="71"/>
      <w:bookmarkEnd w:id="72"/>
    </w:p>
    <w:p w14:paraId="684DFCD3" w14:textId="77777777" w:rsidR="00954C83" w:rsidRDefault="00954C83" w:rsidP="00954C83">
      <w:pPr>
        <w:pStyle w:val="ECCParagraph"/>
      </w:pPr>
      <w:r>
        <w:t>The limits detailed in Table 8 are not required when WBB ECS is deployed either below 1452 MHz or above 1492 MHz, since the service in the adjacent band is WBB ECS, i.e. no longer the service for which the protection limits in EC Decision (EU) 2015/750 were derived.</w:t>
      </w:r>
    </w:p>
    <w:p w14:paraId="684DFCD4" w14:textId="77777777" w:rsidR="00954C83" w:rsidRDefault="00954C83" w:rsidP="00954C83">
      <w:pPr>
        <w:pStyle w:val="ECCParagraph"/>
      </w:pPr>
      <w:r>
        <w:t xml:space="preserve">In addition, a base station transmitting on two carriers, for example one carrier below 1452 MHz and one carrier above 1452 </w:t>
      </w:r>
      <w:proofErr w:type="gramStart"/>
      <w:r>
        <w:t>MHz,</w:t>
      </w:r>
      <w:proofErr w:type="gramEnd"/>
      <w:r>
        <w:t xml:space="preserve"> could not comply with the requirements from </w:t>
      </w:r>
      <w:r w:rsidR="002F6193">
        <w:fldChar w:fldCharType="begin"/>
      </w:r>
      <w:r w:rsidR="002F6193">
        <w:instrText xml:space="preserve"> REF _Ref499023058 \h </w:instrText>
      </w:r>
      <w:r w:rsidR="002F6193">
        <w:fldChar w:fldCharType="separate"/>
      </w:r>
      <w:r w:rsidR="00B616E1">
        <w:t xml:space="preserve">Table </w:t>
      </w:r>
      <w:r w:rsidR="00B616E1">
        <w:rPr>
          <w:noProof/>
        </w:rPr>
        <w:t>6</w:t>
      </w:r>
      <w:r w:rsidR="002F6193">
        <w:fldChar w:fldCharType="end"/>
      </w:r>
      <w:r>
        <w:t xml:space="preserve">. </w:t>
      </w:r>
    </w:p>
    <w:p w14:paraId="684DFCD5" w14:textId="77777777" w:rsidR="00954C83" w:rsidRDefault="00954C83" w:rsidP="00954C83">
      <w:pPr>
        <w:pStyle w:val="ECCParagraph"/>
      </w:pPr>
      <w:r>
        <w:t>Therefore, these requirements would limit deployment opportunities for no reason and are not appropriate.</w:t>
      </w:r>
    </w:p>
    <w:p w14:paraId="684DFCD6" w14:textId="77777777" w:rsidR="00954C83" w:rsidRDefault="00954C83" w:rsidP="00954C83">
      <w:pPr>
        <w:pStyle w:val="Heading2"/>
        <w:spacing w:after="60"/>
        <w:jc w:val="both"/>
      </w:pPr>
      <w:bookmarkStart w:id="73" w:name="_Toc492574949"/>
      <w:bookmarkStart w:id="74" w:name="_Toc498934670"/>
      <w:r>
        <w:t>Need to update of the regulatory framework applicable to WBB ECS operating in 1452-1492 MHz</w:t>
      </w:r>
      <w:bookmarkEnd w:id="73"/>
      <w:bookmarkEnd w:id="74"/>
    </w:p>
    <w:p w14:paraId="684DFCD7" w14:textId="77777777" w:rsidR="00954C83" w:rsidRDefault="00954C83" w:rsidP="00954C83">
      <w:pPr>
        <w:pStyle w:val="ECCParagraph"/>
      </w:pPr>
      <w:r>
        <w:t xml:space="preserve">It is recommended to revise the Commission Implementing Decision (EU) 2015/750 in order to indicate that Base Station out-of-block e.i.r.p. limits below 1452 and/or above 1492 MHz are not applicable when DL WBB ECS is deployed below 1452 and/or above 1492 MHz. </w:t>
      </w:r>
    </w:p>
    <w:p w14:paraId="684DFCD8" w14:textId="77777777" w:rsidR="00AB46DF" w:rsidRDefault="003C3EE4" w:rsidP="00E7502F">
      <w:pPr>
        <w:pStyle w:val="Heading1"/>
      </w:pPr>
      <w:bookmarkStart w:id="75" w:name="_Toc498934671"/>
      <w:r>
        <w:lastRenderedPageBreak/>
        <w:t>Conclusions</w:t>
      </w:r>
      <w:bookmarkEnd w:id="75"/>
    </w:p>
    <w:p w14:paraId="684DFCD9" w14:textId="77777777" w:rsidR="00954C83" w:rsidRDefault="00954C83" w:rsidP="00954C83">
      <w:pPr>
        <w:pStyle w:val="ECCParagraph"/>
      </w:pPr>
      <w:r>
        <w:t xml:space="preserve">The report recommends that the harmonised frequency arrangement for DL WBB ECS in the band </w:t>
      </w:r>
      <w:r>
        <w:br/>
        <w:t xml:space="preserve">1427-1452 MHz and 1492-1517 MHz is for downlink, based on 5 MHz blocks, and takes into account EC Decision (EU) 2015/750 </w:t>
      </w:r>
      <w:r>
        <w:fldChar w:fldCharType="begin"/>
      </w:r>
      <w:r>
        <w:instrText xml:space="preserve"> REF _Ref481767554 \r \h </w:instrText>
      </w:r>
      <w:r>
        <w:fldChar w:fldCharType="separate"/>
      </w:r>
      <w:r w:rsidR="00B616E1">
        <w:t>[1]</w:t>
      </w:r>
      <w:r>
        <w:fldChar w:fldCharType="end"/>
      </w:r>
      <w:r>
        <w:t xml:space="preserve"> for the frequency band 1452-1492 MHz.</w:t>
      </w:r>
    </w:p>
    <w:p w14:paraId="684DFCDA" w14:textId="77777777" w:rsidR="00954C83" w:rsidRPr="0004037D" w:rsidRDefault="00954C83" w:rsidP="00954C83">
      <w:pPr>
        <w:pStyle w:val="ECCParagraph"/>
      </w:pPr>
      <w:r>
        <w:t>Compatibility of DL WBB ECS operating in 1427-1452 MHz with EESS (passive) operating in 1400-</w:t>
      </w:r>
      <w:r w:rsidRPr="0004037D">
        <w:t xml:space="preserve">1427 MHz is addressed in Resolution 750 (Rev.WRC-15). </w:t>
      </w:r>
    </w:p>
    <w:p w14:paraId="684DFCDB" w14:textId="77777777" w:rsidR="00954C83" w:rsidRPr="0004037D" w:rsidRDefault="00954C83" w:rsidP="00954C83">
      <w:pPr>
        <w:pStyle w:val="ECCParagraph"/>
      </w:pPr>
      <w:r w:rsidRPr="0004037D">
        <w:t>For radio astronomy observatories in the passive band 1400-1427 MHz from IMT systems in the band 1427-1452 MHz, compliance with unwanted emission power limits in Resolution 750 (Rev. WRC-15) may not be sufficient to ensure their protection and there is therefore a need to consider at national level relevant separation distances around radio telescopes, and other mitigation techniques such as additional filtering and/or a guard band for MFCN IMT stations not compliant with the radio astronomy protection criteria.</w:t>
      </w:r>
    </w:p>
    <w:p w14:paraId="684DFCDC" w14:textId="77777777" w:rsidR="00954C83" w:rsidRPr="0004037D" w:rsidRDefault="00954C83" w:rsidP="00954C83">
      <w:pPr>
        <w:pStyle w:val="ECCParagraph"/>
      </w:pPr>
      <w:r w:rsidRPr="0004037D">
        <w:t xml:space="preserve">Compatibility of DL WBB ECS operating in 1492-1517 MHz with services operating between 1518 MHz and 1525 MHz is studied in ECC Report 263 </w:t>
      </w:r>
      <w:r w:rsidRPr="0004037D">
        <w:fldChar w:fldCharType="begin"/>
      </w:r>
      <w:r w:rsidRPr="0004037D">
        <w:instrText xml:space="preserve"> REF _Ref481764288 \r \h </w:instrText>
      </w:r>
      <w:r>
        <w:instrText xml:space="preserve"> \* MERGEFORMAT </w:instrText>
      </w:r>
      <w:r w:rsidRPr="0004037D">
        <w:fldChar w:fldCharType="separate"/>
      </w:r>
      <w:r w:rsidR="00B616E1">
        <w:t>[5]</w:t>
      </w:r>
      <w:r w:rsidRPr="0004037D">
        <w:fldChar w:fldCharType="end"/>
      </w:r>
      <w:r w:rsidRPr="0004037D">
        <w:t>. Additionally, CEPT is studying proportionate measures to address potential receiver blocking issues affecting MES operating on bands adjacent to 1518 MHz (including 1525-1559 MHz) at sea ports and at airports, in order to develop an ECC Report.</w:t>
      </w:r>
    </w:p>
    <w:p w14:paraId="684DFCDD" w14:textId="77777777" w:rsidR="00954C83" w:rsidRPr="0004037D" w:rsidRDefault="00954C83" w:rsidP="00954C83">
      <w:pPr>
        <w:pStyle w:val="ECCParagraph"/>
      </w:pPr>
      <w:r w:rsidRPr="0004037D">
        <w:t>The compatibility between DL WBB ECS is addressed in EC Decision (EU) 2015/750.</w:t>
      </w:r>
    </w:p>
    <w:p w14:paraId="684DFCDE" w14:textId="77777777" w:rsidR="00954C83" w:rsidRPr="0004037D" w:rsidRDefault="00954C83" w:rsidP="00954C83">
      <w:pPr>
        <w:pStyle w:val="ECCParagraph"/>
      </w:pPr>
      <w:r w:rsidRPr="0004037D">
        <w:t xml:space="preserve">DL WBB ECS inherently offers national flexibility to administrations to introduce services in all parts of the extension bands (i.e. 1427-1452 and 1492-1518 MHz), taking into account that the amount of spectrum which could be made available in these frequency bands for terrestrial WBB electronic communications services may vary across Member States. </w:t>
      </w:r>
    </w:p>
    <w:p w14:paraId="684DFCDF" w14:textId="77777777" w:rsidR="00954C83" w:rsidRPr="0004037D" w:rsidRDefault="00954C83" w:rsidP="00954C83">
      <w:pPr>
        <w:pStyle w:val="ECCParagraph"/>
      </w:pPr>
      <w:r w:rsidRPr="0004037D">
        <w:t xml:space="preserve">It is noted that the 1427-1452 MHz and 1492-1518 MHz bands are also used for land military systems in some CEPT countries according to ERC Report 25 (The European table of frequency allocations and applications in the frequency range 8.3 kHz to 3000 GHz (ECA Table)) </w:t>
      </w:r>
      <w:r w:rsidRPr="0004037D">
        <w:fldChar w:fldCharType="begin"/>
      </w:r>
      <w:r w:rsidRPr="0004037D">
        <w:instrText xml:space="preserve"> REF _Ref482004585 \r \h </w:instrText>
      </w:r>
      <w:r>
        <w:instrText xml:space="preserve"> \* MERGEFORMAT </w:instrText>
      </w:r>
      <w:r w:rsidRPr="0004037D">
        <w:fldChar w:fldCharType="separate"/>
      </w:r>
      <w:r w:rsidR="00B616E1">
        <w:t>[3]</w:t>
      </w:r>
      <w:r w:rsidRPr="0004037D">
        <w:fldChar w:fldCharType="end"/>
      </w:r>
      <w:r w:rsidRPr="0004037D">
        <w:t>.</w:t>
      </w:r>
    </w:p>
    <w:p w14:paraId="684DFCE0" w14:textId="77777777" w:rsidR="00954C83" w:rsidRPr="0004037D" w:rsidRDefault="00954C83" w:rsidP="00954C83">
      <w:pPr>
        <w:pStyle w:val="ECCParagraph"/>
      </w:pPr>
      <w:r w:rsidRPr="0004037D">
        <w:t xml:space="preserve">This report was developed based on the principle of technology neutrality, taking into account parameters of technology currently available in the band. 3GPP is presently developing the Next Generation New Radio (NR) Access Technology in the context of 5G and has agreed that for bands below 6 GHz, the existing 3GPP requirements for E-UTRA should be re-used for NR as much as possible. Therefore, if 5G specifications are consistent with the frequency arrangement and LRTC developed in EC Decision (EU) 2015/750, ECC Report 202 </w:t>
      </w:r>
      <w:r w:rsidRPr="0004037D">
        <w:fldChar w:fldCharType="begin"/>
      </w:r>
      <w:r w:rsidRPr="0004037D">
        <w:instrText xml:space="preserve"> REF _Ref481765799 \r \h  \* MERGEFORMAT </w:instrText>
      </w:r>
      <w:r w:rsidRPr="0004037D">
        <w:fldChar w:fldCharType="separate"/>
      </w:r>
      <w:r w:rsidR="00B616E1">
        <w:t>[7]</w:t>
      </w:r>
      <w:r w:rsidRPr="0004037D">
        <w:fldChar w:fldCharType="end"/>
      </w:r>
      <w:r w:rsidRPr="0004037D">
        <w:t xml:space="preserve"> and ECC Report 263 then they will be applicable to 5G systems.</w:t>
      </w:r>
    </w:p>
    <w:p w14:paraId="684DFCE1" w14:textId="77777777" w:rsidR="00954C83" w:rsidRPr="0004037D" w:rsidRDefault="00954C83" w:rsidP="00954C83">
      <w:pPr>
        <w:pStyle w:val="ECCParagraph"/>
      </w:pPr>
      <w:r w:rsidRPr="0004037D">
        <w:t xml:space="preserve">The report proposes least restrictive technical conditions for DL WBB ECS, for the frequency bands 1427-1452 MHz and 1492-1517 MHz based on a compilation of these previous results and further provide guidance on the impact of the introduction of DL WBB ECS in 1427-1452 MHz and/or 1492-1517 MHz on Commission Implementing Decision (EU) 2015/750. </w:t>
      </w:r>
    </w:p>
    <w:p w14:paraId="684DFCE2" w14:textId="77777777" w:rsidR="00954C83" w:rsidRPr="0004037D" w:rsidRDefault="00954C83" w:rsidP="00954C83">
      <w:pPr>
        <w:pStyle w:val="ECCParagraph"/>
        <w:rPr>
          <w:rFonts w:cs="Arial"/>
        </w:rPr>
      </w:pPr>
      <w:r w:rsidRPr="0004037D">
        <w:rPr>
          <w:rFonts w:cs="Arial"/>
        </w:rPr>
        <w:t xml:space="preserve">CEPT is supporting the current bilateral cross border coordination process between relevant CEPT countries (including those listed in ITU RR No. 5.342) on </w:t>
      </w:r>
      <w:r>
        <w:rPr>
          <w:rFonts w:cs="Arial"/>
        </w:rPr>
        <w:t>MFCN (</w:t>
      </w:r>
      <w:r w:rsidRPr="0004037D">
        <w:rPr>
          <w:rFonts w:cs="Arial"/>
        </w:rPr>
        <w:t>WBB ECS</w:t>
      </w:r>
      <w:r>
        <w:rPr>
          <w:rFonts w:cs="Arial"/>
        </w:rPr>
        <w:t>)</w:t>
      </w:r>
      <w:r w:rsidRPr="0004037D">
        <w:rPr>
          <w:rFonts w:cs="Arial"/>
        </w:rPr>
        <w:t xml:space="preserve"> and ATS (aeronautical telemetry system) in the 1429-1518 MHz band. </w:t>
      </w:r>
    </w:p>
    <w:p w14:paraId="684DFCE3" w14:textId="77777777" w:rsidR="00954C83" w:rsidRDefault="00954C83" w:rsidP="00954C83">
      <w:pPr>
        <w:pStyle w:val="ECCParagraph"/>
      </w:pPr>
      <w:r w:rsidRPr="0004037D">
        <w:t>These above CEPT activities will not impact the harmonised technical conditions contained in this CEPT report.</w:t>
      </w:r>
    </w:p>
    <w:p w14:paraId="684DFCE4" w14:textId="77777777" w:rsidR="00AB46DF" w:rsidRPr="00954C83" w:rsidRDefault="00AB46DF" w:rsidP="00AB46DF">
      <w:pPr>
        <w:outlineLvl w:val="2"/>
        <w:rPr>
          <w:lang w:val="en-GB"/>
        </w:rPr>
      </w:pPr>
    </w:p>
    <w:p w14:paraId="684DFCE5" w14:textId="77777777" w:rsidR="00AB46DF" w:rsidRDefault="00AB46DF">
      <w:pPr>
        <w:rPr>
          <w:lang w:val="en-GB"/>
        </w:rPr>
        <w:sectPr w:rsidR="00AB46DF">
          <w:headerReference w:type="even" r:id="rId12"/>
          <w:headerReference w:type="default" r:id="rId13"/>
          <w:headerReference w:type="first" r:id="rId14"/>
          <w:pgSz w:w="11907" w:h="16840" w:code="9"/>
          <w:pgMar w:top="1440" w:right="1134" w:bottom="1440" w:left="1134" w:header="709" w:footer="709" w:gutter="0"/>
          <w:cols w:space="708"/>
          <w:docGrid w:linePitch="360"/>
        </w:sectPr>
      </w:pPr>
    </w:p>
    <w:p w14:paraId="684DFCE6" w14:textId="77777777" w:rsidR="00954C83" w:rsidRDefault="00954C83" w:rsidP="00954C83">
      <w:pPr>
        <w:pStyle w:val="ECCAnnexheading1"/>
        <w:jc w:val="left"/>
      </w:pPr>
      <w:bookmarkStart w:id="76" w:name="_Toc492574951"/>
      <w:bookmarkStart w:id="77" w:name="_Toc498934672"/>
      <w:r>
        <w:lastRenderedPageBreak/>
        <w:t>cept mandate</w:t>
      </w:r>
      <w:bookmarkEnd w:id="76"/>
      <w:bookmarkEnd w:id="77"/>
    </w:p>
    <w:tbl>
      <w:tblPr>
        <w:tblW w:w="9469" w:type="dxa"/>
        <w:tblLayout w:type="fixed"/>
        <w:tblCellMar>
          <w:left w:w="0" w:type="dxa"/>
          <w:right w:w="0" w:type="dxa"/>
        </w:tblCellMar>
        <w:tblLook w:val="0000" w:firstRow="0" w:lastRow="0" w:firstColumn="0" w:lastColumn="0" w:noHBand="0" w:noVBand="0"/>
      </w:tblPr>
      <w:tblGrid>
        <w:gridCol w:w="1814"/>
        <w:gridCol w:w="586"/>
        <w:gridCol w:w="7069"/>
      </w:tblGrid>
      <w:tr w:rsidR="00954C83" w14:paraId="684DFCEE" w14:textId="77777777" w:rsidTr="00954C83">
        <w:trPr>
          <w:trHeight w:val="1440"/>
        </w:trPr>
        <w:tc>
          <w:tcPr>
            <w:tcW w:w="1814" w:type="dxa"/>
          </w:tcPr>
          <w:p w14:paraId="684DFCE7" w14:textId="77777777" w:rsidR="00954C83" w:rsidRDefault="00954C83" w:rsidP="00954C83">
            <w:pPr>
              <w:widowControl w:val="0"/>
              <w:ind w:right="-454"/>
              <w:jc w:val="both"/>
              <w:rPr>
                <w:snapToGrid w:val="0"/>
                <w:sz w:val="24"/>
                <w:szCs w:val="20"/>
                <w:lang w:val="en-GB"/>
              </w:rPr>
            </w:pPr>
            <w:r>
              <w:rPr>
                <w:snapToGrid w:val="0"/>
                <w:sz w:val="24"/>
                <w:szCs w:val="20"/>
                <w:lang w:val="en-GB"/>
              </w:rPr>
              <w:t xml:space="preserve">  </w:t>
            </w:r>
            <w:r>
              <w:rPr>
                <w:rFonts w:eastAsiaTheme="minorEastAsia" w:cs="Arial"/>
                <w:noProof/>
                <w:szCs w:val="20"/>
                <w:lang w:val="da-DK" w:eastAsia="da-DK"/>
              </w:rPr>
              <w:drawing>
                <wp:inline distT="0" distB="0" distL="0" distR="0" wp14:anchorId="684DFDA7" wp14:editId="684DFDA8">
                  <wp:extent cx="1371600" cy="676275"/>
                  <wp:effectExtent l="0" t="0" r="0" b="9525"/>
                  <wp:docPr id="3" name="Picture 3"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ec_17_colors_300dp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7655" w:type="dxa"/>
            <w:gridSpan w:val="2"/>
          </w:tcPr>
          <w:p w14:paraId="684DFCE8" w14:textId="77777777" w:rsidR="00954C83" w:rsidRDefault="00954C83" w:rsidP="00954C83">
            <w:pPr>
              <w:widowControl w:val="0"/>
              <w:autoSpaceDE w:val="0"/>
              <w:autoSpaceDN w:val="0"/>
              <w:spacing w:before="90"/>
              <w:ind w:left="720" w:right="85"/>
              <w:jc w:val="both"/>
              <w:rPr>
                <w:rFonts w:eastAsiaTheme="minorEastAsia" w:cs="Arial"/>
                <w:sz w:val="24"/>
                <w:lang w:val="en-GB" w:eastAsia="en-GB"/>
              </w:rPr>
            </w:pPr>
            <w:r>
              <w:rPr>
                <w:rFonts w:eastAsiaTheme="minorEastAsia" w:cs="Arial"/>
                <w:sz w:val="24"/>
                <w:lang w:val="en-GB" w:eastAsia="en-GB"/>
              </w:rPr>
              <w:t>EUROPEAN COMMISSION</w:t>
            </w:r>
          </w:p>
          <w:p w14:paraId="684DFCE9" w14:textId="77777777" w:rsidR="00954C83" w:rsidRDefault="00954C83" w:rsidP="00954C83">
            <w:pPr>
              <w:widowControl w:val="0"/>
              <w:autoSpaceDE w:val="0"/>
              <w:autoSpaceDN w:val="0"/>
              <w:ind w:left="720" w:right="85"/>
              <w:rPr>
                <w:rFonts w:eastAsiaTheme="minorEastAsia" w:cs="Arial"/>
                <w:sz w:val="16"/>
                <w:szCs w:val="16"/>
                <w:lang w:val="en-GB" w:eastAsia="en-GB"/>
              </w:rPr>
            </w:pPr>
            <w:r>
              <w:rPr>
                <w:rFonts w:eastAsiaTheme="minorEastAsia" w:cs="Arial"/>
                <w:sz w:val="16"/>
                <w:szCs w:val="16"/>
                <w:lang w:val="en-GB" w:eastAsia="en-GB"/>
              </w:rPr>
              <w:t>Directorate-General for Communications Networks, Content and Technology</w:t>
            </w:r>
          </w:p>
          <w:p w14:paraId="684DFCEA" w14:textId="77777777" w:rsidR="00954C83" w:rsidRDefault="00954C83" w:rsidP="00954C83">
            <w:pPr>
              <w:widowControl w:val="0"/>
              <w:autoSpaceDE w:val="0"/>
              <w:autoSpaceDN w:val="0"/>
              <w:ind w:left="720" w:right="85"/>
              <w:rPr>
                <w:rFonts w:eastAsiaTheme="minorEastAsia" w:cs="Arial"/>
                <w:sz w:val="16"/>
                <w:szCs w:val="16"/>
                <w:lang w:val="en-GB" w:eastAsia="en-GB"/>
              </w:rPr>
            </w:pPr>
          </w:p>
          <w:p w14:paraId="684DFCEB" w14:textId="77777777" w:rsidR="00954C83" w:rsidRDefault="00954C83" w:rsidP="00954C83">
            <w:pPr>
              <w:widowControl w:val="0"/>
              <w:autoSpaceDE w:val="0"/>
              <w:autoSpaceDN w:val="0"/>
              <w:ind w:left="720" w:right="85"/>
              <w:rPr>
                <w:rFonts w:eastAsiaTheme="minorEastAsia" w:cs="Arial"/>
                <w:sz w:val="16"/>
                <w:szCs w:val="16"/>
                <w:lang w:val="en-GB" w:eastAsia="en-GB"/>
              </w:rPr>
            </w:pPr>
            <w:r>
              <w:rPr>
                <w:rFonts w:eastAsiaTheme="minorEastAsia" w:cs="Arial"/>
                <w:sz w:val="16"/>
                <w:szCs w:val="16"/>
                <w:lang w:val="en-GB" w:eastAsia="en-GB"/>
              </w:rPr>
              <w:t>Electronic Communications Networks and Services</w:t>
            </w:r>
          </w:p>
          <w:p w14:paraId="684DFCEC" w14:textId="77777777" w:rsidR="00954C83" w:rsidRDefault="00954C83" w:rsidP="00954C83">
            <w:pPr>
              <w:widowControl w:val="0"/>
              <w:autoSpaceDE w:val="0"/>
              <w:autoSpaceDN w:val="0"/>
              <w:ind w:left="720" w:right="85"/>
              <w:rPr>
                <w:rFonts w:eastAsiaTheme="minorEastAsia" w:cs="Arial"/>
                <w:sz w:val="16"/>
                <w:szCs w:val="16"/>
                <w:lang w:val="en-GB" w:eastAsia="en-GB"/>
              </w:rPr>
            </w:pPr>
            <w:r>
              <w:rPr>
                <w:rFonts w:eastAsiaTheme="minorEastAsia" w:cs="Arial"/>
                <w:b/>
                <w:bCs/>
                <w:sz w:val="16"/>
                <w:szCs w:val="16"/>
                <w:lang w:val="en-GB" w:eastAsia="en-GB"/>
              </w:rPr>
              <w:t>Radio Spectrum Policy</w:t>
            </w:r>
          </w:p>
          <w:p w14:paraId="684DFCED" w14:textId="77777777" w:rsidR="00954C83" w:rsidRDefault="00954C83" w:rsidP="00954C83">
            <w:pPr>
              <w:widowControl w:val="0"/>
              <w:ind w:right="-454"/>
              <w:rPr>
                <w:snapToGrid w:val="0"/>
                <w:sz w:val="16"/>
                <w:szCs w:val="20"/>
                <w:lang w:val="en-GB"/>
              </w:rPr>
            </w:pPr>
          </w:p>
        </w:tc>
      </w:tr>
      <w:tr w:rsidR="00954C83" w14:paraId="684DFCF1" w14:textId="77777777" w:rsidTr="00954C83">
        <w:trPr>
          <w:trHeight w:val="1440"/>
        </w:trPr>
        <w:tc>
          <w:tcPr>
            <w:tcW w:w="2400" w:type="dxa"/>
            <w:gridSpan w:val="2"/>
            <w:tcBorders>
              <w:top w:val="nil"/>
              <w:left w:val="nil"/>
              <w:bottom w:val="nil"/>
              <w:right w:val="nil"/>
            </w:tcBorders>
          </w:tcPr>
          <w:p w14:paraId="684DFCEF" w14:textId="77777777" w:rsidR="00954C83" w:rsidRDefault="00954C83" w:rsidP="00954C83">
            <w:pPr>
              <w:widowControl w:val="0"/>
              <w:autoSpaceDE w:val="0"/>
              <w:autoSpaceDN w:val="0"/>
              <w:ind w:right="85"/>
              <w:jc w:val="both"/>
              <w:rPr>
                <w:rFonts w:eastAsiaTheme="minorEastAsia" w:cs="Arial"/>
                <w:sz w:val="24"/>
                <w:lang w:val="en-GB" w:eastAsia="en-GB"/>
              </w:rPr>
            </w:pPr>
          </w:p>
        </w:tc>
        <w:tc>
          <w:tcPr>
            <w:tcW w:w="7069" w:type="dxa"/>
            <w:tcBorders>
              <w:top w:val="nil"/>
              <w:left w:val="nil"/>
              <w:bottom w:val="nil"/>
              <w:right w:val="nil"/>
            </w:tcBorders>
          </w:tcPr>
          <w:p w14:paraId="684DFCF0" w14:textId="77777777" w:rsidR="00954C83" w:rsidRDefault="00954C83" w:rsidP="00954C83">
            <w:pPr>
              <w:widowControl w:val="0"/>
              <w:autoSpaceDE w:val="0"/>
              <w:autoSpaceDN w:val="0"/>
              <w:ind w:right="85"/>
              <w:rPr>
                <w:rFonts w:eastAsiaTheme="minorEastAsia" w:cs="Arial"/>
                <w:sz w:val="16"/>
                <w:szCs w:val="16"/>
                <w:lang w:val="en-GB" w:eastAsia="en-GB"/>
              </w:rPr>
            </w:pPr>
          </w:p>
        </w:tc>
      </w:tr>
    </w:tbl>
    <w:p w14:paraId="684DFCF2" w14:textId="77777777" w:rsidR="00954C83" w:rsidRDefault="00954C83" w:rsidP="00954C83">
      <w:pPr>
        <w:ind w:left="4320" w:right="-567" w:firstLine="720"/>
        <w:rPr>
          <w:rFonts w:ascii="Times New Roman" w:hAnsi="Times New Roman"/>
          <w:sz w:val="24"/>
          <w:szCs w:val="20"/>
          <w:lang w:val="en-GB" w:eastAsia="fr-BE"/>
        </w:rPr>
      </w:pPr>
      <w:r>
        <w:rPr>
          <w:rFonts w:ascii="Times New Roman" w:hAnsi="Times New Roman"/>
          <w:sz w:val="24"/>
          <w:szCs w:val="20"/>
          <w:lang w:val="en-GB" w:eastAsia="fr-BE"/>
        </w:rPr>
        <w:t>Brussels, 14 March 2017</w:t>
      </w:r>
    </w:p>
    <w:p w14:paraId="684DFCF3" w14:textId="77777777" w:rsidR="00954C83" w:rsidRDefault="00954C83" w:rsidP="00954C83">
      <w:pPr>
        <w:spacing w:after="240"/>
        <w:ind w:left="5103"/>
        <w:rPr>
          <w:rFonts w:ascii="Times New Roman" w:hAnsi="Times New Roman"/>
          <w:sz w:val="24"/>
          <w:lang w:val="en-GB" w:eastAsia="fr-BE"/>
        </w:rPr>
      </w:pPr>
      <w:r>
        <w:rPr>
          <w:rFonts w:ascii="Times New Roman" w:hAnsi="Times New Roman"/>
          <w:sz w:val="24"/>
          <w:lang w:val="en-GB" w:eastAsia="fr-BE"/>
        </w:rPr>
        <w:t>DG CONNECT/B4</w:t>
      </w:r>
    </w:p>
    <w:p w14:paraId="684DFCF4" w14:textId="77777777" w:rsidR="00954C83" w:rsidRDefault="00954C83" w:rsidP="00954C83">
      <w:pPr>
        <w:spacing w:before="240" w:after="600"/>
        <w:ind w:left="5103"/>
        <w:rPr>
          <w:rFonts w:ascii="Times New Roman" w:hAnsi="Times New Roman"/>
          <w:b/>
          <w:lang w:val="en-GB"/>
        </w:rPr>
      </w:pPr>
      <w:r>
        <w:rPr>
          <w:rFonts w:ascii="Times New Roman" w:hAnsi="Times New Roman"/>
          <w:b/>
          <w:sz w:val="24"/>
          <w:szCs w:val="20"/>
          <w:lang w:val="en-GB" w:eastAsia="fr-BE"/>
        </w:rPr>
        <w:t>RSCOM17-03rev2</w:t>
      </w:r>
    </w:p>
    <w:p w14:paraId="684DFCF5" w14:textId="77777777" w:rsidR="00954C83" w:rsidRDefault="00954C83" w:rsidP="00954C83">
      <w:pPr>
        <w:pStyle w:val="AddressTR"/>
        <w:pBdr>
          <w:top w:val="double" w:sz="4" w:space="1" w:color="auto"/>
          <w:left w:val="double" w:sz="4" w:space="4" w:color="auto"/>
          <w:bottom w:val="double" w:sz="4" w:space="1" w:color="auto"/>
          <w:right w:val="double" w:sz="4" w:space="4" w:color="auto"/>
        </w:pBdr>
        <w:jc w:val="center"/>
        <w:rPr>
          <w:b/>
        </w:rPr>
      </w:pPr>
      <w:r>
        <w:rPr>
          <w:b/>
        </w:rPr>
        <w:br/>
        <w:t>PUBLIC</w:t>
      </w:r>
      <w:r>
        <w:rPr>
          <w:b/>
        </w:rPr>
        <w:br/>
      </w:r>
    </w:p>
    <w:p w14:paraId="684DFCF6" w14:textId="77777777" w:rsidR="00954C83" w:rsidRDefault="00954C83" w:rsidP="00954C83">
      <w:pPr>
        <w:tabs>
          <w:tab w:val="left" w:pos="3205"/>
        </w:tabs>
        <w:rPr>
          <w:rFonts w:ascii="Times New Roman" w:hAnsi="Times New Roman"/>
          <w:b/>
          <w:lang w:val="en-GB"/>
        </w:rPr>
      </w:pPr>
      <w:r>
        <w:rPr>
          <w:rFonts w:ascii="Times New Roman" w:hAnsi="Times New Roman"/>
          <w:b/>
          <w:lang w:val="en-GB"/>
        </w:rPr>
        <w:tab/>
      </w:r>
    </w:p>
    <w:p w14:paraId="684DFCF7" w14:textId="77777777" w:rsidR="00954C83" w:rsidRDefault="00954C83" w:rsidP="00954C83">
      <w:pPr>
        <w:spacing w:after="240"/>
        <w:jc w:val="center"/>
        <w:rPr>
          <w:rFonts w:ascii="Times New Roman" w:hAnsi="Times New Roman"/>
          <w:b/>
          <w:sz w:val="32"/>
          <w:szCs w:val="20"/>
          <w:lang w:val="en-GB" w:eastAsia="fr-BE"/>
        </w:rPr>
      </w:pPr>
      <w:r>
        <w:rPr>
          <w:rFonts w:ascii="Times New Roman" w:hAnsi="Times New Roman"/>
          <w:b/>
          <w:sz w:val="32"/>
          <w:szCs w:val="20"/>
          <w:lang w:val="en-GB" w:eastAsia="fr-BE"/>
        </w:rPr>
        <w:t>RADIO SPECTRUM COMMITTEE</w:t>
      </w:r>
    </w:p>
    <w:p w14:paraId="684DFCF8" w14:textId="77777777" w:rsidR="00954C83" w:rsidRDefault="00954C83" w:rsidP="00954C83">
      <w:pPr>
        <w:spacing w:after="240"/>
        <w:jc w:val="center"/>
        <w:rPr>
          <w:rFonts w:ascii="Times New Roman" w:hAnsi="Times New Roman"/>
          <w:b/>
          <w:sz w:val="28"/>
          <w:szCs w:val="20"/>
          <w:lang w:val="en-GB" w:eastAsia="fr-BE"/>
        </w:rPr>
      </w:pPr>
      <w:r>
        <w:rPr>
          <w:rFonts w:ascii="Times New Roman" w:hAnsi="Times New Roman"/>
          <w:b/>
          <w:sz w:val="28"/>
          <w:szCs w:val="20"/>
          <w:lang w:val="en-GB" w:eastAsia="fr-BE"/>
        </w:rPr>
        <w:t>Working Document</w:t>
      </w:r>
    </w:p>
    <w:p w14:paraId="684DFCF9" w14:textId="77777777" w:rsidR="00954C83" w:rsidRDefault="00954C83" w:rsidP="00954C83">
      <w:pPr>
        <w:spacing w:before="240" w:after="240"/>
        <w:ind w:left="1418" w:hanging="1418"/>
        <w:rPr>
          <w:rFonts w:ascii="Times New Roman" w:hAnsi="Times New Roman"/>
          <w:b/>
          <w:sz w:val="24"/>
          <w:szCs w:val="20"/>
          <w:lang w:val="en-GB" w:eastAsia="fr-BE"/>
        </w:rPr>
      </w:pPr>
    </w:p>
    <w:p w14:paraId="684DFCFA" w14:textId="77777777" w:rsidR="00954C83" w:rsidRDefault="00954C83" w:rsidP="00954C83">
      <w:pPr>
        <w:spacing w:before="240" w:after="240"/>
        <w:ind w:left="1418" w:hanging="1418"/>
        <w:jc w:val="both"/>
        <w:rPr>
          <w:rFonts w:ascii="Times New Roman" w:hAnsi="Times New Roman"/>
          <w:b/>
          <w:sz w:val="24"/>
          <w:szCs w:val="20"/>
          <w:lang w:val="en-GB" w:eastAsia="fr-BE"/>
        </w:rPr>
      </w:pPr>
      <w:r>
        <w:rPr>
          <w:rFonts w:ascii="Times New Roman" w:hAnsi="Times New Roman"/>
          <w:b/>
          <w:sz w:val="24"/>
          <w:szCs w:val="20"/>
          <w:lang w:val="en-GB" w:eastAsia="fr-BE"/>
        </w:rPr>
        <w:t>Subject:</w:t>
      </w:r>
      <w:r>
        <w:rPr>
          <w:rFonts w:ascii="Times New Roman" w:hAnsi="Times New Roman"/>
          <w:b/>
          <w:sz w:val="24"/>
          <w:szCs w:val="20"/>
          <w:lang w:val="en-GB" w:eastAsia="fr-BE"/>
        </w:rPr>
        <w:tab/>
        <w:t>Mandate to CEPT to develop harmonised technical conditions in additional frequency bands in the 1.5 GHz range for their use for terrestrial wireless broadband electronic communications services in the Union</w:t>
      </w:r>
    </w:p>
    <w:p w14:paraId="684DFCFB" w14:textId="77777777" w:rsidR="00954C83" w:rsidRDefault="00954C83" w:rsidP="00954C83">
      <w:pPr>
        <w:spacing w:before="240" w:after="240"/>
        <w:ind w:left="1418" w:hanging="1418"/>
        <w:jc w:val="both"/>
        <w:rPr>
          <w:rFonts w:ascii="Times New Roman" w:hAnsi="Times New Roman"/>
          <w:b/>
          <w:sz w:val="24"/>
          <w:szCs w:val="20"/>
          <w:lang w:val="en-GB" w:eastAsia="fr-BE"/>
        </w:rPr>
      </w:pPr>
    </w:p>
    <w:p w14:paraId="684DFCFC" w14:textId="77777777" w:rsidR="00954C83" w:rsidRDefault="00954C83" w:rsidP="00954C83">
      <w:pPr>
        <w:pBdr>
          <w:top w:val="double" w:sz="4" w:space="1" w:color="auto"/>
          <w:left w:val="double" w:sz="4" w:space="4" w:color="auto"/>
          <w:bottom w:val="double" w:sz="4" w:space="5" w:color="auto"/>
          <w:right w:val="double" w:sz="4" w:space="4" w:color="auto"/>
        </w:pBdr>
        <w:tabs>
          <w:tab w:val="center" w:pos="4308"/>
          <w:tab w:val="left" w:pos="7035"/>
        </w:tabs>
        <w:spacing w:after="240"/>
        <w:jc w:val="center"/>
        <w:rPr>
          <w:rFonts w:ascii="Times New Roman" w:hAnsi="Times New Roman"/>
          <w:b/>
          <w:sz w:val="24"/>
          <w:lang w:val="en-GB" w:eastAsia="fr-BE"/>
        </w:rPr>
      </w:pPr>
      <w:r>
        <w:rPr>
          <w:rFonts w:ascii="Times New Roman" w:hAnsi="Times New Roman"/>
          <w:b/>
          <w:sz w:val="24"/>
          <w:lang w:val="en-GB" w:eastAsia="fr-BE"/>
        </w:rPr>
        <w:t xml:space="preserve">Opinion of the RSC </w:t>
      </w:r>
      <w:r>
        <w:rPr>
          <w:rFonts w:ascii="Times New Roman" w:hAnsi="Times New Roman"/>
          <w:b/>
          <w:sz w:val="24"/>
          <w:lang w:val="en-GB" w:eastAsia="fr-BE"/>
        </w:rPr>
        <w:br/>
        <w:t>pursuant to Advisory Procedure under Article 4 of Regulation 182/2011/EU and Article 4.2 of Radio Spectrum Decision 676/2002/EC</w:t>
      </w:r>
    </w:p>
    <w:p w14:paraId="684DFCFD" w14:textId="77777777" w:rsidR="00954C83" w:rsidRDefault="00954C83" w:rsidP="00954C83">
      <w:pPr>
        <w:spacing w:before="240" w:after="240"/>
        <w:ind w:left="1418" w:hanging="1418"/>
        <w:jc w:val="both"/>
        <w:rPr>
          <w:rFonts w:ascii="Times New Roman" w:hAnsi="Times New Roman"/>
          <w:b/>
          <w:sz w:val="24"/>
          <w:szCs w:val="20"/>
          <w:lang w:val="en-GB" w:eastAsia="fr-BE"/>
        </w:rPr>
      </w:pPr>
    </w:p>
    <w:p w14:paraId="684DFCFE" w14:textId="77777777" w:rsidR="00954C83" w:rsidRDefault="00954C83" w:rsidP="00954C83">
      <w:pPr>
        <w:pBdr>
          <w:top w:val="single" w:sz="4" w:space="1" w:color="auto"/>
          <w:left w:val="single" w:sz="4" w:space="4" w:color="auto"/>
          <w:bottom w:val="single" w:sz="4" w:space="1" w:color="auto"/>
          <w:right w:val="single" w:sz="4" w:space="4" w:color="auto"/>
        </w:pBdr>
        <w:spacing w:after="240"/>
        <w:jc w:val="center"/>
        <w:rPr>
          <w:rFonts w:ascii="Times New Roman" w:hAnsi="Times New Roman"/>
          <w:i/>
          <w:snapToGrid w:val="0"/>
          <w:sz w:val="24"/>
          <w:szCs w:val="20"/>
          <w:lang w:val="en-GB"/>
        </w:rPr>
      </w:pPr>
      <w:r>
        <w:rPr>
          <w:rFonts w:ascii="Times New Roman" w:hAnsi="Times New Roman"/>
          <w:i/>
          <w:snapToGrid w:val="0"/>
          <w:sz w:val="24"/>
          <w:szCs w:val="20"/>
          <w:lang w:val="en-GB"/>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p w14:paraId="684DFCFF" w14:textId="77777777" w:rsidR="00954C83" w:rsidRDefault="00954C83" w:rsidP="00954C83">
      <w:pPr>
        <w:rPr>
          <w:rFonts w:ascii="Times New Roman" w:hAnsi="Times New Roman"/>
          <w:b/>
          <w:smallCaps/>
          <w:sz w:val="24"/>
          <w:lang w:val="en-GB"/>
        </w:rPr>
      </w:pPr>
    </w:p>
    <w:p w14:paraId="684DFD00" w14:textId="77777777" w:rsidR="00755D32" w:rsidRDefault="00755D32" w:rsidP="00954C83">
      <w:pPr>
        <w:rPr>
          <w:rFonts w:ascii="Times New Roman" w:hAnsi="Times New Roman"/>
          <w:b/>
          <w:smallCaps/>
          <w:sz w:val="24"/>
          <w:lang w:val="en-GB"/>
        </w:rPr>
      </w:pPr>
    </w:p>
    <w:p w14:paraId="684DFD01" w14:textId="77777777" w:rsidR="00954C83" w:rsidRDefault="00954C83" w:rsidP="00954C83">
      <w:pPr>
        <w:jc w:val="center"/>
        <w:rPr>
          <w:rFonts w:ascii="Times New Roman" w:hAnsi="Times New Roman"/>
          <w:b/>
          <w:smallCaps/>
          <w:sz w:val="24"/>
          <w:lang w:val="en-GB"/>
        </w:rPr>
      </w:pPr>
      <w:r>
        <w:rPr>
          <w:rFonts w:ascii="Times New Roman" w:hAnsi="Times New Roman"/>
          <w:b/>
          <w:smallCaps/>
          <w:sz w:val="24"/>
          <w:lang w:val="en-GB"/>
        </w:rPr>
        <w:t>MANDATE TO THE CEPT</w:t>
      </w:r>
    </w:p>
    <w:p w14:paraId="684DFD02" w14:textId="77777777" w:rsidR="00954C83" w:rsidRDefault="00954C83" w:rsidP="00954C83">
      <w:pPr>
        <w:jc w:val="center"/>
        <w:rPr>
          <w:rFonts w:ascii="Times New Roman" w:hAnsi="Times New Roman"/>
          <w:b/>
          <w:smallCaps/>
          <w:sz w:val="24"/>
          <w:lang w:val="en-GB"/>
        </w:rPr>
      </w:pPr>
      <w:r>
        <w:rPr>
          <w:rFonts w:ascii="Times New Roman" w:hAnsi="Times New Roman"/>
          <w:b/>
          <w:smallCaps/>
          <w:sz w:val="24"/>
          <w:lang w:val="en-GB"/>
        </w:rPr>
        <w:t>TO DEVELOP HARMONISED TECHNICAL CONDITIONS IN ADDITIONAL FREQUENCY BANDS IN THE 1.5 GHz RANGE FOR THEIR USE FOR TERRESTRIAL WIRELESS BROADBAND ELECTRONIC COMMUNICATIONS SERVICES IN THE UNION</w:t>
      </w:r>
    </w:p>
    <w:p w14:paraId="684DFD03" w14:textId="77777777" w:rsidR="00954C83" w:rsidRDefault="00954C83" w:rsidP="00954C83">
      <w:pPr>
        <w:rPr>
          <w:rFonts w:ascii="Times New Roman" w:hAnsi="Times New Roman"/>
          <w:b/>
          <w:sz w:val="24"/>
          <w:lang w:val="en-GB"/>
        </w:rPr>
      </w:pPr>
    </w:p>
    <w:p w14:paraId="684DFD04" w14:textId="77777777" w:rsidR="00954C83" w:rsidRDefault="00954C83" w:rsidP="00954C83">
      <w:pPr>
        <w:rPr>
          <w:rFonts w:ascii="Times New Roman" w:hAnsi="Times New Roman"/>
          <w:b/>
          <w:smallCaps/>
          <w:lang w:val="en-GB"/>
        </w:rPr>
      </w:pPr>
      <w:r>
        <w:rPr>
          <w:rFonts w:ascii="Times New Roman" w:hAnsi="Times New Roman"/>
          <w:b/>
          <w:smallCaps/>
          <w:lang w:val="en-GB"/>
        </w:rPr>
        <w:t>PURPOSE</w:t>
      </w:r>
    </w:p>
    <w:p w14:paraId="684DFD05"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lang w:val="en-GB" w:eastAsia="fr-BE"/>
        </w:rPr>
        <w:t>This Mandate aims at enhancing spectrum capacity in the 1.5 GHz frequency range by studying the potential extension of the EU-harmonised 1452-1492MHz frequency band in adjacent bands for use by terrestrial wireless broadband (WBB) electronic communications services in the Union. Its deliverables should provide harmonised technical conditions for use of the 1427-1452 MHz and 1492-1518 MHz frequency bands for downlink-only wireless broadband (WBB) electronic communications services (ECS) including</w:t>
      </w:r>
      <w:r>
        <w:rPr>
          <w:lang w:val="en-GB"/>
        </w:rPr>
        <w:t xml:space="preserve"> </w:t>
      </w:r>
      <w:r>
        <w:rPr>
          <w:rFonts w:ascii="Times New Roman" w:hAnsi="Times New Roman"/>
          <w:sz w:val="24"/>
          <w:lang w:val="en-GB" w:eastAsia="fr-BE"/>
        </w:rPr>
        <w:t>next-generation (5G) terrestrial wireless systems, which ensure flexible and efficient spectrum use. They should thus facilitate economies of scale of equipment across a wider tuning range and benefit from international harmonisation.</w:t>
      </w:r>
    </w:p>
    <w:p w14:paraId="684DFD06"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lang w:val="en-GB" w:eastAsia="fr-BE"/>
        </w:rPr>
        <w:t>The deliverables of this Mandate should contribute to the EU spectrum target for wireless broadband of at least 1200 MHz laid down in the Radio Spectrum Policy Programme</w:t>
      </w:r>
      <w:r>
        <w:rPr>
          <w:rFonts w:ascii="Times New Roman" w:hAnsi="Times New Roman"/>
          <w:sz w:val="24"/>
          <w:vertAlign w:val="superscript"/>
          <w:lang w:val="en-GB" w:eastAsia="fr-BE"/>
        </w:rPr>
        <w:footnoteReference w:id="5"/>
      </w:r>
      <w:r>
        <w:rPr>
          <w:rFonts w:ascii="Times New Roman" w:hAnsi="Times New Roman"/>
          <w:sz w:val="24"/>
          <w:lang w:val="en-GB" w:eastAsia="fr-BE"/>
        </w:rPr>
        <w:t xml:space="preserve"> (RSPP). </w:t>
      </w:r>
    </w:p>
    <w:p w14:paraId="684DFD07" w14:textId="77777777" w:rsidR="00954C83" w:rsidRDefault="00954C83" w:rsidP="00954C83">
      <w:pPr>
        <w:rPr>
          <w:rFonts w:ascii="Times New Roman" w:hAnsi="Times New Roman"/>
          <w:b/>
          <w:smallCaps/>
          <w:lang w:val="en-GB"/>
        </w:rPr>
      </w:pPr>
      <w:r>
        <w:rPr>
          <w:rFonts w:ascii="Times New Roman" w:hAnsi="Times New Roman"/>
          <w:b/>
          <w:smallCaps/>
          <w:lang w:val="en-GB"/>
        </w:rPr>
        <w:t>POLICY CONTEXT AND INPUTS</w:t>
      </w:r>
    </w:p>
    <w:p w14:paraId="684DFD08"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lang w:val="en-GB" w:eastAsia="fr-BE"/>
        </w:rPr>
        <w:t xml:space="preserve">The 1427-1452 MHz and 1492-1518 MHz frequency bands (hereinafter "1.5 GHz extension bands") were globally identified at the WRC-15 for International Mobile Telecommunications (IMT). In this regard, CEPT has already launched technical studies to develop a channelling arrangement and technical conditions for wireless broadband use of these bands in conjunction with the availability of the 1452-1492 MHz 'core' frequency band (hereinafter "1.5 GHz core band"). Such studies would contribute to synergies in delivering results under this Mandate within a short timeframe. </w:t>
      </w:r>
    </w:p>
    <w:p w14:paraId="684DFD09"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lang w:val="en-GB" w:eastAsia="fr-BE"/>
        </w:rPr>
        <w:t xml:space="preserve">The Opinion of the Radio Spectrum Policy Group (RSPG) on "Strategic challenges facing Europe in addressing the growing spectrum demand for wireless broadband" (RSPG13-521 rev1) identifies the 1427-1452 MHz frequency band for wireless broadband use in the mid-term (&gt; 2015) and also indicates the need to assess the 1492-1518 MHz frequency band for such use following WRC-15. </w:t>
      </w:r>
    </w:p>
    <w:p w14:paraId="684DFD0A"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lang w:val="en-GB" w:eastAsia="fr-BE"/>
        </w:rPr>
        <w:t>Furthermore, the related RSPG Report on "Spectrum for wireless broadband and broadcasting in the frequency range 400 MHz to 6 GHz" (RSPG13-522) examines the potential of frequency bands in the 1350-1518 MHz frequency range for wireless broadband. It concludes that the 1.5 GHz extension bands are covered by 3GPP standards facilitating the availability of wireless broadband equipment (e.g. LTE or LTE-A). It also highlights existing (fixed-service or military) and points to prospective (wireless PMSE) use in this range and the resulting potential constraints for introducing wireless broadband use.</w:t>
      </w:r>
    </w:p>
    <w:p w14:paraId="684DFD0B"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lang w:val="en-GB" w:eastAsia="fr-BE"/>
        </w:rPr>
        <w:t>Taking into account the RSPG opinion and the Union policy objectives on high-quality connectivity in the single market</w:t>
      </w:r>
      <w:r>
        <w:rPr>
          <w:rStyle w:val="FootnoteReference"/>
          <w:rFonts w:ascii="Times New Roman" w:hAnsi="Times New Roman"/>
          <w:sz w:val="24"/>
          <w:lang w:val="en-GB" w:eastAsia="fr-BE"/>
        </w:rPr>
        <w:footnoteReference w:id="6"/>
      </w:r>
      <w:r>
        <w:rPr>
          <w:rFonts w:ascii="Times New Roman" w:hAnsi="Times New Roman"/>
          <w:sz w:val="24"/>
          <w:lang w:val="en-GB" w:eastAsia="fr-BE"/>
        </w:rPr>
        <w:t xml:space="preserve">, Member States could take steps such as promoting shared spectrum use or re-farming, in order to ensure availability of the 1.5 GHz extension bands for wireless broadband electronic communication services, on the path to 5G. The 1.5 GHz extension bands are currently </w:t>
      </w:r>
      <w:r>
        <w:rPr>
          <w:rFonts w:ascii="Times New Roman" w:hAnsi="Times New Roman"/>
          <w:sz w:val="24"/>
          <w:lang w:val="en-GB" w:eastAsia="fr-BE"/>
        </w:rPr>
        <w:lastRenderedPageBreak/>
        <w:t xml:space="preserve">used in the Union for </w:t>
      </w:r>
      <w:r>
        <w:rPr>
          <w:rFonts w:ascii="Times New Roman" w:hAnsi="Times New Roman"/>
          <w:i/>
          <w:sz w:val="24"/>
          <w:lang w:val="en-GB" w:eastAsia="fr-BE"/>
        </w:rPr>
        <w:t>low capacity fixed links</w:t>
      </w:r>
      <w:r>
        <w:rPr>
          <w:rFonts w:ascii="Times New Roman" w:hAnsi="Times New Roman"/>
          <w:sz w:val="24"/>
          <w:lang w:val="en-GB" w:eastAsia="fr-BE"/>
        </w:rPr>
        <w:t>, and i</w:t>
      </w:r>
      <w:r>
        <w:rPr>
          <w:rFonts w:ascii="Times New Roman" w:hAnsi="Times New Roman"/>
          <w:sz w:val="24"/>
          <w:lang w:val="en-GB"/>
        </w:rPr>
        <w:t xml:space="preserve">n some Member States, the lower extension band is also used for </w:t>
      </w:r>
      <w:r>
        <w:rPr>
          <w:rFonts w:ascii="Times New Roman" w:hAnsi="Times New Roman"/>
          <w:i/>
          <w:sz w:val="24"/>
          <w:lang w:val="en-GB"/>
        </w:rPr>
        <w:t xml:space="preserve">wireless camera applications </w:t>
      </w:r>
      <w:r>
        <w:rPr>
          <w:rFonts w:ascii="Times New Roman" w:hAnsi="Times New Roman"/>
          <w:i/>
          <w:sz w:val="24"/>
          <w:lang w:val="en-GB" w:eastAsia="fr-BE"/>
        </w:rPr>
        <w:t xml:space="preserve">whereas in some other </w:t>
      </w:r>
      <w:r>
        <w:rPr>
          <w:rFonts w:ascii="Times New Roman" w:hAnsi="Times New Roman"/>
          <w:sz w:val="24"/>
          <w:lang w:val="en-GB" w:eastAsia="fr-BE"/>
        </w:rPr>
        <w:t xml:space="preserve">Member States the upper extension band is used for </w:t>
      </w:r>
      <w:r>
        <w:rPr>
          <w:rFonts w:ascii="Times New Roman" w:hAnsi="Times New Roman"/>
          <w:i/>
          <w:sz w:val="24"/>
          <w:lang w:val="en-GB" w:eastAsia="fr-BE"/>
        </w:rPr>
        <w:t xml:space="preserve">wireless audio PMSE equipment </w:t>
      </w:r>
      <w:r>
        <w:rPr>
          <w:rFonts w:ascii="Times New Roman" w:hAnsi="Times New Roman"/>
          <w:sz w:val="24"/>
          <w:lang w:val="en-GB" w:eastAsia="fr-BE"/>
        </w:rPr>
        <w:t>(wireless microphones).</w:t>
      </w:r>
      <w:r>
        <w:rPr>
          <w:lang w:val="en-GB"/>
        </w:rPr>
        <w:t xml:space="preserve"> </w:t>
      </w:r>
    </w:p>
    <w:p w14:paraId="684DFD0C"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lang w:val="en-GB" w:eastAsia="fr-BE"/>
        </w:rPr>
        <w:t xml:space="preserve">Given that, on the one hand, according to the NATO Joint Civil/Military Frequency Agreement (NJFA) of 2014, the extension frequency bands (1427-1452 MHz and 1492-1518 MHz) are earmarked for land military systems and maritime military systems; and, on the other, pursuant to EU law, the use of the 1.5 GHz extension bands for military applications is subject to the sovereign decision of Member States, the amount of spectrum which could be made available in these frequency bands for terrestrial WBB electronic communications services may vary across Member States. Therefore, the need for national flexibility to introduce downlink-only terrestrial WBB electronic communications services in all parts of the extension bands should be considered. </w:t>
      </w:r>
    </w:p>
    <w:p w14:paraId="684DFD0D"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lang w:val="en-GB" w:eastAsia="fr-BE"/>
        </w:rPr>
        <w:t xml:space="preserve">Compatibility of wireless broadband use within the 1.5 GHz extension bands with incumbent services in the adjacent bands below 1427 MHz and above 1518 GHz should be ensured according to their regulatory status. In particular, the </w:t>
      </w:r>
      <w:r>
        <w:rPr>
          <w:rFonts w:ascii="Times New Roman" w:hAnsi="Times New Roman"/>
          <w:i/>
          <w:sz w:val="24"/>
          <w:lang w:val="en-GB" w:eastAsia="fr-BE"/>
        </w:rPr>
        <w:t>protection</w:t>
      </w:r>
      <w:r>
        <w:rPr>
          <w:rFonts w:ascii="Times New Roman" w:hAnsi="Times New Roman"/>
          <w:sz w:val="24"/>
          <w:lang w:val="en-GB" w:eastAsia="fr-BE"/>
        </w:rPr>
        <w:t xml:space="preserve"> of earth exploration satellite, space research and radio astronomy services must be safeguarded within the 1400-1427 MHz 'passive' frequency band</w:t>
      </w:r>
      <w:r>
        <w:rPr>
          <w:rStyle w:val="FootnoteReference"/>
          <w:rFonts w:ascii="Times New Roman" w:hAnsi="Times New Roman"/>
          <w:sz w:val="24"/>
          <w:lang w:val="en-GB" w:eastAsia="fr-BE"/>
        </w:rPr>
        <w:footnoteReference w:id="7"/>
      </w:r>
      <w:r>
        <w:rPr>
          <w:rFonts w:ascii="Times New Roman" w:hAnsi="Times New Roman"/>
          <w:sz w:val="24"/>
          <w:lang w:val="en-GB" w:eastAsia="fr-BE"/>
        </w:rPr>
        <w:t xml:space="preserve">. Furthermore, applicable technical conditions to wireless broadband use below 1518 MHz should ensure </w:t>
      </w:r>
      <w:r>
        <w:rPr>
          <w:rFonts w:ascii="Times New Roman" w:hAnsi="Times New Roman"/>
          <w:i/>
          <w:sz w:val="24"/>
          <w:lang w:val="en-GB" w:eastAsia="fr-BE"/>
        </w:rPr>
        <w:t>compatibility with</w:t>
      </w:r>
      <w:r>
        <w:rPr>
          <w:rFonts w:ascii="Times New Roman" w:hAnsi="Times New Roman"/>
          <w:b/>
          <w:i/>
          <w:sz w:val="24"/>
          <w:lang w:val="en-GB" w:eastAsia="fr-BE"/>
        </w:rPr>
        <w:t xml:space="preserve"> </w:t>
      </w:r>
      <w:r>
        <w:rPr>
          <w:rFonts w:ascii="Times New Roman" w:hAnsi="Times New Roman"/>
          <w:i/>
          <w:sz w:val="24"/>
          <w:lang w:val="en-GB" w:eastAsia="fr-BE"/>
        </w:rPr>
        <w:t>mobile satellite service</w:t>
      </w:r>
      <w:r>
        <w:rPr>
          <w:rFonts w:ascii="Times New Roman" w:hAnsi="Times New Roman"/>
          <w:sz w:val="24"/>
          <w:lang w:val="en-GB" w:eastAsia="fr-BE"/>
        </w:rPr>
        <w:t xml:space="preserve"> in the 1518-1525 MHz frequency band. In this regard, the improvement of MSS receiver parameters, including </w:t>
      </w:r>
      <w:proofErr w:type="gramStart"/>
      <w:r>
        <w:rPr>
          <w:rFonts w:ascii="Times New Roman" w:hAnsi="Times New Roman"/>
          <w:sz w:val="24"/>
          <w:lang w:val="en-GB" w:eastAsia="fr-BE"/>
        </w:rPr>
        <w:t>to ensure</w:t>
      </w:r>
      <w:proofErr w:type="gramEnd"/>
      <w:r>
        <w:rPr>
          <w:rFonts w:ascii="Times New Roman" w:hAnsi="Times New Roman"/>
          <w:sz w:val="24"/>
          <w:lang w:val="en-GB" w:eastAsia="fr-BE"/>
        </w:rPr>
        <w:t xml:space="preserve"> continuing consistency with the Radio Equipment Directive (RED), and</w:t>
      </w:r>
      <w:r>
        <w:rPr>
          <w:rFonts w:ascii="Times New Roman" w:hAnsi="Times New Roman"/>
          <w:strike/>
          <w:sz w:val="24"/>
          <w:lang w:val="en-GB" w:eastAsia="fr-BE"/>
        </w:rPr>
        <w:t xml:space="preserve"> </w:t>
      </w:r>
      <w:r>
        <w:rPr>
          <w:rFonts w:ascii="Times New Roman" w:hAnsi="Times New Roman"/>
          <w:sz w:val="24"/>
          <w:lang w:val="en-GB" w:eastAsia="fr-BE"/>
        </w:rPr>
        <w:t>mitigation techniques should be studied in cooperation with ETSI to facilitate compatibility especially for mobile earth stations in particular locations such as airports or seaports.</w:t>
      </w:r>
    </w:p>
    <w:p w14:paraId="684DFD0E"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lang w:val="en-GB" w:eastAsia="fr-BE"/>
        </w:rPr>
        <w:t xml:space="preserve">In its "Strategic Roadmap towards 5G for Europe: Opinion on spectrum related aspects for next-generation wireless systems (5G)" (RSPG16-032 final), the RSPG sets out spectrum priorities and recommendations for the introduction of 5G terrestrial wireless systems in Europe. In this regard, the RSPG also recognises the need to ensure that technical and regulatory conditions for all EU-harmonised frequency bands for wireless broadband electronic communications services </w:t>
      </w:r>
      <w:r>
        <w:rPr>
          <w:rFonts w:ascii="Times New Roman" w:hAnsi="Times New Roman"/>
          <w:i/>
          <w:sz w:val="24"/>
          <w:lang w:val="en-GB" w:eastAsia="fr-BE"/>
        </w:rPr>
        <w:t xml:space="preserve">are fit for 5G </w:t>
      </w:r>
      <w:proofErr w:type="gramStart"/>
      <w:r>
        <w:rPr>
          <w:rFonts w:ascii="Times New Roman" w:hAnsi="Times New Roman"/>
          <w:i/>
          <w:sz w:val="24"/>
          <w:lang w:val="en-GB" w:eastAsia="fr-BE"/>
        </w:rPr>
        <w:t>use</w:t>
      </w:r>
      <w:proofErr w:type="gramEnd"/>
      <w:r>
        <w:rPr>
          <w:rFonts w:ascii="Times New Roman" w:hAnsi="Times New Roman"/>
          <w:sz w:val="24"/>
          <w:lang w:val="en-GB" w:eastAsia="fr-BE"/>
        </w:rPr>
        <w:t xml:space="preserve"> – including the 1.5 GHz core band.</w:t>
      </w:r>
    </w:p>
    <w:p w14:paraId="684DFD0F"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lang w:val="en-GB" w:eastAsia="fr-BE"/>
        </w:rPr>
        <w:t>This Mandate represents a follow-up to the Commission mandate to the CEPT of March 2014 (RSCOM13-67rev3) to study harmonised technical conditions for wireless broadband electronic communications services in the 1.5 GHz core band. The results of the latter were incorporated in the Commission Implementing Decision (EU) 2015/750 (May 2015) on the harmonisation of the 1452-1492 MHz frequency band for terrestrial systems capable of providing downlink-only electronic communications services in the Union</w:t>
      </w:r>
      <w:r>
        <w:rPr>
          <w:rFonts w:ascii="Times New Roman" w:hAnsi="Times New Roman"/>
          <w:sz w:val="24"/>
          <w:vertAlign w:val="superscript"/>
          <w:lang w:val="en-GB" w:eastAsia="fr-BE"/>
        </w:rPr>
        <w:footnoteReference w:id="8"/>
      </w:r>
      <w:r>
        <w:rPr>
          <w:rFonts w:ascii="Times New Roman" w:hAnsi="Times New Roman"/>
          <w:sz w:val="24"/>
          <w:lang w:val="en-GB" w:eastAsia="fr-BE"/>
        </w:rPr>
        <w:t xml:space="preserve">. Therefore, it is paramount that deliverables under this Mandate ensure availability of </w:t>
      </w:r>
      <w:r>
        <w:rPr>
          <w:rFonts w:ascii="Times New Roman" w:hAnsi="Times New Roman"/>
          <w:i/>
          <w:sz w:val="24"/>
          <w:lang w:val="en-GB" w:eastAsia="fr-BE"/>
        </w:rPr>
        <w:t>contiguous spectrum</w:t>
      </w:r>
      <w:r>
        <w:rPr>
          <w:rFonts w:ascii="Times New Roman" w:hAnsi="Times New Roman"/>
          <w:sz w:val="24"/>
          <w:lang w:val="en-GB" w:eastAsia="fr-BE"/>
        </w:rPr>
        <w:t xml:space="preserve"> for WBB in the 1427-1518 MHz frequency range </w:t>
      </w:r>
      <w:r>
        <w:rPr>
          <w:rFonts w:ascii="Times New Roman" w:hAnsi="Times New Roman"/>
          <w:i/>
          <w:sz w:val="24"/>
          <w:lang w:val="en-GB" w:eastAsia="fr-BE"/>
        </w:rPr>
        <w:t>under uniform harmonised technical conditions</w:t>
      </w:r>
      <w:r>
        <w:rPr>
          <w:rFonts w:ascii="Times New Roman" w:hAnsi="Times New Roman"/>
          <w:sz w:val="24"/>
          <w:lang w:val="en-GB" w:eastAsia="fr-BE"/>
        </w:rPr>
        <w:t xml:space="preserve">, including any review in the 1.5 GHz core band, in support of future 5G use. Such approach would incentivise investment, reduce equipment cost and capital expenditure through economies of scale, and render benefits for end users. To this end, the studies should focus on </w:t>
      </w:r>
      <w:r>
        <w:rPr>
          <w:rFonts w:ascii="Times New Roman" w:hAnsi="Times New Roman"/>
          <w:i/>
          <w:sz w:val="24"/>
          <w:lang w:val="en-GB" w:eastAsia="fr-BE"/>
        </w:rPr>
        <w:t>downlink-only use</w:t>
      </w:r>
      <w:r>
        <w:rPr>
          <w:rFonts w:ascii="Times New Roman" w:hAnsi="Times New Roman"/>
          <w:sz w:val="24"/>
          <w:lang w:val="en-GB" w:eastAsia="fr-BE"/>
        </w:rPr>
        <w:t xml:space="preserve"> within the whole frequency range and also address spectrum use with other relevant services in order to provide flexibility for national implementations. </w:t>
      </w:r>
    </w:p>
    <w:p w14:paraId="684DFD10" w14:textId="77777777" w:rsidR="00954C83" w:rsidRDefault="00954C83" w:rsidP="00954C83">
      <w:pPr>
        <w:rPr>
          <w:rFonts w:ascii="Times New Roman" w:hAnsi="Times New Roman"/>
          <w:b/>
          <w:lang w:val="en-GB"/>
        </w:rPr>
      </w:pPr>
      <w:r>
        <w:rPr>
          <w:rFonts w:ascii="Times New Roman" w:hAnsi="Times New Roman"/>
          <w:b/>
          <w:lang w:val="en-GB"/>
        </w:rPr>
        <w:t>JUSTIFICATION</w:t>
      </w:r>
    </w:p>
    <w:p w14:paraId="684DFD11" w14:textId="77777777" w:rsidR="00954C83" w:rsidRDefault="00954C83" w:rsidP="00954C83">
      <w:pPr>
        <w:spacing w:after="240"/>
        <w:jc w:val="both"/>
        <w:rPr>
          <w:rFonts w:ascii="Times New Roman" w:hAnsi="Times New Roman"/>
          <w:sz w:val="24"/>
          <w:szCs w:val="20"/>
          <w:lang w:val="en-GB" w:eastAsia="fr-BE"/>
        </w:rPr>
      </w:pPr>
      <w:r>
        <w:rPr>
          <w:rFonts w:ascii="Times New Roman" w:hAnsi="Times New Roman"/>
          <w:sz w:val="24"/>
          <w:szCs w:val="20"/>
          <w:lang w:val="en-GB" w:eastAsia="fr-BE"/>
        </w:rPr>
        <w:t xml:space="preserve">Pursuant to Article 4(2) of the Radio Spectrum Decision the Commission may issue mandates to the CEPT for the development of technical implementing measures with a view to ensuring harmonised </w:t>
      </w:r>
      <w:r>
        <w:rPr>
          <w:rFonts w:ascii="Times New Roman" w:hAnsi="Times New Roman"/>
          <w:sz w:val="24"/>
          <w:szCs w:val="20"/>
          <w:lang w:val="en-GB" w:eastAsia="fr-BE"/>
        </w:rPr>
        <w:lastRenderedPageBreak/>
        <w:t>conditions for the availability and efficient use of radio spectrum necessary for the functioning of the internal market. Such mandates shall set the tasks to be performed and their timetable. Pursuant to Article 1 of the Radio Spectrum Decision, activities under the Decision must facilitate policy making with regard to the strategic planning and harmonisation of radio spectrum use as well as ensure the effective implementation of radio spectrum policy in the EU while serving the aim of coordination of policy approaches. Furthermore, they shall take due account of the work of international organisations related to spectrum management such as the ITU and the CEPT.</w:t>
      </w:r>
    </w:p>
    <w:p w14:paraId="684DFD12" w14:textId="77777777" w:rsidR="00954C83" w:rsidRDefault="00954C83" w:rsidP="00954C83">
      <w:pPr>
        <w:spacing w:after="240"/>
        <w:jc w:val="both"/>
        <w:rPr>
          <w:rFonts w:ascii="Times New Roman" w:hAnsi="Times New Roman"/>
          <w:sz w:val="24"/>
          <w:szCs w:val="20"/>
          <w:lang w:val="en-GB" w:eastAsia="fr-BE"/>
        </w:rPr>
      </w:pPr>
      <w:r>
        <w:rPr>
          <w:rFonts w:ascii="Times New Roman" w:hAnsi="Times New Roman"/>
          <w:sz w:val="24"/>
          <w:szCs w:val="20"/>
          <w:lang w:val="en-GB" w:eastAsia="fr-BE"/>
        </w:rPr>
        <w:t>The RSPP requires Member States, in cooperation with the Commission, to take all steps necessary to ensure that sufficient wireless broadband spectrum for coverage and capacity purposes is available in order to achieve the target for all citizens to have access to broadband speeds of not less than 30 Mbps by 2020. In particular, the RSPP sets the objective of identifying at least 1200 MHz of suitable spectrum for wireless broadband by 2015</w:t>
      </w:r>
      <w:r>
        <w:rPr>
          <w:rStyle w:val="FootnoteReference"/>
          <w:rFonts w:ascii="Times New Roman" w:hAnsi="Times New Roman"/>
          <w:sz w:val="24"/>
          <w:szCs w:val="20"/>
          <w:lang w:val="en-GB" w:eastAsia="fr-BE"/>
        </w:rPr>
        <w:footnoteReference w:id="9"/>
      </w:r>
      <w:r>
        <w:rPr>
          <w:rFonts w:ascii="Times New Roman" w:hAnsi="Times New Roman"/>
          <w:sz w:val="24"/>
          <w:szCs w:val="20"/>
          <w:lang w:val="en-GB" w:eastAsia="fr-BE"/>
        </w:rPr>
        <w:t>. Furthermore, the RSPP stipulates that Member States, in cooperation with the Commission, shall, where appropriate, foster shared use of spectrum.</w:t>
      </w:r>
    </w:p>
    <w:p w14:paraId="684DFD13"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szCs w:val="20"/>
          <w:lang w:val="en-GB" w:eastAsia="fr-BE"/>
        </w:rPr>
        <w:t xml:space="preserve">Advances in international standardisation as well as rapid international developments regarding 5G trials and spectrum use until 2020 call for a swift and coordinated Union-level process on delivering sufficient and appropriate spectrum for 5G use according to anticipated deployment of 5G usage scenarios. </w:t>
      </w:r>
    </w:p>
    <w:p w14:paraId="684DFD14" w14:textId="77777777" w:rsidR="00954C83" w:rsidRDefault="00954C83" w:rsidP="00954C83">
      <w:pPr>
        <w:spacing w:after="240"/>
        <w:jc w:val="both"/>
        <w:rPr>
          <w:rFonts w:ascii="Times New Roman" w:hAnsi="Times New Roman"/>
          <w:sz w:val="24"/>
          <w:lang w:val="en-GB" w:eastAsia="fr-BE"/>
        </w:rPr>
      </w:pPr>
      <w:r>
        <w:rPr>
          <w:rFonts w:ascii="Times New Roman" w:hAnsi="Times New Roman"/>
          <w:sz w:val="24"/>
          <w:lang w:val="en-GB" w:eastAsia="fr-BE"/>
        </w:rPr>
        <w:t>Therefore, the availability of harmonised technical (including any sharing) conditions for the wireless broadband use of the 1.5 GHz extension bands as far as possible including in support of 5G take-up, are conducive to the Union spectrum policy objectives linked to high-quality wireless connectivity on the path to 5G.</w:t>
      </w:r>
    </w:p>
    <w:p w14:paraId="684DFD15" w14:textId="77777777" w:rsidR="00954C83" w:rsidRDefault="00954C83" w:rsidP="00954C83">
      <w:pPr>
        <w:rPr>
          <w:rFonts w:ascii="Times New Roman" w:hAnsi="Times New Roman"/>
          <w:b/>
          <w:lang w:val="en-GB"/>
        </w:rPr>
      </w:pPr>
      <w:r>
        <w:rPr>
          <w:rFonts w:ascii="Times New Roman" w:hAnsi="Times New Roman"/>
          <w:b/>
          <w:lang w:val="en-GB"/>
        </w:rPr>
        <w:t xml:space="preserve">TASK ORDER AND SCHEDULE </w:t>
      </w:r>
    </w:p>
    <w:p w14:paraId="684DFD16" w14:textId="77777777" w:rsidR="00954C83" w:rsidRDefault="00954C83" w:rsidP="00954C83">
      <w:pPr>
        <w:spacing w:after="240"/>
        <w:jc w:val="both"/>
        <w:rPr>
          <w:rFonts w:ascii="Times New Roman" w:hAnsi="Times New Roman"/>
          <w:sz w:val="24"/>
          <w:szCs w:val="20"/>
          <w:lang w:val="en-GB" w:eastAsia="fr-BE"/>
        </w:rPr>
      </w:pPr>
      <w:r>
        <w:rPr>
          <w:rFonts w:ascii="Times New Roman" w:hAnsi="Times New Roman"/>
          <w:sz w:val="24"/>
          <w:szCs w:val="20"/>
          <w:lang w:val="en-GB" w:eastAsia="fr-BE"/>
        </w:rPr>
        <w:t xml:space="preserve">CEPT is herewith mandated to develop </w:t>
      </w:r>
      <w:r>
        <w:rPr>
          <w:rFonts w:ascii="Times New Roman" w:hAnsi="Times New Roman"/>
          <w:sz w:val="24"/>
          <w:lang w:val="en-GB" w:eastAsia="fr-BE"/>
        </w:rPr>
        <w:t>harmonised technical conditions for spectrum use in the 1.5 GHz extension bands which are suitable for the provision of</w:t>
      </w:r>
      <w:r>
        <w:rPr>
          <w:rFonts w:ascii="Times New Roman" w:hAnsi="Times New Roman"/>
          <w:sz w:val="24"/>
          <w:szCs w:val="20"/>
          <w:lang w:val="en-GB" w:eastAsia="fr-BE"/>
        </w:rPr>
        <w:t xml:space="preserve"> terrestrial wireless broadband electronic communications services and, in particular, support </w:t>
      </w:r>
      <w:r>
        <w:rPr>
          <w:rFonts w:ascii="Times New Roman" w:hAnsi="Times New Roman"/>
          <w:sz w:val="24"/>
          <w:lang w:val="en-GB" w:eastAsia="fr-BE"/>
        </w:rPr>
        <w:t xml:space="preserve">next-generation (5G) wireless systems. </w:t>
      </w:r>
      <w:r>
        <w:rPr>
          <w:rFonts w:ascii="Times New Roman" w:hAnsi="Times New Roman"/>
          <w:sz w:val="24"/>
          <w:szCs w:val="20"/>
          <w:lang w:val="en-GB" w:eastAsia="fr-BE"/>
        </w:rPr>
        <w:t xml:space="preserve">These conditions should </w:t>
      </w:r>
      <w:r>
        <w:rPr>
          <w:rFonts w:ascii="Times New Roman" w:hAnsi="Times New Roman"/>
          <w:sz w:val="24"/>
          <w:lang w:val="en-GB" w:eastAsia="fr-BE"/>
        </w:rPr>
        <w:t xml:space="preserve">include, if necessary, sharing arrangements and conditions, which take into account needs of existing or prospective incumbent uses in adjacent bands. CEPT should give </w:t>
      </w:r>
      <w:r>
        <w:rPr>
          <w:rFonts w:ascii="Times New Roman" w:hAnsi="Times New Roman"/>
          <w:sz w:val="24"/>
          <w:szCs w:val="20"/>
          <w:lang w:val="en-GB" w:eastAsia="fr-BE"/>
        </w:rPr>
        <w:t>utmost consideration</w:t>
      </w:r>
      <w:r>
        <w:rPr>
          <w:rFonts w:ascii="Times New Roman" w:hAnsi="Times New Roman"/>
          <w:sz w:val="24"/>
          <w:lang w:val="en-GB" w:eastAsia="fr-BE"/>
        </w:rPr>
        <w:t xml:space="preserve"> to </w:t>
      </w:r>
      <w:r>
        <w:rPr>
          <w:rFonts w:ascii="Times New Roman" w:hAnsi="Times New Roman"/>
          <w:sz w:val="24"/>
          <w:szCs w:val="20"/>
          <w:lang w:val="en-GB" w:eastAsia="fr-BE"/>
        </w:rPr>
        <w:t>overarching Union-level spectrum policy objectives</w:t>
      </w:r>
      <w:r>
        <w:rPr>
          <w:rFonts w:ascii="Times New Roman" w:hAnsi="Times New Roman"/>
          <w:sz w:val="24"/>
          <w:szCs w:val="20"/>
          <w:vertAlign w:val="superscript"/>
          <w:lang w:val="en-GB" w:eastAsia="fr-BE"/>
        </w:rPr>
        <w:footnoteReference w:id="10"/>
      </w:r>
      <w:r>
        <w:rPr>
          <w:rFonts w:ascii="Times New Roman" w:hAnsi="Times New Roman"/>
          <w:sz w:val="24"/>
          <w:szCs w:val="20"/>
          <w:lang w:val="en-GB" w:eastAsia="fr-BE"/>
        </w:rPr>
        <w:t xml:space="preserve"> such as efficient spectrum use and take utmost account of applicable principles of Union law such as technological and service neutrality, non-discrimination and proportionality insofar as technically possible. </w:t>
      </w:r>
    </w:p>
    <w:p w14:paraId="684DFD17" w14:textId="77777777" w:rsidR="00954C83" w:rsidRDefault="00954C83" w:rsidP="00954C83">
      <w:pPr>
        <w:spacing w:after="240"/>
        <w:jc w:val="both"/>
        <w:rPr>
          <w:rFonts w:ascii="Times New Roman" w:hAnsi="Times New Roman"/>
          <w:sz w:val="24"/>
          <w:szCs w:val="20"/>
          <w:lang w:val="en-GB" w:eastAsia="fr-BE"/>
        </w:rPr>
      </w:pPr>
      <w:r>
        <w:rPr>
          <w:rFonts w:ascii="Times New Roman" w:hAnsi="Times New Roman"/>
          <w:sz w:val="24"/>
          <w:szCs w:val="20"/>
          <w:lang w:val="en-GB" w:eastAsia="fr-BE"/>
        </w:rPr>
        <w:t xml:space="preserve">CEPT is requested to collaborate actively with the European Telecommunications Standardisation Institute (ETSI) which develops harmonised standards for conformity under the Radio Equipment Directive. In particular, CEPT should take into consideration emerging technologies and ETSI (harmonised) standards, which define 5G systems and facilitate shared spectrum use or foster economies of scale. </w:t>
      </w:r>
    </w:p>
    <w:p w14:paraId="684DFD18" w14:textId="77777777" w:rsidR="00954C83" w:rsidRDefault="00954C83" w:rsidP="00954C83">
      <w:pPr>
        <w:spacing w:after="240"/>
        <w:jc w:val="both"/>
        <w:rPr>
          <w:rFonts w:ascii="Times New Roman" w:hAnsi="Times New Roman"/>
          <w:sz w:val="24"/>
          <w:szCs w:val="20"/>
          <w:lang w:val="en-GB" w:eastAsia="fr-BE"/>
        </w:rPr>
      </w:pPr>
      <w:r>
        <w:rPr>
          <w:rFonts w:ascii="Times New Roman" w:hAnsi="Times New Roman"/>
          <w:sz w:val="24"/>
          <w:szCs w:val="20"/>
          <w:lang w:val="en-GB" w:eastAsia="fr-BE"/>
        </w:rPr>
        <w:t xml:space="preserve">In particular, CEPT is tasked to: </w:t>
      </w:r>
    </w:p>
    <w:p w14:paraId="684DFD19" w14:textId="77777777" w:rsidR="00954C83" w:rsidRDefault="00954C83" w:rsidP="00FD33A1">
      <w:pPr>
        <w:pStyle w:val="ListParagraph"/>
        <w:numPr>
          <w:ilvl w:val="0"/>
          <w:numId w:val="11"/>
        </w:numPr>
        <w:spacing w:before="120" w:after="120" w:line="240" w:lineRule="auto"/>
        <w:contextualSpacing w:val="0"/>
        <w:jc w:val="both"/>
        <w:rPr>
          <w:rFonts w:ascii="Times New Roman" w:eastAsia="Times New Roman" w:hAnsi="Times New Roman" w:cs="Times New Roman"/>
          <w:sz w:val="24"/>
          <w:szCs w:val="20"/>
          <w:lang w:eastAsia="fr-BE"/>
        </w:rPr>
      </w:pPr>
      <w:r>
        <w:rPr>
          <w:rFonts w:ascii="Times New Roman" w:eastAsia="Times New Roman" w:hAnsi="Times New Roman" w:cs="Times New Roman"/>
          <w:sz w:val="24"/>
          <w:szCs w:val="20"/>
          <w:lang w:eastAsia="fr-BE"/>
        </w:rPr>
        <w:t xml:space="preserve">Study and assess the </w:t>
      </w:r>
      <w:r>
        <w:rPr>
          <w:rFonts w:ascii="Times New Roman" w:eastAsia="Times New Roman" w:hAnsi="Times New Roman" w:cs="Times New Roman"/>
          <w:b/>
          <w:sz w:val="24"/>
          <w:szCs w:val="20"/>
          <w:lang w:eastAsia="fr-BE"/>
        </w:rPr>
        <w:t>1427-1518 MHz</w:t>
      </w:r>
      <w:r>
        <w:rPr>
          <w:rFonts w:ascii="Times New Roman" w:eastAsia="Times New Roman" w:hAnsi="Times New Roman" w:cs="Times New Roman"/>
          <w:sz w:val="24"/>
          <w:szCs w:val="20"/>
          <w:lang w:eastAsia="fr-BE"/>
        </w:rPr>
        <w:t xml:space="preserve"> frequency range for </w:t>
      </w:r>
      <w:r>
        <w:rPr>
          <w:rFonts w:ascii="Times New Roman" w:eastAsia="Times New Roman" w:hAnsi="Times New Roman" w:cs="Times New Roman"/>
          <w:i/>
          <w:sz w:val="24"/>
          <w:szCs w:val="20"/>
          <w:lang w:eastAsia="fr-BE"/>
        </w:rPr>
        <w:t>downlink-only</w:t>
      </w:r>
      <w:r>
        <w:rPr>
          <w:rFonts w:ascii="Times New Roman" w:eastAsia="Times New Roman" w:hAnsi="Times New Roman" w:cs="Times New Roman"/>
          <w:sz w:val="24"/>
          <w:szCs w:val="20"/>
          <w:lang w:eastAsia="fr-BE"/>
        </w:rPr>
        <w:t xml:space="preserve"> use by terrestrial wireless broadband electronic communications services; in this regard, review the harmonised technical conditions applicable to the </w:t>
      </w:r>
      <w:r>
        <w:rPr>
          <w:rFonts w:ascii="Times New Roman" w:eastAsia="Times New Roman" w:hAnsi="Times New Roman" w:cs="Times New Roman"/>
          <w:b/>
          <w:sz w:val="24"/>
          <w:szCs w:val="20"/>
          <w:lang w:eastAsia="fr-BE"/>
        </w:rPr>
        <w:t>1452-1492 MHz</w:t>
      </w:r>
      <w:r>
        <w:rPr>
          <w:rFonts w:ascii="Times New Roman" w:eastAsia="Times New Roman" w:hAnsi="Times New Roman" w:cs="Times New Roman"/>
          <w:sz w:val="24"/>
          <w:szCs w:val="20"/>
          <w:lang w:eastAsia="fr-BE"/>
        </w:rPr>
        <w:t xml:space="preserve"> frequency band; </w:t>
      </w:r>
    </w:p>
    <w:p w14:paraId="684DFD1A" w14:textId="77777777" w:rsidR="00954C83" w:rsidRDefault="00954C83" w:rsidP="00FD33A1">
      <w:pPr>
        <w:pStyle w:val="ListParagraph"/>
        <w:numPr>
          <w:ilvl w:val="0"/>
          <w:numId w:val="11"/>
        </w:numPr>
        <w:spacing w:before="120" w:after="120" w:line="240" w:lineRule="auto"/>
        <w:contextualSpacing w:val="0"/>
        <w:jc w:val="both"/>
        <w:rPr>
          <w:rFonts w:ascii="Times New Roman" w:eastAsia="Times New Roman" w:hAnsi="Times New Roman" w:cs="Times New Roman"/>
          <w:sz w:val="24"/>
          <w:szCs w:val="20"/>
          <w:lang w:eastAsia="fr-BE"/>
        </w:rPr>
      </w:pPr>
      <w:r>
        <w:rPr>
          <w:rFonts w:ascii="Times New Roman" w:eastAsia="Times New Roman" w:hAnsi="Times New Roman" w:cs="Times New Roman"/>
          <w:sz w:val="24"/>
          <w:szCs w:val="20"/>
          <w:lang w:eastAsia="fr-BE"/>
        </w:rPr>
        <w:lastRenderedPageBreak/>
        <w:t xml:space="preserve">Develop channelling arrangements as well as common and minimal (least restrictive) technical conditions for spectrum use in the </w:t>
      </w:r>
      <w:r>
        <w:rPr>
          <w:rFonts w:ascii="Times New Roman" w:eastAsia="Times New Roman" w:hAnsi="Times New Roman" w:cs="Times New Roman"/>
          <w:b/>
          <w:sz w:val="24"/>
          <w:szCs w:val="20"/>
          <w:lang w:eastAsia="fr-BE"/>
        </w:rPr>
        <w:t>1427-1452 MHz</w:t>
      </w:r>
      <w:r>
        <w:rPr>
          <w:rFonts w:ascii="Times New Roman" w:eastAsia="Times New Roman" w:hAnsi="Times New Roman" w:cs="Times New Roman"/>
          <w:sz w:val="24"/>
          <w:szCs w:val="20"/>
          <w:lang w:eastAsia="fr-BE"/>
        </w:rPr>
        <w:t xml:space="preserve"> and</w:t>
      </w:r>
      <w:r>
        <w:rPr>
          <w:rFonts w:ascii="Times New Roman" w:eastAsia="Times New Roman" w:hAnsi="Times New Roman" w:cs="Times New Roman"/>
          <w:b/>
          <w:sz w:val="24"/>
          <w:szCs w:val="20"/>
          <w:lang w:eastAsia="fr-BE"/>
        </w:rPr>
        <w:t xml:space="preserve"> 1492-1518 MHz</w:t>
      </w:r>
      <w:r>
        <w:rPr>
          <w:rFonts w:ascii="Times New Roman" w:eastAsia="Times New Roman" w:hAnsi="Times New Roman" w:cs="Times New Roman"/>
          <w:sz w:val="24"/>
          <w:szCs w:val="20"/>
          <w:lang w:eastAsia="fr-BE"/>
        </w:rPr>
        <w:t xml:space="preserve"> frequency bands for the provision of downlink-only terrestrial wireless broadband electronic communications services, which are also suitable for 5G terrestrial wireless systems; when doing so, ensure </w:t>
      </w:r>
      <w:r>
        <w:rPr>
          <w:rFonts w:ascii="Times New Roman" w:eastAsia="Times New Roman" w:hAnsi="Times New Roman" w:cs="Times New Roman"/>
          <w:i/>
          <w:sz w:val="24"/>
          <w:szCs w:val="20"/>
          <w:lang w:eastAsia="fr-BE"/>
        </w:rPr>
        <w:t>consistency</w:t>
      </w:r>
      <w:r>
        <w:rPr>
          <w:rFonts w:ascii="Times New Roman" w:eastAsia="Times New Roman" w:hAnsi="Times New Roman" w:cs="Times New Roman"/>
          <w:sz w:val="24"/>
          <w:szCs w:val="20"/>
          <w:lang w:eastAsia="fr-BE"/>
        </w:rPr>
        <w:t xml:space="preserve"> in the whole 1427-1518 MHz frequency range with view to suitability for 5G terrestrial wireless systems; </w:t>
      </w:r>
    </w:p>
    <w:p w14:paraId="684DFD1B" w14:textId="77777777" w:rsidR="00954C83" w:rsidRDefault="00954C83" w:rsidP="00FD33A1">
      <w:pPr>
        <w:pStyle w:val="ListParagraph"/>
        <w:numPr>
          <w:ilvl w:val="0"/>
          <w:numId w:val="11"/>
        </w:numPr>
        <w:spacing w:before="120" w:after="120" w:line="240" w:lineRule="auto"/>
        <w:contextualSpacing w:val="0"/>
        <w:jc w:val="both"/>
        <w:rPr>
          <w:rFonts w:ascii="Times New Roman" w:eastAsia="Times New Roman" w:hAnsi="Times New Roman" w:cs="Times New Roman"/>
          <w:sz w:val="24"/>
          <w:szCs w:val="20"/>
          <w:lang w:eastAsia="fr-BE"/>
        </w:rPr>
      </w:pPr>
      <w:r>
        <w:rPr>
          <w:rFonts w:ascii="Times New Roman" w:eastAsia="Times New Roman" w:hAnsi="Times New Roman" w:cs="Times New Roman"/>
          <w:sz w:val="24"/>
          <w:szCs w:val="20"/>
          <w:lang w:eastAsia="fr-BE"/>
        </w:rPr>
        <w:t xml:space="preserve">In conjunction with Task 2, develop harmonised technical conditions in the </w:t>
      </w:r>
      <w:r>
        <w:rPr>
          <w:rFonts w:ascii="Times New Roman" w:eastAsia="Times New Roman" w:hAnsi="Times New Roman" w:cs="Times New Roman"/>
          <w:b/>
          <w:sz w:val="24"/>
          <w:szCs w:val="20"/>
          <w:lang w:eastAsia="fr-BE"/>
        </w:rPr>
        <w:t>1427-1452 MHz</w:t>
      </w:r>
      <w:r>
        <w:rPr>
          <w:rFonts w:ascii="Times New Roman" w:eastAsia="Times New Roman" w:hAnsi="Times New Roman" w:cs="Times New Roman"/>
          <w:sz w:val="24"/>
          <w:szCs w:val="20"/>
          <w:lang w:eastAsia="fr-BE"/>
        </w:rPr>
        <w:t xml:space="preserve"> and</w:t>
      </w:r>
      <w:r>
        <w:rPr>
          <w:rFonts w:ascii="Times New Roman" w:eastAsia="Times New Roman" w:hAnsi="Times New Roman" w:cs="Times New Roman"/>
          <w:b/>
          <w:sz w:val="24"/>
          <w:szCs w:val="20"/>
          <w:lang w:eastAsia="fr-BE"/>
        </w:rPr>
        <w:t xml:space="preserve"> 1492-1518 MHz</w:t>
      </w:r>
      <w:r>
        <w:rPr>
          <w:rFonts w:ascii="Times New Roman" w:eastAsia="Times New Roman" w:hAnsi="Times New Roman" w:cs="Times New Roman"/>
          <w:sz w:val="24"/>
          <w:szCs w:val="20"/>
          <w:lang w:eastAsia="fr-BE"/>
        </w:rPr>
        <w:t xml:space="preserve"> frequency bands to enable national flexibility, including protection conditions where necessary, in close cooperation with all concerned stakeholders. </w:t>
      </w:r>
    </w:p>
    <w:p w14:paraId="684DFD1C" w14:textId="77777777" w:rsidR="00954C83" w:rsidRDefault="00954C83" w:rsidP="00954C83">
      <w:pPr>
        <w:spacing w:before="120" w:after="120"/>
        <w:ind w:left="720"/>
        <w:jc w:val="both"/>
        <w:rPr>
          <w:rFonts w:ascii="Times New Roman" w:hAnsi="Times New Roman"/>
          <w:sz w:val="24"/>
          <w:szCs w:val="20"/>
          <w:lang w:val="en-GB" w:eastAsia="fr-BE"/>
        </w:rPr>
      </w:pPr>
      <w:r>
        <w:rPr>
          <w:rFonts w:ascii="Times New Roman" w:hAnsi="Times New Roman"/>
          <w:sz w:val="24"/>
          <w:szCs w:val="20"/>
          <w:lang w:val="en-GB" w:eastAsia="fr-BE"/>
        </w:rPr>
        <w:t xml:space="preserve">The </w:t>
      </w:r>
      <w:r>
        <w:rPr>
          <w:rFonts w:ascii="Times New Roman" w:hAnsi="Times New Roman"/>
          <w:i/>
          <w:sz w:val="24"/>
          <w:szCs w:val="20"/>
          <w:lang w:val="en-GB" w:eastAsia="fr-BE"/>
        </w:rPr>
        <w:t>technical conditions</w:t>
      </w:r>
      <w:r>
        <w:rPr>
          <w:rFonts w:ascii="Times New Roman" w:hAnsi="Times New Roman"/>
          <w:sz w:val="24"/>
          <w:szCs w:val="20"/>
          <w:lang w:val="en-GB" w:eastAsia="fr-BE"/>
        </w:rPr>
        <w:t xml:space="preserve"> developed under Tasks 2 and 3 should be sufficient to mitigate interference and address where possible co-existence with incumbent radio services and applications in the 1427-1518 MHz frequency range and in adjacent bands, in line with their regulatory status, including at the EU outer borders. In particular, they should safeguard the protection of radio services in the 1400-1427 MHz frequency band from harmful interference in accordance with the ITU Radio Regulations</w:t>
      </w:r>
    </w:p>
    <w:p w14:paraId="684DFD1D" w14:textId="77777777" w:rsidR="00954C83" w:rsidRDefault="00954C83" w:rsidP="00954C83">
      <w:pPr>
        <w:spacing w:before="240" w:after="240"/>
        <w:rPr>
          <w:rFonts w:ascii="Times New Roman" w:hAnsi="Times New Roman"/>
          <w:sz w:val="24"/>
          <w:szCs w:val="20"/>
          <w:lang w:val="en-GB" w:eastAsia="fr-BE"/>
        </w:rPr>
      </w:pPr>
      <w:r>
        <w:rPr>
          <w:rFonts w:ascii="Times New Roman" w:hAnsi="Times New Roman"/>
          <w:sz w:val="24"/>
          <w:szCs w:val="20"/>
          <w:lang w:val="en-GB" w:eastAsia="fr-BE"/>
        </w:rPr>
        <w:t>CEPT should provide deliverables according to the following schedule:</w:t>
      </w:r>
    </w:p>
    <w:tbl>
      <w:tblPr>
        <w:tblStyle w:val="TableGrid"/>
        <w:tblW w:w="0" w:type="auto"/>
        <w:jc w:val="center"/>
        <w:tblLook w:val="04A0" w:firstRow="1" w:lastRow="0" w:firstColumn="1" w:lastColumn="0" w:noHBand="0" w:noVBand="1"/>
      </w:tblPr>
      <w:tblGrid>
        <w:gridCol w:w="1701"/>
        <w:gridCol w:w="3686"/>
        <w:gridCol w:w="3613"/>
      </w:tblGrid>
      <w:tr w:rsidR="00954C83" w14:paraId="684DFD21" w14:textId="77777777" w:rsidTr="00954C83">
        <w:trPr>
          <w:jc w:val="center"/>
        </w:trPr>
        <w:tc>
          <w:tcPr>
            <w:tcW w:w="1701" w:type="dxa"/>
          </w:tcPr>
          <w:p w14:paraId="684DFD1E" w14:textId="77777777" w:rsidR="00954C83" w:rsidRDefault="00954C83" w:rsidP="00954C83">
            <w:pPr>
              <w:jc w:val="center"/>
              <w:rPr>
                <w:rFonts w:ascii="Times New Roman" w:hAnsi="Times New Roman"/>
                <w:b/>
                <w:sz w:val="24"/>
                <w:szCs w:val="20"/>
                <w:lang w:val="en-GB" w:eastAsia="fr-BE"/>
              </w:rPr>
            </w:pPr>
            <w:r>
              <w:rPr>
                <w:rFonts w:ascii="Times New Roman" w:hAnsi="Times New Roman"/>
                <w:b/>
                <w:sz w:val="24"/>
                <w:szCs w:val="20"/>
                <w:lang w:val="en-GB" w:eastAsia="fr-BE"/>
              </w:rPr>
              <w:t>Delivery Date</w:t>
            </w:r>
          </w:p>
        </w:tc>
        <w:tc>
          <w:tcPr>
            <w:tcW w:w="3686" w:type="dxa"/>
          </w:tcPr>
          <w:p w14:paraId="684DFD1F" w14:textId="77777777" w:rsidR="00954C83" w:rsidRDefault="00954C83" w:rsidP="00954C83">
            <w:pPr>
              <w:jc w:val="center"/>
              <w:rPr>
                <w:rFonts w:ascii="Times New Roman" w:hAnsi="Times New Roman"/>
                <w:b/>
                <w:sz w:val="24"/>
                <w:szCs w:val="20"/>
                <w:lang w:val="en-GB" w:eastAsia="fr-BE"/>
              </w:rPr>
            </w:pPr>
            <w:r>
              <w:rPr>
                <w:rFonts w:ascii="Times New Roman" w:hAnsi="Times New Roman"/>
                <w:b/>
                <w:sz w:val="24"/>
                <w:szCs w:val="20"/>
                <w:lang w:val="en-GB" w:eastAsia="fr-BE"/>
              </w:rPr>
              <w:t>Deliverable</w:t>
            </w:r>
          </w:p>
        </w:tc>
        <w:tc>
          <w:tcPr>
            <w:tcW w:w="3613" w:type="dxa"/>
          </w:tcPr>
          <w:p w14:paraId="684DFD20" w14:textId="77777777" w:rsidR="00954C83" w:rsidRDefault="00954C83" w:rsidP="00954C83">
            <w:pPr>
              <w:jc w:val="center"/>
              <w:rPr>
                <w:rFonts w:ascii="Times New Roman" w:hAnsi="Times New Roman"/>
                <w:b/>
                <w:sz w:val="24"/>
                <w:szCs w:val="20"/>
                <w:lang w:val="en-GB" w:eastAsia="fr-BE"/>
              </w:rPr>
            </w:pPr>
            <w:r>
              <w:rPr>
                <w:rFonts w:ascii="Times New Roman" w:hAnsi="Times New Roman"/>
                <w:b/>
                <w:sz w:val="24"/>
                <w:szCs w:val="20"/>
                <w:lang w:val="en-GB" w:eastAsia="fr-BE"/>
              </w:rPr>
              <w:t>Subject</w:t>
            </w:r>
          </w:p>
        </w:tc>
      </w:tr>
      <w:tr w:rsidR="00954C83" w14:paraId="684DFD27" w14:textId="77777777" w:rsidTr="00954C83">
        <w:trPr>
          <w:jc w:val="center"/>
        </w:trPr>
        <w:tc>
          <w:tcPr>
            <w:tcW w:w="1701" w:type="dxa"/>
          </w:tcPr>
          <w:p w14:paraId="684DFD22" w14:textId="77777777" w:rsidR="00954C83" w:rsidRDefault="00954C83" w:rsidP="00954C83">
            <w:pPr>
              <w:jc w:val="center"/>
              <w:rPr>
                <w:rFonts w:ascii="Times New Roman" w:hAnsi="Times New Roman"/>
                <w:sz w:val="24"/>
                <w:szCs w:val="20"/>
                <w:lang w:val="en-GB" w:eastAsia="fr-BE"/>
              </w:rPr>
            </w:pPr>
          </w:p>
          <w:p w14:paraId="684DFD23" w14:textId="77777777" w:rsidR="00954C83" w:rsidRDefault="00954C83" w:rsidP="00954C83">
            <w:pPr>
              <w:jc w:val="center"/>
              <w:rPr>
                <w:rFonts w:ascii="Times New Roman" w:hAnsi="Times New Roman"/>
                <w:sz w:val="24"/>
                <w:szCs w:val="20"/>
                <w:lang w:val="en-GB" w:eastAsia="fr-BE"/>
              </w:rPr>
            </w:pPr>
            <w:r>
              <w:rPr>
                <w:rFonts w:ascii="Times New Roman" w:hAnsi="Times New Roman"/>
                <w:sz w:val="24"/>
                <w:szCs w:val="20"/>
                <w:lang w:val="en-GB" w:eastAsia="fr-BE"/>
              </w:rPr>
              <w:t>July 2017</w:t>
            </w:r>
            <w:r>
              <w:rPr>
                <w:rStyle w:val="FootnoteReference"/>
                <w:rFonts w:ascii="Times New Roman" w:hAnsi="Times New Roman"/>
                <w:sz w:val="24"/>
                <w:szCs w:val="20"/>
                <w:lang w:val="en-GB" w:eastAsia="fr-BE"/>
              </w:rPr>
              <w:footnoteReference w:id="11"/>
            </w:r>
          </w:p>
          <w:p w14:paraId="684DFD24" w14:textId="77777777" w:rsidR="00954C83" w:rsidRDefault="00954C83" w:rsidP="00954C83">
            <w:pPr>
              <w:jc w:val="center"/>
              <w:rPr>
                <w:rFonts w:ascii="Times New Roman" w:hAnsi="Times New Roman"/>
                <w:sz w:val="24"/>
                <w:szCs w:val="20"/>
                <w:lang w:val="en-GB" w:eastAsia="fr-BE"/>
              </w:rPr>
            </w:pPr>
          </w:p>
        </w:tc>
        <w:tc>
          <w:tcPr>
            <w:tcW w:w="3686" w:type="dxa"/>
          </w:tcPr>
          <w:p w14:paraId="684DFD25" w14:textId="77777777" w:rsidR="00954C83" w:rsidRDefault="00954C83" w:rsidP="00954C83">
            <w:pPr>
              <w:rPr>
                <w:rFonts w:ascii="Times New Roman" w:hAnsi="Times New Roman"/>
                <w:sz w:val="24"/>
                <w:szCs w:val="20"/>
                <w:lang w:val="en-GB" w:eastAsia="fr-BE"/>
              </w:rPr>
            </w:pPr>
            <w:r>
              <w:rPr>
                <w:rFonts w:ascii="Times New Roman" w:hAnsi="Times New Roman"/>
                <w:sz w:val="24"/>
                <w:szCs w:val="20"/>
                <w:lang w:val="en-GB" w:eastAsia="fr-BE"/>
              </w:rPr>
              <w:t>Draft Report from the CEPT to the Commission</w:t>
            </w:r>
          </w:p>
        </w:tc>
        <w:tc>
          <w:tcPr>
            <w:tcW w:w="3613" w:type="dxa"/>
          </w:tcPr>
          <w:p w14:paraId="684DFD26" w14:textId="77777777" w:rsidR="00954C83" w:rsidRDefault="00954C83" w:rsidP="00954C83">
            <w:pPr>
              <w:rPr>
                <w:rFonts w:ascii="Times New Roman" w:hAnsi="Times New Roman"/>
                <w:sz w:val="24"/>
                <w:szCs w:val="20"/>
                <w:lang w:val="en-GB" w:eastAsia="fr-BE"/>
              </w:rPr>
            </w:pPr>
            <w:r>
              <w:rPr>
                <w:rFonts w:ascii="Times New Roman" w:hAnsi="Times New Roman"/>
                <w:sz w:val="24"/>
                <w:szCs w:val="20"/>
                <w:lang w:val="en-GB" w:eastAsia="fr-BE"/>
              </w:rPr>
              <w:t>Description of the work undertaken and the results.</w:t>
            </w:r>
          </w:p>
        </w:tc>
      </w:tr>
      <w:tr w:rsidR="00954C83" w14:paraId="684DFD2D" w14:textId="77777777" w:rsidTr="00954C83">
        <w:trPr>
          <w:jc w:val="center"/>
        </w:trPr>
        <w:tc>
          <w:tcPr>
            <w:tcW w:w="1701" w:type="dxa"/>
          </w:tcPr>
          <w:p w14:paraId="684DFD28" w14:textId="77777777" w:rsidR="00954C83" w:rsidRDefault="00954C83" w:rsidP="00954C83">
            <w:pPr>
              <w:jc w:val="center"/>
              <w:rPr>
                <w:rFonts w:ascii="Times New Roman" w:hAnsi="Times New Roman"/>
                <w:sz w:val="24"/>
                <w:szCs w:val="20"/>
                <w:lang w:val="en-GB" w:eastAsia="fr-BE"/>
              </w:rPr>
            </w:pPr>
          </w:p>
          <w:p w14:paraId="684DFD29" w14:textId="77777777" w:rsidR="00954C83" w:rsidRDefault="00954C83" w:rsidP="00954C83">
            <w:pPr>
              <w:jc w:val="center"/>
              <w:rPr>
                <w:rFonts w:ascii="Times New Roman" w:hAnsi="Times New Roman"/>
                <w:sz w:val="24"/>
                <w:szCs w:val="20"/>
                <w:lang w:val="en-GB" w:eastAsia="fr-BE"/>
              </w:rPr>
            </w:pPr>
            <w:r>
              <w:rPr>
                <w:rFonts w:ascii="Times New Roman" w:hAnsi="Times New Roman"/>
                <w:sz w:val="24"/>
                <w:szCs w:val="20"/>
                <w:lang w:val="en-GB" w:eastAsia="fr-BE"/>
              </w:rPr>
              <w:t>November 2017</w:t>
            </w:r>
          </w:p>
          <w:p w14:paraId="684DFD2A" w14:textId="77777777" w:rsidR="00954C83" w:rsidRDefault="00954C83" w:rsidP="00954C83">
            <w:pPr>
              <w:jc w:val="center"/>
              <w:rPr>
                <w:rFonts w:ascii="Times New Roman" w:hAnsi="Times New Roman"/>
                <w:sz w:val="24"/>
                <w:szCs w:val="20"/>
                <w:lang w:val="en-GB" w:eastAsia="fr-BE"/>
              </w:rPr>
            </w:pPr>
          </w:p>
        </w:tc>
        <w:tc>
          <w:tcPr>
            <w:tcW w:w="3686" w:type="dxa"/>
          </w:tcPr>
          <w:p w14:paraId="684DFD2B" w14:textId="77777777" w:rsidR="00954C83" w:rsidRDefault="00954C83" w:rsidP="00954C83">
            <w:pPr>
              <w:rPr>
                <w:rFonts w:ascii="Times New Roman" w:hAnsi="Times New Roman"/>
                <w:sz w:val="24"/>
                <w:szCs w:val="20"/>
                <w:lang w:val="en-GB" w:eastAsia="fr-BE"/>
              </w:rPr>
            </w:pPr>
            <w:r>
              <w:rPr>
                <w:rFonts w:ascii="Times New Roman" w:hAnsi="Times New Roman"/>
                <w:sz w:val="24"/>
                <w:szCs w:val="20"/>
                <w:lang w:val="en-GB" w:eastAsia="fr-BE"/>
              </w:rPr>
              <w:t>Final Report from the CEPT to the Commission taking into account the outcome of the public consultation</w:t>
            </w:r>
          </w:p>
        </w:tc>
        <w:tc>
          <w:tcPr>
            <w:tcW w:w="3613" w:type="dxa"/>
          </w:tcPr>
          <w:p w14:paraId="684DFD2C" w14:textId="77777777" w:rsidR="00954C83" w:rsidRDefault="00954C83" w:rsidP="00954C83">
            <w:pPr>
              <w:rPr>
                <w:rFonts w:ascii="Times New Roman" w:hAnsi="Times New Roman"/>
                <w:sz w:val="24"/>
                <w:szCs w:val="20"/>
                <w:lang w:val="en-GB" w:eastAsia="fr-BE"/>
              </w:rPr>
            </w:pPr>
            <w:r>
              <w:rPr>
                <w:rFonts w:ascii="Times New Roman" w:hAnsi="Times New Roman"/>
                <w:sz w:val="24"/>
                <w:szCs w:val="20"/>
                <w:lang w:val="en-GB" w:eastAsia="fr-BE"/>
              </w:rPr>
              <w:t>Description of the work undertaken and the results.</w:t>
            </w:r>
          </w:p>
        </w:tc>
      </w:tr>
    </w:tbl>
    <w:p w14:paraId="684DFD2E" w14:textId="77777777" w:rsidR="00954C83" w:rsidRDefault="00954C83" w:rsidP="00954C83">
      <w:pPr>
        <w:rPr>
          <w:rFonts w:ascii="Times New Roman" w:hAnsi="Times New Roman"/>
          <w:sz w:val="24"/>
          <w:szCs w:val="20"/>
          <w:lang w:val="en-GB" w:eastAsia="fr-BE"/>
        </w:rPr>
      </w:pPr>
    </w:p>
    <w:p w14:paraId="684DFD2F" w14:textId="77777777" w:rsidR="00954C83" w:rsidRDefault="00954C83" w:rsidP="00954C83">
      <w:pPr>
        <w:spacing w:after="240"/>
        <w:jc w:val="both"/>
        <w:rPr>
          <w:rFonts w:ascii="Times New Roman" w:hAnsi="Times New Roman"/>
          <w:sz w:val="24"/>
          <w:szCs w:val="20"/>
          <w:lang w:val="en-GB" w:eastAsia="fr-BE"/>
        </w:rPr>
      </w:pPr>
      <w:r>
        <w:rPr>
          <w:rFonts w:ascii="Times New Roman" w:hAnsi="Times New Roman"/>
          <w:sz w:val="24"/>
          <w:szCs w:val="20"/>
          <w:lang w:val="en-GB" w:eastAsia="fr-BE"/>
        </w:rPr>
        <w:t xml:space="preserve">CEPT is requested to report on the progress of its work pursuant to this Mandate to all meetings of the Radio Spectrum Committee taking place during the course of the Mandate. </w:t>
      </w:r>
    </w:p>
    <w:p w14:paraId="684DFD30" w14:textId="77777777" w:rsidR="00954C83" w:rsidRDefault="00954C83" w:rsidP="00954C83">
      <w:pPr>
        <w:spacing w:after="240"/>
        <w:jc w:val="both"/>
        <w:rPr>
          <w:rFonts w:ascii="Times New Roman" w:hAnsi="Times New Roman"/>
          <w:sz w:val="24"/>
          <w:szCs w:val="20"/>
          <w:lang w:val="en-GB" w:eastAsia="fr-BE"/>
        </w:rPr>
      </w:pPr>
      <w:r>
        <w:rPr>
          <w:rFonts w:ascii="Times New Roman" w:hAnsi="Times New Roman"/>
          <w:sz w:val="24"/>
          <w:szCs w:val="20"/>
          <w:lang w:val="en-GB" w:eastAsia="fr-BE"/>
        </w:rPr>
        <w:t>The Commission, with the assistance of the Radio Spectrum Committee and pursuant to the Radio Spectrum Decision, may consider applying the results of this mandate in the EU, pursuant to Article 4 of the Radio Spectrum Decision and subject to the results of the spectrum inventory and relevant guidance of the RSPG.</w:t>
      </w:r>
    </w:p>
    <w:p w14:paraId="684DFD31" w14:textId="77777777" w:rsidR="00954C83" w:rsidRDefault="00954C83" w:rsidP="00954C83">
      <w:pPr>
        <w:pStyle w:val="ECCParagraph"/>
      </w:pPr>
    </w:p>
    <w:p w14:paraId="684DFD32" w14:textId="77777777" w:rsidR="00954C83" w:rsidRDefault="00954C83" w:rsidP="00954C83">
      <w:pPr>
        <w:pStyle w:val="ECCAnnexheading1"/>
        <w:jc w:val="left"/>
      </w:pPr>
      <w:bookmarkStart w:id="78" w:name="_Toc492574952"/>
      <w:bookmarkStart w:id="79" w:name="_Toc498934673"/>
      <w:bookmarkStart w:id="80" w:name="_Ref478053491"/>
      <w:r>
        <w:lastRenderedPageBreak/>
        <w:t>LEAST RESTRICTIVE TECHNICAL CONDITIONS FOR TERRESTRIAL WIRELESS BROADBAND ELECTRONIC COMMUNICATIONS SERVICES IN 1427-1452 AND 1492-1518 MHZ</w:t>
      </w:r>
      <w:bookmarkEnd w:id="78"/>
      <w:bookmarkEnd w:id="79"/>
    </w:p>
    <w:bookmarkEnd w:id="80"/>
    <w:p w14:paraId="684DFD33" w14:textId="77777777" w:rsidR="00954C83" w:rsidRDefault="00954C83" w:rsidP="00954C83">
      <w:pPr>
        <w:pStyle w:val="ECCParagraph"/>
      </w:pPr>
      <w:r>
        <w:t xml:space="preserve">The least restrictive technical conditions (LRTC) are in the form of a block-edge mask (BEM) and out-of-block emission limits. LRTC are related to the avoidance of interference between users of spectrum. The LRTC in the 1427-1452 and 1492-1518 MHz bands are optimised for, but are not limited to DL WBB ECS. </w:t>
      </w:r>
    </w:p>
    <w:p w14:paraId="684DFD34" w14:textId="77777777" w:rsidR="00954C83" w:rsidRDefault="00954C83" w:rsidP="00954C83">
      <w:pPr>
        <w:pStyle w:val="ECCParagraph"/>
      </w:pPr>
      <w:r>
        <w:t>A BEM is an emission mask that is defined, as a function of frequency, relative to the block edge of spectrum. BEMs are emission restrictions without implication on the levels of the emission restriction applicable to the spurious domain. The term block edge refers to the frequency boundary of spectrum licensed to a mobile/fixed communication network.</w:t>
      </w:r>
    </w:p>
    <w:p w14:paraId="684DFD35" w14:textId="77777777" w:rsidR="00954C83" w:rsidRDefault="00954C83" w:rsidP="00954C83">
      <w:pPr>
        <w:pStyle w:val="ECCParagraph"/>
      </w:pPr>
      <w:r>
        <w:t>The BEM has been derived to allow coexistence between DL WBB ECS systems in the 1427-1452 and 1492-1518 MHz bands.</w:t>
      </w:r>
    </w:p>
    <w:p w14:paraId="684DFD36" w14:textId="77777777" w:rsidR="00954C83" w:rsidRDefault="00954C83" w:rsidP="00954C83">
      <w:pPr>
        <w:pStyle w:val="ECCParagraph"/>
      </w:pPr>
      <w:r>
        <w:t>In addition, out-of-block emission limits for DL WBB ECS have been defined to address compatibility between DL WBB ECS in the 1427-1452 and 1492-1518 MHz bands and other applications in adjacent bands but in the same geographical area.</w:t>
      </w:r>
    </w:p>
    <w:p w14:paraId="684DFD37" w14:textId="77777777" w:rsidR="00954C83" w:rsidRDefault="00954C83" w:rsidP="00954C83">
      <w:pPr>
        <w:pStyle w:val="ECCParagraph"/>
      </w:pPr>
      <w:r>
        <w:t>Operators of WBB ECS in the 1427-1452 and 1492-1518 MHz bands may agree, on a bilateral or multilateral basis, different technical parameters providing that they continue to comply with the technical conditions applicable for the protection of other services, applications or networks and with their cross-border obligations. Administrations should ensure that these technical parameters can be used, if agreed among all affected parties.</w:t>
      </w:r>
    </w:p>
    <w:p w14:paraId="684DFD38" w14:textId="77777777" w:rsidR="00954C83" w:rsidRDefault="00954C83" w:rsidP="00954C83">
      <w:pPr>
        <w:pStyle w:val="ECCAnnexheading2"/>
        <w:jc w:val="both"/>
        <w:rPr>
          <w:lang w:val="en-GB"/>
        </w:rPr>
      </w:pPr>
      <w:r>
        <w:rPr>
          <w:lang w:val="en-GB"/>
        </w:rPr>
        <w:t>Technical conditions for base stations</w:t>
      </w:r>
    </w:p>
    <w:p w14:paraId="684DFD39" w14:textId="77777777" w:rsidR="00954C83" w:rsidRDefault="00954C83" w:rsidP="00954C83">
      <w:pPr>
        <w:pStyle w:val="ECCParagraph"/>
      </w:pPr>
      <w:r>
        <w:t>Administrations should take into account the following aspects:</w:t>
      </w:r>
    </w:p>
    <w:p w14:paraId="684DFD3A" w14:textId="77777777" w:rsidR="00954C83" w:rsidRDefault="00954C83" w:rsidP="00954C83">
      <w:pPr>
        <w:pStyle w:val="ECCParagraph"/>
      </w:pPr>
      <w:r>
        <w:t xml:space="preserve">It is not desirable to restrict the in-band e.i.r.p. for base stations operating in 1427-1452 MHz and </w:t>
      </w:r>
      <w:r>
        <w:br/>
        <w:t>1492-1512 MHz, as the band could be aggregated with FDD coverage bands in lower frequencies and thus higher in-band e.i.r.p. for a base station allows benefiting of the SDL capacity across the base station cell.</w:t>
      </w:r>
    </w:p>
    <w:p w14:paraId="684DFD3B" w14:textId="77777777" w:rsidR="00954C83" w:rsidRDefault="00954C83" w:rsidP="00954C83">
      <w:pPr>
        <w:pStyle w:val="ECCParagraph"/>
      </w:pPr>
      <w:r>
        <w:t>Based on deployment requirements and on compatibility studies with other services operating in adjacent bands, or with legacy services operating in the band, an administration could at national level:</w:t>
      </w:r>
    </w:p>
    <w:p w14:paraId="684DFD3C" w14:textId="77777777" w:rsidR="00954C83" w:rsidRDefault="00954C83" w:rsidP="00954C83">
      <w:pPr>
        <w:pStyle w:val="ECCBulletsLv1"/>
      </w:pPr>
      <w:proofErr w:type="gramStart"/>
      <w:r>
        <w:t>restrict</w:t>
      </w:r>
      <w:proofErr w:type="gramEnd"/>
      <w:r>
        <w:t xml:space="preserve"> base stations in-band e.i.r.p. in the band 1427-1452 and 1492-1512 MHz. Such limit may range up to 68 dBm. Higher e.i.r.p. may be considered in specific circumstances; </w:t>
      </w:r>
    </w:p>
    <w:p w14:paraId="684DFD3D" w14:textId="77777777" w:rsidR="00954C83" w:rsidRDefault="00954C83" w:rsidP="00954C83">
      <w:pPr>
        <w:pStyle w:val="ECCBulletsLv1"/>
        <w:numPr>
          <w:ilvl w:val="0"/>
          <w:numId w:val="0"/>
        </w:numPr>
        <w:ind w:left="340"/>
      </w:pPr>
      <w:r>
        <w:t xml:space="preserve">and/or </w:t>
      </w:r>
    </w:p>
    <w:p w14:paraId="684DFD3E" w14:textId="77777777" w:rsidR="00954C83" w:rsidRDefault="00954C83" w:rsidP="00954C83">
      <w:pPr>
        <w:pStyle w:val="ECCBulletsLv1"/>
      </w:pPr>
      <w:proofErr w:type="gramStart"/>
      <w:r>
        <w:t>according</w:t>
      </w:r>
      <w:proofErr w:type="gramEnd"/>
      <w:r>
        <w:t xml:space="preserve"> to the service considered: handle coordination of stations.</w:t>
      </w:r>
    </w:p>
    <w:p w14:paraId="684DFD3F" w14:textId="77777777" w:rsidR="00954C83" w:rsidRDefault="00954C83" w:rsidP="00954C83">
      <w:pPr>
        <w:pStyle w:val="ECCParagraph"/>
      </w:pPr>
      <w:r>
        <w:t xml:space="preserve">It should be noted that it is not expected that base station operating in the block 1427-1432 MHz can transmit a large power while respecting the emission limits detailed in Table 10 below. On the contrary, it is expected that only lower power base stations can be deployed in the block 1427-1432 MHz. It is not appropriate to introduce regulatory emission limits for these </w:t>
      </w:r>
      <w:proofErr w:type="gramStart"/>
      <w:r>
        <w:t>bands,</w:t>
      </w:r>
      <w:proofErr w:type="gramEnd"/>
      <w:r>
        <w:t xml:space="preserve"> as such limits are only related to current state-of-the-art of the technology and specific deployment models.</w:t>
      </w:r>
    </w:p>
    <w:p w14:paraId="684DFD40" w14:textId="77777777" w:rsidR="00954C83" w:rsidRDefault="00954C83" w:rsidP="00954C83">
      <w:pPr>
        <w:pStyle w:val="ECCParagraph"/>
      </w:pPr>
      <w:r>
        <w:t xml:space="preserve">Compatibility requirements identified in ECC Report 263 </w:t>
      </w:r>
      <w:r>
        <w:fldChar w:fldCharType="begin"/>
      </w:r>
      <w:r>
        <w:instrText xml:space="preserve"> REF _Ref481764288 \r \h </w:instrText>
      </w:r>
      <w:r>
        <w:fldChar w:fldCharType="separate"/>
      </w:r>
      <w:r w:rsidR="00B616E1">
        <w:t>[5]</w:t>
      </w:r>
      <w:r>
        <w:fldChar w:fldCharType="end"/>
      </w:r>
      <w:r>
        <w:t xml:space="preserve"> and ECC Report 269 </w:t>
      </w:r>
      <w:r>
        <w:fldChar w:fldCharType="begin"/>
      </w:r>
      <w:r>
        <w:instrText xml:space="preserve"> REF _Ref492575184 \r \h </w:instrText>
      </w:r>
      <w:r>
        <w:fldChar w:fldCharType="separate"/>
      </w:r>
      <w:r w:rsidR="00B616E1">
        <w:t>[6]</w:t>
      </w:r>
      <w:r>
        <w:fldChar w:fldCharType="end"/>
      </w:r>
      <w:r>
        <w:t xml:space="preserve"> require restricting the in-band e.i.r.p. for base stations operating in 1512-1517 MHz to 58 dBm in band e.i.r.p.</w:t>
      </w:r>
    </w:p>
    <w:p w14:paraId="684DFD41" w14:textId="213B0A42" w:rsidR="00954C83" w:rsidRDefault="00954C83" w:rsidP="00954C83">
      <w:pPr>
        <w:pStyle w:val="ECCParagraph"/>
      </w:pPr>
      <w:r>
        <w:fldChar w:fldCharType="begin"/>
      </w:r>
      <w:r>
        <w:instrText xml:space="preserve"> REF _Ref480830506 \h </w:instrText>
      </w:r>
      <w:r>
        <w:fldChar w:fldCharType="separate"/>
      </w:r>
      <w:r w:rsidR="00B616E1">
        <w:t xml:space="preserve">Table </w:t>
      </w:r>
      <w:r w:rsidR="00B616E1">
        <w:rPr>
          <w:noProof/>
        </w:rPr>
        <w:t>9</w:t>
      </w:r>
      <w:r>
        <w:fldChar w:fldCharType="end"/>
      </w:r>
      <w:r>
        <w:t xml:space="preserve">, </w:t>
      </w:r>
      <w:r>
        <w:fldChar w:fldCharType="begin"/>
      </w:r>
      <w:r>
        <w:instrText xml:space="preserve"> REF _Ref482008783 \h </w:instrText>
      </w:r>
      <w:r>
        <w:fldChar w:fldCharType="separate"/>
      </w:r>
      <w:r w:rsidR="00B616E1">
        <w:t xml:space="preserve">Table </w:t>
      </w:r>
      <w:r w:rsidR="00B616E1">
        <w:rPr>
          <w:noProof/>
        </w:rPr>
        <w:t>10</w:t>
      </w:r>
      <w:r>
        <w:fldChar w:fldCharType="end"/>
      </w:r>
      <w:r>
        <w:t xml:space="preserve">, </w:t>
      </w:r>
      <w:r>
        <w:fldChar w:fldCharType="begin"/>
      </w:r>
      <w:r>
        <w:instrText xml:space="preserve"> REF _Ref482008790 \h </w:instrText>
      </w:r>
      <w:r>
        <w:fldChar w:fldCharType="separate"/>
      </w:r>
      <w:r w:rsidR="00B616E1">
        <w:t xml:space="preserve">Table </w:t>
      </w:r>
      <w:r w:rsidR="00B616E1">
        <w:rPr>
          <w:noProof/>
        </w:rPr>
        <w:t>11</w:t>
      </w:r>
      <w:r>
        <w:fldChar w:fldCharType="end"/>
      </w:r>
      <w:r>
        <w:t xml:space="preserve"> and </w:t>
      </w:r>
      <w:r>
        <w:fldChar w:fldCharType="begin"/>
      </w:r>
      <w:r>
        <w:instrText xml:space="preserve"> REF _Ref482008797 \h </w:instrText>
      </w:r>
      <w:r>
        <w:fldChar w:fldCharType="separate"/>
      </w:r>
      <w:r w:rsidR="00B616E1">
        <w:t xml:space="preserve">Table </w:t>
      </w:r>
      <w:r w:rsidR="00B616E1">
        <w:rPr>
          <w:noProof/>
        </w:rPr>
        <w:t>12</w:t>
      </w:r>
      <w:r>
        <w:fldChar w:fldCharType="end"/>
      </w:r>
      <w:r>
        <w:t xml:space="preserve">, below define, respectively, the maximum in block e.i.r.p. </w:t>
      </w:r>
      <w:r w:rsidR="0085431E">
        <w:t xml:space="preserve">per cell </w:t>
      </w:r>
      <w:r>
        <w:t>for BS operating in 1512-1517 MHz, the base station BEM out-of-block e.i.r.p. limits</w:t>
      </w:r>
      <w:r w:rsidR="00F45A55">
        <w:t xml:space="preserve"> per antenna</w:t>
      </w:r>
      <w:r>
        <w:t xml:space="preserve"> for emissions within the band 1427-1517 MHz, the base station maximum unwanted emission power in the band 1400-1427 MHz for base stations operating in 1427-1452 MHz and the base station out-of-block emission limits</w:t>
      </w:r>
      <w:r w:rsidR="00F45A55">
        <w:t xml:space="preserve"> per cell</w:t>
      </w:r>
      <w:r>
        <w:t xml:space="preserve"> above </w:t>
      </w:r>
      <w:r>
        <w:rPr>
          <w:rFonts w:eastAsia="Calibri"/>
        </w:rPr>
        <w:t>1518</w:t>
      </w:r>
      <w:r>
        <w:t xml:space="preserve"> MHz for base stations operating in 1492-1517 MHz.</w:t>
      </w:r>
      <w:r w:rsidR="006873CB">
        <w:t xml:space="preserve"> </w:t>
      </w:r>
      <w:r w:rsidR="006873CB" w:rsidRPr="00C41DBC">
        <w:t>In a multi sector site “cell” refers to one of the sectors</w:t>
      </w:r>
      <w:r w:rsidR="006873CB">
        <w:t>.</w:t>
      </w:r>
    </w:p>
    <w:p w14:paraId="684DFD42" w14:textId="5AECDB32" w:rsidR="00954C83" w:rsidRDefault="00954C83" w:rsidP="00954C83">
      <w:pPr>
        <w:pStyle w:val="Caption"/>
        <w:keepNext/>
        <w:rPr>
          <w:lang w:val="en-GB"/>
        </w:rPr>
      </w:pPr>
      <w:bookmarkStart w:id="81" w:name="_Ref480830506"/>
      <w:r>
        <w:rPr>
          <w:lang w:val="en-GB"/>
        </w:rPr>
        <w:lastRenderedPageBreak/>
        <w:t xml:space="preserve">Table </w:t>
      </w:r>
      <w:r>
        <w:rPr>
          <w:lang w:val="en-GB"/>
        </w:rPr>
        <w:fldChar w:fldCharType="begin"/>
      </w:r>
      <w:r>
        <w:rPr>
          <w:lang w:val="en-GB"/>
        </w:rPr>
        <w:instrText xml:space="preserve"> SEQ Table \* ARABIC </w:instrText>
      </w:r>
      <w:r>
        <w:rPr>
          <w:lang w:val="en-GB"/>
        </w:rPr>
        <w:fldChar w:fldCharType="separate"/>
      </w:r>
      <w:r w:rsidR="00B616E1">
        <w:rPr>
          <w:noProof/>
          <w:lang w:val="en-GB"/>
        </w:rPr>
        <w:t>9</w:t>
      </w:r>
      <w:r>
        <w:rPr>
          <w:lang w:val="en-GB"/>
        </w:rPr>
        <w:fldChar w:fldCharType="end"/>
      </w:r>
      <w:bookmarkEnd w:id="81"/>
      <w:r>
        <w:rPr>
          <w:lang w:val="en-GB"/>
        </w:rPr>
        <w:t xml:space="preserve">: </w:t>
      </w:r>
      <w:bookmarkStart w:id="82" w:name="_Ref480830665"/>
      <w:r>
        <w:rPr>
          <w:lang w:val="en-GB"/>
        </w:rPr>
        <w:t>Maximum in block e.i.r.p.</w:t>
      </w:r>
      <w:r w:rsidR="003A1D2E">
        <w:rPr>
          <w:lang w:val="en-GB"/>
        </w:rPr>
        <w:t xml:space="preserve"> per </w:t>
      </w:r>
      <w:proofErr w:type="gramStart"/>
      <w:r w:rsidR="003A1D2E">
        <w:rPr>
          <w:lang w:val="en-GB"/>
        </w:rPr>
        <w:t>cell</w:t>
      </w:r>
      <w:r w:rsidR="008036C8" w:rsidRPr="00C41DBC">
        <w:rPr>
          <w:vertAlign w:val="superscript"/>
          <w:lang w:val="en-GB"/>
        </w:rPr>
        <w:t>(</w:t>
      </w:r>
      <w:proofErr w:type="gramEnd"/>
      <w:r w:rsidR="008036C8" w:rsidRPr="00C41DBC">
        <w:rPr>
          <w:vertAlign w:val="superscript"/>
          <w:lang w:val="en-GB"/>
        </w:rPr>
        <w:t>1)</w:t>
      </w:r>
      <w:r>
        <w:rPr>
          <w:lang w:val="en-GB"/>
        </w:rPr>
        <w:t xml:space="preserve"> for BS operating in 1512-1517 MHz </w:t>
      </w:r>
      <w:bookmarkEnd w:id="82"/>
    </w:p>
    <w:tbl>
      <w:tblPr>
        <w:tblStyle w:val="ECCTable-redheader"/>
        <w:tblW w:w="4945" w:type="pct"/>
        <w:tblLook w:val="04A0" w:firstRow="1" w:lastRow="0" w:firstColumn="1" w:lastColumn="0" w:noHBand="0" w:noVBand="1"/>
      </w:tblPr>
      <w:tblGrid>
        <w:gridCol w:w="4112"/>
        <w:gridCol w:w="2834"/>
        <w:gridCol w:w="2801"/>
      </w:tblGrid>
      <w:tr w:rsidR="00954C83" w14:paraId="684DFD46" w14:textId="77777777" w:rsidTr="00954C83">
        <w:trPr>
          <w:cnfStyle w:val="100000000000" w:firstRow="1" w:lastRow="0" w:firstColumn="0" w:lastColumn="0" w:oddVBand="0" w:evenVBand="0" w:oddHBand="0" w:evenHBand="0" w:firstRowFirstColumn="0" w:firstRowLastColumn="0" w:lastRowFirstColumn="0" w:lastRowLastColumn="0"/>
        </w:trPr>
        <w:tc>
          <w:tcPr>
            <w:tcW w:w="2109" w:type="pct"/>
          </w:tcPr>
          <w:p w14:paraId="684DFD43" w14:textId="77777777" w:rsidR="00954C83" w:rsidRDefault="00954C83" w:rsidP="00954C83">
            <w:pPr>
              <w:pStyle w:val="ECCTableHeaderwhitefont"/>
              <w:keepNext/>
              <w:spacing w:before="0" w:after="0" w:line="288" w:lineRule="auto"/>
              <w:rPr>
                <w:lang w:val="en-GB"/>
              </w:rPr>
            </w:pPr>
            <w:r>
              <w:rPr>
                <w:lang w:val="en-GB"/>
              </w:rPr>
              <w:t>WBB ECS block</w:t>
            </w:r>
          </w:p>
        </w:tc>
        <w:tc>
          <w:tcPr>
            <w:tcW w:w="1454" w:type="pct"/>
          </w:tcPr>
          <w:p w14:paraId="684DFD44" w14:textId="77777777" w:rsidR="00954C83" w:rsidRPr="00AD6918" w:rsidRDefault="00954C83" w:rsidP="00954C83">
            <w:pPr>
              <w:pStyle w:val="ECCTableHeaderwhitefont"/>
              <w:keepNext/>
              <w:spacing w:before="0" w:after="0" w:line="288" w:lineRule="auto"/>
              <w:rPr>
                <w:lang w:val="en-GB"/>
              </w:rPr>
            </w:pPr>
            <w:r w:rsidRPr="00A8637F">
              <w:t>Maximum in block e.i.r.p.</w:t>
            </w:r>
          </w:p>
        </w:tc>
        <w:tc>
          <w:tcPr>
            <w:tcW w:w="1437" w:type="pct"/>
          </w:tcPr>
          <w:p w14:paraId="684DFD45" w14:textId="77777777" w:rsidR="00954C83" w:rsidRDefault="00954C83" w:rsidP="00954C83">
            <w:pPr>
              <w:pStyle w:val="ECCTableHeaderwhitefont"/>
              <w:keepNext/>
              <w:spacing w:before="0" w:after="0" w:line="288" w:lineRule="auto"/>
              <w:rPr>
                <w:lang w:val="en-GB"/>
              </w:rPr>
            </w:pPr>
            <w:r>
              <w:rPr>
                <w:lang w:val="en-GB"/>
              </w:rPr>
              <w:t>Measurement bandwidth</w:t>
            </w:r>
          </w:p>
        </w:tc>
      </w:tr>
      <w:tr w:rsidR="00954C83" w14:paraId="684DFD4A" w14:textId="77777777" w:rsidTr="00954C83">
        <w:trPr>
          <w:trHeight w:val="265"/>
        </w:trPr>
        <w:tc>
          <w:tcPr>
            <w:tcW w:w="2109" w:type="pct"/>
          </w:tcPr>
          <w:p w14:paraId="684DFD47" w14:textId="77777777" w:rsidR="00954C83" w:rsidRDefault="00954C83" w:rsidP="00954C83">
            <w:pPr>
              <w:pStyle w:val="ECCTabletext"/>
              <w:keepNext/>
            </w:pPr>
            <w:r>
              <w:t>1512-1517 MHz</w:t>
            </w:r>
          </w:p>
        </w:tc>
        <w:tc>
          <w:tcPr>
            <w:tcW w:w="1454" w:type="pct"/>
          </w:tcPr>
          <w:p w14:paraId="684DFD48" w14:textId="77777777" w:rsidR="00954C83" w:rsidRDefault="00954C83" w:rsidP="00954C83">
            <w:pPr>
              <w:pStyle w:val="ECCTabletext"/>
              <w:keepNext/>
            </w:pPr>
            <w:r>
              <w:t>58 dBm</w:t>
            </w:r>
          </w:p>
        </w:tc>
        <w:tc>
          <w:tcPr>
            <w:tcW w:w="1437" w:type="pct"/>
          </w:tcPr>
          <w:p w14:paraId="684DFD49" w14:textId="77777777" w:rsidR="00954C83" w:rsidRDefault="00954C83" w:rsidP="00954C83">
            <w:pPr>
              <w:pStyle w:val="ECCTabletext"/>
              <w:keepNext/>
            </w:pPr>
            <w:r>
              <w:t>5 MHz</w:t>
            </w:r>
          </w:p>
        </w:tc>
      </w:tr>
      <w:tr w:rsidR="008036C8" w14:paraId="1AA885AC" w14:textId="77777777" w:rsidTr="008036C8">
        <w:trPr>
          <w:trHeight w:val="265"/>
        </w:trPr>
        <w:tc>
          <w:tcPr>
            <w:tcW w:w="5000" w:type="pct"/>
            <w:gridSpan w:val="3"/>
          </w:tcPr>
          <w:p w14:paraId="3EDC0B41" w14:textId="50C3DFEE" w:rsidR="008036C8" w:rsidRDefault="008036C8" w:rsidP="00954C83">
            <w:pPr>
              <w:pStyle w:val="ECCTabletext"/>
              <w:keepNext/>
            </w:pPr>
            <w:r w:rsidRPr="00C41DBC">
              <w:rPr>
                <w:vertAlign w:val="superscript"/>
              </w:rPr>
              <w:t>(1)</w:t>
            </w:r>
            <w:r w:rsidRPr="00C41DBC">
              <w:t xml:space="preserve"> In a multi-sector site, the value per ‘cell’ corresponds to the value for one of the sectors.</w:t>
            </w:r>
          </w:p>
        </w:tc>
      </w:tr>
    </w:tbl>
    <w:p w14:paraId="684DFD4B" w14:textId="77777777" w:rsidR="00954C83" w:rsidRDefault="00954C83" w:rsidP="00954C83">
      <w:pPr>
        <w:pStyle w:val="Caption"/>
        <w:rPr>
          <w:lang w:val="en-GB"/>
        </w:rPr>
      </w:pPr>
      <w:bookmarkStart w:id="83" w:name="_Ref480830094"/>
      <w:bookmarkStart w:id="84" w:name="_Ref480830086"/>
    </w:p>
    <w:p w14:paraId="684DFD4C" w14:textId="4BA1E761" w:rsidR="00954C83" w:rsidRDefault="00954C83" w:rsidP="00954C83">
      <w:pPr>
        <w:pStyle w:val="Caption"/>
        <w:rPr>
          <w:lang w:val="en-GB"/>
        </w:rPr>
      </w:pPr>
      <w:bookmarkStart w:id="85" w:name="_Ref482008783"/>
      <w:r>
        <w:rPr>
          <w:lang w:val="en-GB"/>
        </w:rPr>
        <w:t xml:space="preserve">Table </w:t>
      </w:r>
      <w:r>
        <w:rPr>
          <w:lang w:val="en-GB"/>
        </w:rPr>
        <w:fldChar w:fldCharType="begin"/>
      </w:r>
      <w:r>
        <w:rPr>
          <w:lang w:val="en-GB"/>
        </w:rPr>
        <w:instrText xml:space="preserve"> SEQ Table \* ARABIC </w:instrText>
      </w:r>
      <w:r>
        <w:rPr>
          <w:lang w:val="en-GB"/>
        </w:rPr>
        <w:fldChar w:fldCharType="separate"/>
      </w:r>
      <w:r w:rsidR="00B616E1">
        <w:rPr>
          <w:noProof/>
          <w:lang w:val="en-GB"/>
        </w:rPr>
        <w:t>10</w:t>
      </w:r>
      <w:r>
        <w:rPr>
          <w:lang w:val="en-GB"/>
        </w:rPr>
        <w:fldChar w:fldCharType="end"/>
      </w:r>
      <w:bookmarkEnd w:id="83"/>
      <w:bookmarkEnd w:id="85"/>
      <w:r>
        <w:rPr>
          <w:lang w:val="en-GB"/>
        </w:rPr>
        <w:t xml:space="preserve">: </w:t>
      </w:r>
      <w:bookmarkStart w:id="86" w:name="_Ref480830672"/>
      <w:r>
        <w:rPr>
          <w:lang w:val="en-GB"/>
        </w:rPr>
        <w:t xml:space="preserve">Base station BEM out-of-block e.i.r.p. limits </w:t>
      </w:r>
      <w:r w:rsidR="003A1D2E">
        <w:rPr>
          <w:lang w:val="en-GB"/>
        </w:rPr>
        <w:t xml:space="preserve">per antenna </w:t>
      </w:r>
      <w:r>
        <w:rPr>
          <w:lang w:val="en-GB"/>
        </w:rPr>
        <w:t xml:space="preserve">for emissions within the band 1427-1517 MHz </w:t>
      </w:r>
      <w:bookmarkEnd w:id="84"/>
      <w:bookmarkEnd w:id="86"/>
    </w:p>
    <w:tbl>
      <w:tblPr>
        <w:tblStyle w:val="ECCTable-redheader"/>
        <w:tblW w:w="0" w:type="auto"/>
        <w:tblLook w:val="01E0" w:firstRow="1" w:lastRow="1" w:firstColumn="1" w:lastColumn="1" w:noHBand="0" w:noVBand="0"/>
      </w:tblPr>
      <w:tblGrid>
        <w:gridCol w:w="4086"/>
        <w:gridCol w:w="2880"/>
        <w:gridCol w:w="2727"/>
      </w:tblGrid>
      <w:tr w:rsidR="00954C83" w14:paraId="684DFD50" w14:textId="77777777" w:rsidTr="00954C83">
        <w:trPr>
          <w:cnfStyle w:val="100000000000" w:firstRow="1" w:lastRow="0" w:firstColumn="0" w:lastColumn="0" w:oddVBand="0" w:evenVBand="0" w:oddHBand="0" w:evenHBand="0" w:firstRowFirstColumn="0" w:firstRowLastColumn="0" w:lastRowFirstColumn="0" w:lastRowLastColumn="0"/>
        </w:trPr>
        <w:tc>
          <w:tcPr>
            <w:tcW w:w="4086" w:type="dxa"/>
          </w:tcPr>
          <w:p w14:paraId="684DFD4D" w14:textId="77777777" w:rsidR="00954C83" w:rsidRDefault="00954C83" w:rsidP="00954C83">
            <w:pPr>
              <w:pStyle w:val="ECCTableHeaderwhitefont"/>
              <w:spacing w:before="0" w:after="0" w:line="288" w:lineRule="auto"/>
              <w:rPr>
                <w:lang w:val="en-GB"/>
              </w:rPr>
            </w:pPr>
            <w:r>
              <w:rPr>
                <w:lang w:val="en-GB"/>
              </w:rPr>
              <w:t xml:space="preserve">Frequency range of </w:t>
            </w:r>
            <w:r>
              <w:rPr>
                <w:lang w:val="en-GB"/>
              </w:rPr>
              <w:br/>
              <w:t>out-of-block emissions</w:t>
            </w:r>
          </w:p>
        </w:tc>
        <w:tc>
          <w:tcPr>
            <w:tcW w:w="2880" w:type="dxa"/>
          </w:tcPr>
          <w:p w14:paraId="684DFD4E" w14:textId="77777777" w:rsidR="00954C83" w:rsidRDefault="00954C83" w:rsidP="00954C83">
            <w:pPr>
              <w:pStyle w:val="ECCTableHeaderwhitefont"/>
              <w:spacing w:before="0" w:after="0" w:line="288" w:lineRule="auto"/>
              <w:rPr>
                <w:lang w:val="en-GB"/>
              </w:rPr>
            </w:pPr>
            <w:r>
              <w:rPr>
                <w:lang w:val="en-GB"/>
              </w:rPr>
              <w:t xml:space="preserve">Maximum mean </w:t>
            </w:r>
            <w:r>
              <w:rPr>
                <w:lang w:val="en-GB"/>
              </w:rPr>
              <w:br/>
              <w:t>out-of-block e.i.r.p.</w:t>
            </w:r>
          </w:p>
        </w:tc>
        <w:tc>
          <w:tcPr>
            <w:tcW w:w="2727" w:type="dxa"/>
          </w:tcPr>
          <w:p w14:paraId="684DFD4F" w14:textId="77777777" w:rsidR="00954C83" w:rsidRDefault="00954C83" w:rsidP="00954C83">
            <w:pPr>
              <w:pStyle w:val="ECCTableHeaderwhitefont"/>
              <w:spacing w:before="0" w:after="0" w:line="288" w:lineRule="auto"/>
              <w:rPr>
                <w:lang w:val="en-GB"/>
              </w:rPr>
            </w:pPr>
            <w:r>
              <w:rPr>
                <w:lang w:val="en-GB"/>
              </w:rPr>
              <w:t xml:space="preserve">Measurement </w:t>
            </w:r>
            <w:r>
              <w:rPr>
                <w:lang w:val="en-GB"/>
              </w:rPr>
              <w:br/>
              <w:t>Bandwidth</w:t>
            </w:r>
          </w:p>
        </w:tc>
      </w:tr>
      <w:tr w:rsidR="00954C83" w14:paraId="684DFD54" w14:textId="77777777" w:rsidTr="00954C83">
        <w:tc>
          <w:tcPr>
            <w:tcW w:w="4086" w:type="dxa"/>
          </w:tcPr>
          <w:p w14:paraId="684DFD51" w14:textId="77777777" w:rsidR="00954C83" w:rsidRDefault="00954C83" w:rsidP="00954C83">
            <w:pPr>
              <w:rPr>
                <w:lang w:val="en-GB"/>
              </w:rPr>
            </w:pPr>
            <w:r>
              <w:rPr>
                <w:lang w:val="en-GB"/>
              </w:rPr>
              <w:t>–10 to –5 MHz from lower block edge</w:t>
            </w:r>
          </w:p>
        </w:tc>
        <w:tc>
          <w:tcPr>
            <w:tcW w:w="2880" w:type="dxa"/>
          </w:tcPr>
          <w:p w14:paraId="684DFD52" w14:textId="77777777" w:rsidR="00954C83" w:rsidRDefault="00954C83" w:rsidP="00954C83">
            <w:pPr>
              <w:rPr>
                <w:lang w:val="en-GB"/>
              </w:rPr>
            </w:pPr>
            <w:r>
              <w:rPr>
                <w:lang w:val="en-GB"/>
              </w:rPr>
              <w:t xml:space="preserve">11 dBm </w:t>
            </w:r>
          </w:p>
        </w:tc>
        <w:tc>
          <w:tcPr>
            <w:tcW w:w="2727" w:type="dxa"/>
          </w:tcPr>
          <w:p w14:paraId="684DFD53" w14:textId="77777777" w:rsidR="00954C83" w:rsidRDefault="00954C83" w:rsidP="00954C83">
            <w:pPr>
              <w:rPr>
                <w:lang w:val="en-GB"/>
              </w:rPr>
            </w:pPr>
            <w:r>
              <w:rPr>
                <w:lang w:val="en-GB"/>
              </w:rPr>
              <w:t>5 MHz</w:t>
            </w:r>
          </w:p>
        </w:tc>
      </w:tr>
      <w:tr w:rsidR="00954C83" w14:paraId="684DFD58" w14:textId="77777777" w:rsidTr="00954C83">
        <w:tc>
          <w:tcPr>
            <w:tcW w:w="4086" w:type="dxa"/>
          </w:tcPr>
          <w:p w14:paraId="684DFD55" w14:textId="77777777" w:rsidR="00954C83" w:rsidRDefault="00954C83" w:rsidP="00954C83">
            <w:pPr>
              <w:rPr>
                <w:lang w:val="en-GB"/>
              </w:rPr>
            </w:pPr>
            <w:r>
              <w:rPr>
                <w:lang w:val="en-GB"/>
              </w:rPr>
              <w:t>–5 to 0 MHz from lower block edge</w:t>
            </w:r>
          </w:p>
        </w:tc>
        <w:tc>
          <w:tcPr>
            <w:tcW w:w="2880" w:type="dxa"/>
          </w:tcPr>
          <w:p w14:paraId="684DFD56" w14:textId="77777777" w:rsidR="00954C83" w:rsidRDefault="00954C83" w:rsidP="00954C83">
            <w:pPr>
              <w:rPr>
                <w:lang w:val="en-GB"/>
              </w:rPr>
            </w:pPr>
            <w:r>
              <w:rPr>
                <w:lang w:val="en-GB"/>
              </w:rPr>
              <w:t xml:space="preserve">16.3 dBm </w:t>
            </w:r>
          </w:p>
        </w:tc>
        <w:tc>
          <w:tcPr>
            <w:tcW w:w="2727" w:type="dxa"/>
          </w:tcPr>
          <w:p w14:paraId="684DFD57" w14:textId="77777777" w:rsidR="00954C83" w:rsidRDefault="00954C83" w:rsidP="00954C83">
            <w:pPr>
              <w:rPr>
                <w:lang w:val="en-GB"/>
              </w:rPr>
            </w:pPr>
            <w:r>
              <w:rPr>
                <w:lang w:val="en-GB"/>
              </w:rPr>
              <w:t>5 MHz</w:t>
            </w:r>
          </w:p>
        </w:tc>
      </w:tr>
      <w:tr w:rsidR="00954C83" w14:paraId="684DFD5C" w14:textId="77777777" w:rsidTr="00954C83">
        <w:tc>
          <w:tcPr>
            <w:tcW w:w="4086" w:type="dxa"/>
          </w:tcPr>
          <w:p w14:paraId="684DFD59" w14:textId="77777777" w:rsidR="00954C83" w:rsidRDefault="00954C83" w:rsidP="00954C83">
            <w:pPr>
              <w:rPr>
                <w:lang w:val="en-GB"/>
              </w:rPr>
            </w:pPr>
            <w:r>
              <w:rPr>
                <w:lang w:val="en-GB"/>
              </w:rPr>
              <w:t>0 to +5 MHz from upper block edge</w:t>
            </w:r>
          </w:p>
        </w:tc>
        <w:tc>
          <w:tcPr>
            <w:tcW w:w="2880" w:type="dxa"/>
          </w:tcPr>
          <w:p w14:paraId="684DFD5A" w14:textId="77777777" w:rsidR="00954C83" w:rsidRDefault="00954C83" w:rsidP="00954C83">
            <w:pPr>
              <w:rPr>
                <w:lang w:val="en-GB"/>
              </w:rPr>
            </w:pPr>
            <w:r>
              <w:rPr>
                <w:lang w:val="en-GB"/>
              </w:rPr>
              <w:t xml:space="preserve">16.3 dBm </w:t>
            </w:r>
          </w:p>
        </w:tc>
        <w:tc>
          <w:tcPr>
            <w:tcW w:w="2727" w:type="dxa"/>
          </w:tcPr>
          <w:p w14:paraId="684DFD5B" w14:textId="77777777" w:rsidR="00954C83" w:rsidRDefault="00954C83" w:rsidP="00954C83">
            <w:pPr>
              <w:rPr>
                <w:lang w:val="en-GB"/>
              </w:rPr>
            </w:pPr>
            <w:r>
              <w:rPr>
                <w:lang w:val="en-GB"/>
              </w:rPr>
              <w:t>5 MHz</w:t>
            </w:r>
          </w:p>
        </w:tc>
      </w:tr>
      <w:tr w:rsidR="00954C83" w14:paraId="684DFD60" w14:textId="77777777" w:rsidTr="00954C83">
        <w:tc>
          <w:tcPr>
            <w:tcW w:w="4086" w:type="dxa"/>
          </w:tcPr>
          <w:p w14:paraId="684DFD5D" w14:textId="77777777" w:rsidR="00954C83" w:rsidRDefault="00954C83" w:rsidP="00954C83">
            <w:pPr>
              <w:rPr>
                <w:lang w:val="en-GB"/>
              </w:rPr>
            </w:pPr>
            <w:r>
              <w:rPr>
                <w:lang w:val="en-GB"/>
              </w:rPr>
              <w:t>+5 to +10 MHz from upper block edge</w:t>
            </w:r>
          </w:p>
        </w:tc>
        <w:tc>
          <w:tcPr>
            <w:tcW w:w="2880" w:type="dxa"/>
          </w:tcPr>
          <w:p w14:paraId="684DFD5E" w14:textId="77777777" w:rsidR="00954C83" w:rsidRDefault="00954C83" w:rsidP="00954C83">
            <w:pPr>
              <w:rPr>
                <w:lang w:val="en-GB"/>
              </w:rPr>
            </w:pPr>
            <w:r>
              <w:rPr>
                <w:lang w:val="en-GB"/>
              </w:rPr>
              <w:t xml:space="preserve">11 dBm </w:t>
            </w:r>
          </w:p>
        </w:tc>
        <w:tc>
          <w:tcPr>
            <w:tcW w:w="2727" w:type="dxa"/>
          </w:tcPr>
          <w:p w14:paraId="684DFD5F" w14:textId="77777777" w:rsidR="00954C83" w:rsidRDefault="00954C83" w:rsidP="00954C83">
            <w:pPr>
              <w:rPr>
                <w:lang w:val="en-GB"/>
              </w:rPr>
            </w:pPr>
            <w:r>
              <w:rPr>
                <w:lang w:val="en-GB"/>
              </w:rPr>
              <w:t>5 MHz</w:t>
            </w:r>
          </w:p>
        </w:tc>
      </w:tr>
      <w:tr w:rsidR="00954C83" w14:paraId="684DFD64" w14:textId="77777777" w:rsidTr="00954C83">
        <w:tc>
          <w:tcPr>
            <w:tcW w:w="4086" w:type="dxa"/>
          </w:tcPr>
          <w:p w14:paraId="684DFD61" w14:textId="77777777" w:rsidR="00954C83" w:rsidRDefault="00954C83" w:rsidP="00954C83">
            <w:pPr>
              <w:rPr>
                <w:lang w:val="en-GB"/>
              </w:rPr>
            </w:pPr>
            <w:r>
              <w:rPr>
                <w:lang w:val="en-GB"/>
              </w:rPr>
              <w:t>Remaining DL WBB ECS frequencies</w:t>
            </w:r>
          </w:p>
        </w:tc>
        <w:tc>
          <w:tcPr>
            <w:tcW w:w="2880" w:type="dxa"/>
          </w:tcPr>
          <w:p w14:paraId="684DFD62" w14:textId="77777777" w:rsidR="00954C83" w:rsidRDefault="00954C83" w:rsidP="00954C83">
            <w:pPr>
              <w:rPr>
                <w:lang w:val="en-GB"/>
              </w:rPr>
            </w:pPr>
            <w:r>
              <w:rPr>
                <w:lang w:val="en-GB"/>
              </w:rPr>
              <w:t xml:space="preserve">9 dBm </w:t>
            </w:r>
          </w:p>
        </w:tc>
        <w:tc>
          <w:tcPr>
            <w:tcW w:w="2727" w:type="dxa"/>
          </w:tcPr>
          <w:p w14:paraId="684DFD63" w14:textId="77777777" w:rsidR="00954C83" w:rsidRDefault="00954C83" w:rsidP="00954C83">
            <w:pPr>
              <w:rPr>
                <w:lang w:val="en-GB"/>
              </w:rPr>
            </w:pPr>
            <w:r>
              <w:rPr>
                <w:lang w:val="en-GB"/>
              </w:rPr>
              <w:t>5 MHz</w:t>
            </w:r>
          </w:p>
        </w:tc>
      </w:tr>
    </w:tbl>
    <w:p w14:paraId="684DFD65" w14:textId="77777777" w:rsidR="00954C83" w:rsidRDefault="00954C83" w:rsidP="00954C83">
      <w:pPr>
        <w:pStyle w:val="Caption"/>
        <w:rPr>
          <w:lang w:val="en-GB"/>
        </w:rPr>
      </w:pPr>
      <w:bookmarkStart w:id="87" w:name="_Ref480830563"/>
    </w:p>
    <w:p w14:paraId="684DFD66" w14:textId="77777777" w:rsidR="00954C83" w:rsidRDefault="00954C83" w:rsidP="00954C83">
      <w:pPr>
        <w:pStyle w:val="Caption"/>
        <w:rPr>
          <w:lang w:val="en-GB"/>
        </w:rPr>
      </w:pPr>
      <w:bookmarkStart w:id="88" w:name="_Ref482008790"/>
      <w:r>
        <w:rPr>
          <w:lang w:val="en-GB"/>
        </w:rPr>
        <w:t xml:space="preserve">Table </w:t>
      </w:r>
      <w:r>
        <w:rPr>
          <w:lang w:val="en-GB"/>
        </w:rPr>
        <w:fldChar w:fldCharType="begin"/>
      </w:r>
      <w:r>
        <w:rPr>
          <w:lang w:val="en-GB"/>
        </w:rPr>
        <w:instrText xml:space="preserve"> SEQ Table \* ARABIC </w:instrText>
      </w:r>
      <w:r>
        <w:rPr>
          <w:lang w:val="en-GB"/>
        </w:rPr>
        <w:fldChar w:fldCharType="separate"/>
      </w:r>
      <w:r w:rsidR="00B616E1">
        <w:rPr>
          <w:noProof/>
          <w:lang w:val="en-GB"/>
        </w:rPr>
        <w:t>11</w:t>
      </w:r>
      <w:r>
        <w:rPr>
          <w:lang w:val="en-GB"/>
        </w:rPr>
        <w:fldChar w:fldCharType="end"/>
      </w:r>
      <w:bookmarkEnd w:id="87"/>
      <w:bookmarkEnd w:id="88"/>
      <w:r>
        <w:rPr>
          <w:lang w:val="en-GB"/>
        </w:rPr>
        <w:t xml:space="preserve">: </w:t>
      </w:r>
      <w:bookmarkStart w:id="89" w:name="_Ref480830677"/>
      <w:r>
        <w:rPr>
          <w:lang w:val="en-GB"/>
        </w:rPr>
        <w:t>Base station maximum unwanted emission power in the band 1400-1427 MHz for base stations operating in 1427-1452 MHz</w:t>
      </w:r>
      <w:bookmarkEnd w:id="89"/>
    </w:p>
    <w:tbl>
      <w:tblPr>
        <w:tblStyle w:val="ECCTable-redheader"/>
        <w:tblW w:w="0" w:type="auto"/>
        <w:tblLook w:val="01E0" w:firstRow="1" w:lastRow="1" w:firstColumn="1" w:lastColumn="1" w:noHBand="0" w:noVBand="0"/>
      </w:tblPr>
      <w:tblGrid>
        <w:gridCol w:w="4086"/>
        <w:gridCol w:w="2880"/>
        <w:gridCol w:w="2727"/>
      </w:tblGrid>
      <w:tr w:rsidR="00954C83" w14:paraId="684DFD6B" w14:textId="77777777" w:rsidTr="00954C83">
        <w:trPr>
          <w:cnfStyle w:val="100000000000" w:firstRow="1" w:lastRow="0" w:firstColumn="0" w:lastColumn="0" w:oddVBand="0" w:evenVBand="0" w:oddHBand="0" w:evenHBand="0" w:firstRowFirstColumn="0" w:firstRowLastColumn="0" w:lastRowFirstColumn="0" w:lastRowLastColumn="0"/>
        </w:trPr>
        <w:tc>
          <w:tcPr>
            <w:tcW w:w="4086" w:type="dxa"/>
          </w:tcPr>
          <w:p w14:paraId="684DFD67" w14:textId="77777777" w:rsidR="00954C83" w:rsidRDefault="00954C83" w:rsidP="00954C83">
            <w:pPr>
              <w:pStyle w:val="ECCTableHeaderwhitefont"/>
              <w:spacing w:before="0" w:after="0" w:line="288" w:lineRule="auto"/>
              <w:rPr>
                <w:lang w:val="en-GB"/>
              </w:rPr>
            </w:pPr>
            <w:r>
              <w:rPr>
                <w:lang w:val="en-GB"/>
              </w:rPr>
              <w:t xml:space="preserve">Frequency range </w:t>
            </w:r>
          </w:p>
        </w:tc>
        <w:tc>
          <w:tcPr>
            <w:tcW w:w="2880" w:type="dxa"/>
          </w:tcPr>
          <w:p w14:paraId="684DFD68" w14:textId="77777777" w:rsidR="00954C83" w:rsidRDefault="00954C83" w:rsidP="00954C83">
            <w:pPr>
              <w:pStyle w:val="ECCTableHeaderwhitefont"/>
              <w:spacing w:before="0" w:after="0" w:line="288" w:lineRule="auto"/>
              <w:rPr>
                <w:lang w:val="en-GB"/>
              </w:rPr>
            </w:pPr>
            <w:r>
              <w:rPr>
                <w:lang w:val="en-GB"/>
              </w:rPr>
              <w:t>Maximum unwanted emission power</w:t>
            </w:r>
            <w:r>
              <w:rPr>
                <w:vertAlign w:val="superscript"/>
                <w:lang w:val="en-GB"/>
              </w:rPr>
              <w:footnoteReference w:id="12"/>
            </w:r>
          </w:p>
        </w:tc>
        <w:tc>
          <w:tcPr>
            <w:tcW w:w="2727" w:type="dxa"/>
          </w:tcPr>
          <w:p w14:paraId="684DFD69" w14:textId="77777777" w:rsidR="00954C83" w:rsidRDefault="00954C83" w:rsidP="00954C83">
            <w:pPr>
              <w:pStyle w:val="ECCTableHeaderwhitefont"/>
              <w:spacing w:before="0" w:after="0" w:line="288" w:lineRule="auto"/>
              <w:rPr>
                <w:lang w:val="en-GB"/>
              </w:rPr>
            </w:pPr>
            <w:r>
              <w:rPr>
                <w:lang w:val="en-GB"/>
              </w:rPr>
              <w:t xml:space="preserve">Measurement </w:t>
            </w:r>
          </w:p>
          <w:p w14:paraId="684DFD6A" w14:textId="77777777" w:rsidR="00954C83" w:rsidRDefault="00954C83" w:rsidP="00954C83">
            <w:pPr>
              <w:pStyle w:val="ECCTableHeaderwhitefont"/>
              <w:spacing w:before="0" w:after="0" w:line="288" w:lineRule="auto"/>
              <w:rPr>
                <w:lang w:val="en-GB"/>
              </w:rPr>
            </w:pPr>
            <w:r>
              <w:rPr>
                <w:lang w:val="en-GB"/>
              </w:rPr>
              <w:t>Bandwidth</w:t>
            </w:r>
          </w:p>
        </w:tc>
      </w:tr>
      <w:tr w:rsidR="00954C83" w14:paraId="684DFD6F" w14:textId="77777777" w:rsidTr="00954C83">
        <w:tc>
          <w:tcPr>
            <w:tcW w:w="4086" w:type="dxa"/>
          </w:tcPr>
          <w:p w14:paraId="684DFD6C" w14:textId="77777777" w:rsidR="00954C83" w:rsidRDefault="00954C83" w:rsidP="00954C83">
            <w:pPr>
              <w:rPr>
                <w:lang w:val="en-GB"/>
              </w:rPr>
            </w:pPr>
            <w:r>
              <w:rPr>
                <w:lang w:val="en-GB"/>
              </w:rPr>
              <w:t>1400-1427 MHz</w:t>
            </w:r>
          </w:p>
        </w:tc>
        <w:tc>
          <w:tcPr>
            <w:tcW w:w="2880" w:type="dxa"/>
          </w:tcPr>
          <w:p w14:paraId="684DFD6D" w14:textId="77777777" w:rsidR="00954C83" w:rsidRDefault="00954C83" w:rsidP="00954C83">
            <w:pPr>
              <w:rPr>
                <w:lang w:val="en-GB"/>
              </w:rPr>
            </w:pPr>
            <w:r>
              <w:rPr>
                <w:lang w:val="en-GB"/>
              </w:rPr>
              <w:t xml:space="preserve">-72 </w:t>
            </w:r>
            <w:proofErr w:type="spellStart"/>
            <w:r>
              <w:rPr>
                <w:lang w:val="en-GB"/>
              </w:rPr>
              <w:t>dBW</w:t>
            </w:r>
            <w:proofErr w:type="spellEnd"/>
            <w:r>
              <w:rPr>
                <w:lang w:val="en-GB"/>
              </w:rPr>
              <w:t xml:space="preserve"> </w:t>
            </w:r>
          </w:p>
        </w:tc>
        <w:tc>
          <w:tcPr>
            <w:tcW w:w="2727" w:type="dxa"/>
          </w:tcPr>
          <w:p w14:paraId="684DFD6E" w14:textId="77777777" w:rsidR="00954C83" w:rsidRDefault="00954C83" w:rsidP="00954C83">
            <w:pPr>
              <w:rPr>
                <w:lang w:val="en-GB"/>
              </w:rPr>
            </w:pPr>
            <w:r>
              <w:rPr>
                <w:lang w:val="en-GB"/>
              </w:rPr>
              <w:t>27 MHz</w:t>
            </w:r>
          </w:p>
        </w:tc>
      </w:tr>
    </w:tbl>
    <w:p w14:paraId="684DFD70" w14:textId="77777777" w:rsidR="00954C83" w:rsidRDefault="00954C83" w:rsidP="00954C83">
      <w:pPr>
        <w:pStyle w:val="Caption"/>
        <w:rPr>
          <w:lang w:val="en-GB"/>
        </w:rPr>
      </w:pPr>
      <w:bookmarkStart w:id="90" w:name="_Ref480830572"/>
    </w:p>
    <w:p w14:paraId="684DFD71" w14:textId="43D34BDE" w:rsidR="00954C83" w:rsidRDefault="00954C83" w:rsidP="00954C83">
      <w:pPr>
        <w:pStyle w:val="Caption"/>
        <w:rPr>
          <w:lang w:val="en-GB"/>
        </w:rPr>
      </w:pPr>
      <w:bookmarkStart w:id="91" w:name="_Ref482008797"/>
      <w:r>
        <w:rPr>
          <w:lang w:val="en-GB"/>
        </w:rPr>
        <w:t xml:space="preserve">Table </w:t>
      </w:r>
      <w:r>
        <w:rPr>
          <w:lang w:val="en-GB"/>
        </w:rPr>
        <w:fldChar w:fldCharType="begin"/>
      </w:r>
      <w:r>
        <w:rPr>
          <w:lang w:val="en-GB"/>
        </w:rPr>
        <w:instrText xml:space="preserve"> SEQ Table \* ARABIC </w:instrText>
      </w:r>
      <w:r>
        <w:rPr>
          <w:lang w:val="en-GB"/>
        </w:rPr>
        <w:fldChar w:fldCharType="separate"/>
      </w:r>
      <w:r w:rsidR="00B616E1">
        <w:rPr>
          <w:noProof/>
          <w:lang w:val="en-GB"/>
        </w:rPr>
        <w:t>12</w:t>
      </w:r>
      <w:r>
        <w:rPr>
          <w:lang w:val="en-GB"/>
        </w:rPr>
        <w:fldChar w:fldCharType="end"/>
      </w:r>
      <w:bookmarkEnd w:id="90"/>
      <w:bookmarkEnd w:id="91"/>
      <w:r>
        <w:rPr>
          <w:lang w:val="en-GB"/>
        </w:rPr>
        <w:t xml:space="preserve">: </w:t>
      </w:r>
      <w:bookmarkStart w:id="92" w:name="_Ref480830679"/>
      <w:r>
        <w:rPr>
          <w:lang w:val="en-GB"/>
        </w:rPr>
        <w:t xml:space="preserve">Base station out-of-block emission limits </w:t>
      </w:r>
      <w:r w:rsidR="003A1D2E">
        <w:rPr>
          <w:lang w:val="en-GB"/>
        </w:rPr>
        <w:t xml:space="preserve">per </w:t>
      </w:r>
      <w:proofErr w:type="gramStart"/>
      <w:r w:rsidR="003A1D2E">
        <w:rPr>
          <w:lang w:val="en-GB"/>
        </w:rPr>
        <w:t>cell</w:t>
      </w:r>
      <w:r w:rsidR="008036C8" w:rsidRPr="00C41DBC">
        <w:rPr>
          <w:vertAlign w:val="superscript"/>
          <w:lang w:val="en-GB"/>
        </w:rPr>
        <w:t>(</w:t>
      </w:r>
      <w:proofErr w:type="gramEnd"/>
      <w:r w:rsidR="008036C8" w:rsidRPr="00C41DBC">
        <w:rPr>
          <w:vertAlign w:val="superscript"/>
          <w:lang w:val="en-GB"/>
        </w:rPr>
        <w:t>1)</w:t>
      </w:r>
      <w:r w:rsidR="003A1D2E">
        <w:rPr>
          <w:lang w:val="en-GB"/>
        </w:rPr>
        <w:t xml:space="preserve"> </w:t>
      </w:r>
      <w:r>
        <w:rPr>
          <w:lang w:val="en-GB"/>
        </w:rPr>
        <w:t xml:space="preserve">above </w:t>
      </w:r>
      <w:r w:rsidRPr="008C6FDD">
        <w:rPr>
          <w:lang w:val="en-GB"/>
        </w:rPr>
        <w:t>1518</w:t>
      </w:r>
      <w:r>
        <w:rPr>
          <w:lang w:val="en-GB"/>
        </w:rPr>
        <w:t xml:space="preserve"> MHz for base stations operating in 1492-1517 MHz.</w:t>
      </w:r>
      <w:bookmarkEnd w:id="92"/>
    </w:p>
    <w:tbl>
      <w:tblPr>
        <w:tblStyle w:val="ECCTable-redheader"/>
        <w:tblW w:w="0" w:type="auto"/>
        <w:tblLook w:val="01E0" w:firstRow="1" w:lastRow="1" w:firstColumn="1" w:lastColumn="1" w:noHBand="0" w:noVBand="0"/>
      </w:tblPr>
      <w:tblGrid>
        <w:gridCol w:w="4135"/>
        <w:gridCol w:w="2814"/>
        <w:gridCol w:w="2680"/>
      </w:tblGrid>
      <w:tr w:rsidR="00954C83" w14:paraId="684DFD77" w14:textId="77777777" w:rsidTr="00954C83">
        <w:trPr>
          <w:cnfStyle w:val="100000000000" w:firstRow="1" w:lastRow="0" w:firstColumn="0" w:lastColumn="0" w:oddVBand="0" w:evenVBand="0" w:oddHBand="0" w:evenHBand="0" w:firstRowFirstColumn="0" w:firstRowLastColumn="0" w:lastRowFirstColumn="0" w:lastRowLastColumn="0"/>
        </w:trPr>
        <w:tc>
          <w:tcPr>
            <w:tcW w:w="4135" w:type="dxa"/>
          </w:tcPr>
          <w:p w14:paraId="684DFD72" w14:textId="77777777" w:rsidR="00954C83" w:rsidRDefault="00954C83" w:rsidP="00954C83">
            <w:pPr>
              <w:pStyle w:val="ECCTableHeaderwhitefont"/>
              <w:spacing w:before="0" w:after="0" w:line="288" w:lineRule="auto"/>
              <w:rPr>
                <w:lang w:val="en-GB"/>
              </w:rPr>
            </w:pPr>
            <w:r>
              <w:rPr>
                <w:lang w:val="en-GB"/>
              </w:rPr>
              <w:t xml:space="preserve">Frequency range of </w:t>
            </w:r>
          </w:p>
          <w:p w14:paraId="684DFD73" w14:textId="77777777" w:rsidR="00954C83" w:rsidRDefault="00954C83" w:rsidP="00954C83">
            <w:pPr>
              <w:pStyle w:val="ECCTableHeaderwhitefont"/>
              <w:spacing w:before="0" w:after="0" w:line="288" w:lineRule="auto"/>
              <w:rPr>
                <w:lang w:val="en-GB"/>
              </w:rPr>
            </w:pPr>
            <w:r>
              <w:rPr>
                <w:lang w:val="en-GB"/>
              </w:rPr>
              <w:t>out-of-block emissions</w:t>
            </w:r>
          </w:p>
        </w:tc>
        <w:tc>
          <w:tcPr>
            <w:tcW w:w="2814" w:type="dxa"/>
          </w:tcPr>
          <w:p w14:paraId="684DFD74" w14:textId="77777777" w:rsidR="00954C83" w:rsidRDefault="00954C83" w:rsidP="00954C83">
            <w:pPr>
              <w:pStyle w:val="ECCTableHeaderwhitefont"/>
              <w:spacing w:before="0" w:after="0" w:line="288" w:lineRule="auto"/>
              <w:rPr>
                <w:lang w:val="en-GB"/>
              </w:rPr>
            </w:pPr>
            <w:r>
              <w:rPr>
                <w:lang w:val="en-GB"/>
              </w:rPr>
              <w:t>Maximum out-of-block e.i.r.p.</w:t>
            </w:r>
          </w:p>
        </w:tc>
        <w:tc>
          <w:tcPr>
            <w:tcW w:w="2680" w:type="dxa"/>
          </w:tcPr>
          <w:p w14:paraId="684DFD75" w14:textId="77777777" w:rsidR="00954C83" w:rsidRDefault="00954C83" w:rsidP="00954C83">
            <w:pPr>
              <w:pStyle w:val="ECCTableHeaderwhitefont"/>
              <w:spacing w:before="0" w:after="0" w:line="288" w:lineRule="auto"/>
              <w:rPr>
                <w:lang w:val="en-GB"/>
              </w:rPr>
            </w:pPr>
            <w:r>
              <w:rPr>
                <w:lang w:val="en-GB"/>
              </w:rPr>
              <w:t xml:space="preserve">Measurement </w:t>
            </w:r>
          </w:p>
          <w:p w14:paraId="684DFD76" w14:textId="77777777" w:rsidR="00954C83" w:rsidRDefault="00954C83" w:rsidP="00954C83">
            <w:pPr>
              <w:pStyle w:val="ECCTableHeaderwhitefont"/>
              <w:spacing w:before="0" w:after="0" w:line="288" w:lineRule="auto"/>
              <w:rPr>
                <w:lang w:val="en-GB"/>
              </w:rPr>
            </w:pPr>
            <w:r>
              <w:rPr>
                <w:lang w:val="en-GB"/>
              </w:rPr>
              <w:t>Bandwidth</w:t>
            </w:r>
          </w:p>
        </w:tc>
      </w:tr>
      <w:tr w:rsidR="00954C83" w14:paraId="684DFD7B" w14:textId="77777777" w:rsidTr="00954C83">
        <w:tc>
          <w:tcPr>
            <w:tcW w:w="4135" w:type="dxa"/>
          </w:tcPr>
          <w:p w14:paraId="684DFD78" w14:textId="77777777" w:rsidR="00954C83" w:rsidRDefault="00954C83" w:rsidP="00954C83">
            <w:pPr>
              <w:rPr>
                <w:lang w:val="en-GB"/>
              </w:rPr>
            </w:pPr>
            <w:r>
              <w:rPr>
                <w:lang w:val="en-GB"/>
              </w:rPr>
              <w:t xml:space="preserve">Between </w:t>
            </w:r>
            <w:r w:rsidRPr="008C6FDD">
              <w:rPr>
                <w:lang w:val="en-GB"/>
              </w:rPr>
              <w:t xml:space="preserve">1518 </w:t>
            </w:r>
            <w:r>
              <w:rPr>
                <w:lang w:val="en-GB"/>
              </w:rPr>
              <w:t>and 1520 MHz</w:t>
            </w:r>
          </w:p>
        </w:tc>
        <w:tc>
          <w:tcPr>
            <w:tcW w:w="2814" w:type="dxa"/>
          </w:tcPr>
          <w:p w14:paraId="684DFD79" w14:textId="77777777" w:rsidR="00954C83" w:rsidRDefault="00954C83" w:rsidP="00954C83">
            <w:pPr>
              <w:rPr>
                <w:lang w:val="en-GB"/>
              </w:rPr>
            </w:pPr>
            <w:r>
              <w:rPr>
                <w:lang w:val="en-GB"/>
              </w:rPr>
              <w:t>-0.8 dBm</w:t>
            </w:r>
          </w:p>
        </w:tc>
        <w:tc>
          <w:tcPr>
            <w:tcW w:w="2680" w:type="dxa"/>
          </w:tcPr>
          <w:p w14:paraId="684DFD7A" w14:textId="77777777" w:rsidR="00954C83" w:rsidRDefault="00954C83" w:rsidP="00954C83">
            <w:pPr>
              <w:rPr>
                <w:lang w:val="en-GB"/>
              </w:rPr>
            </w:pPr>
            <w:r>
              <w:rPr>
                <w:lang w:val="en-GB"/>
              </w:rPr>
              <w:t>1 MHz</w:t>
            </w:r>
          </w:p>
        </w:tc>
      </w:tr>
      <w:tr w:rsidR="00954C83" w14:paraId="684DFD7F" w14:textId="77777777" w:rsidTr="00954C83">
        <w:tc>
          <w:tcPr>
            <w:tcW w:w="4135" w:type="dxa"/>
          </w:tcPr>
          <w:p w14:paraId="684DFD7C" w14:textId="77777777" w:rsidR="00954C83" w:rsidRDefault="00954C83" w:rsidP="00954C83">
            <w:pPr>
              <w:rPr>
                <w:lang w:val="en-GB"/>
              </w:rPr>
            </w:pPr>
            <w:r>
              <w:rPr>
                <w:lang w:val="en-GB"/>
              </w:rPr>
              <w:t>Between 1520 and 1559 MHz</w:t>
            </w:r>
          </w:p>
        </w:tc>
        <w:tc>
          <w:tcPr>
            <w:tcW w:w="2814" w:type="dxa"/>
          </w:tcPr>
          <w:p w14:paraId="684DFD7D" w14:textId="77777777" w:rsidR="00954C83" w:rsidRDefault="00954C83" w:rsidP="00954C83">
            <w:pPr>
              <w:rPr>
                <w:lang w:val="en-GB"/>
              </w:rPr>
            </w:pPr>
            <w:r>
              <w:rPr>
                <w:lang w:val="en-GB"/>
              </w:rPr>
              <w:t xml:space="preserve">-30 dBm </w:t>
            </w:r>
          </w:p>
        </w:tc>
        <w:tc>
          <w:tcPr>
            <w:tcW w:w="2680" w:type="dxa"/>
          </w:tcPr>
          <w:p w14:paraId="684DFD7E" w14:textId="77777777" w:rsidR="00954C83" w:rsidRDefault="00954C83" w:rsidP="00954C83">
            <w:pPr>
              <w:rPr>
                <w:lang w:val="en-GB"/>
              </w:rPr>
            </w:pPr>
            <w:r>
              <w:rPr>
                <w:lang w:val="en-GB"/>
              </w:rPr>
              <w:t>1 MHz</w:t>
            </w:r>
          </w:p>
        </w:tc>
      </w:tr>
      <w:tr w:rsidR="008036C8" w14:paraId="6350671E" w14:textId="77777777" w:rsidTr="00D63534">
        <w:tc>
          <w:tcPr>
            <w:tcW w:w="9629" w:type="dxa"/>
            <w:gridSpan w:val="3"/>
          </w:tcPr>
          <w:p w14:paraId="23DCA91C" w14:textId="281643CD" w:rsidR="008036C8" w:rsidRDefault="008036C8" w:rsidP="00954C83">
            <w:pPr>
              <w:rPr>
                <w:lang w:val="en-GB"/>
              </w:rPr>
            </w:pPr>
            <w:r w:rsidRPr="00C41DBC">
              <w:rPr>
                <w:vertAlign w:val="superscript"/>
                <w:lang w:val="en-GB"/>
              </w:rPr>
              <w:t>(1)</w:t>
            </w:r>
            <w:r w:rsidRPr="00C41DBC">
              <w:rPr>
                <w:lang w:val="en-GB"/>
              </w:rPr>
              <w:t xml:space="preserve"> In a multi-sector site, the value per ‘cell’ corresponds to the value for one of the sectors.</w:t>
            </w:r>
          </w:p>
        </w:tc>
      </w:tr>
    </w:tbl>
    <w:p w14:paraId="684DFD80" w14:textId="77777777" w:rsidR="00954C83" w:rsidRDefault="00954C83" w:rsidP="00954C83">
      <w:pPr>
        <w:pStyle w:val="ECCAnnexheading2"/>
        <w:ind w:left="450" w:hanging="450"/>
        <w:rPr>
          <w:lang w:val="en-GB"/>
        </w:rPr>
      </w:pPr>
      <w:bookmarkStart w:id="93" w:name="_Ref481058385"/>
      <w:r>
        <w:rPr>
          <w:lang w:val="en-GB"/>
        </w:rPr>
        <w:t>Changes to the use of the current out-of-band EIRP limits below 1452 MHz and above 1492 MHz</w:t>
      </w:r>
    </w:p>
    <w:p w14:paraId="684DFD81" w14:textId="77777777" w:rsidR="00954C83" w:rsidRDefault="00954C83" w:rsidP="00954C83">
      <w:pPr>
        <w:pStyle w:val="ECCParagraph"/>
        <w:rPr>
          <w:szCs w:val="20"/>
        </w:rPr>
      </w:pPr>
      <w:r>
        <w:rPr>
          <w:szCs w:val="20"/>
        </w:rPr>
        <w:t xml:space="preserve">For cases where WBB ECS is deployed below 1452 MHz and/or above 1492 MHz, the existing requirements for out-of-band EIRP limits set out in Table 2 of EC Decision 2015/750 are not applicable. In such cases the relevant limits from Table 10 above are applicable. </w:t>
      </w:r>
      <w:r>
        <w:t xml:space="preserve">When WBB ECS is deployed in the blocks immediately below 1452 MHz, Table 10 applies and the limitations indicated in Table 2 </w:t>
      </w:r>
      <w:r>
        <w:rPr>
          <w:szCs w:val="20"/>
        </w:rPr>
        <w:t xml:space="preserve">of EC Decision 2015/750 </w:t>
      </w:r>
      <w:r>
        <w:t xml:space="preserve">for frequency below 1452 MHz are not applicable. When WBB ECS is deployed in the blocks immediately above </w:t>
      </w:r>
      <w:r>
        <w:lastRenderedPageBreak/>
        <w:t xml:space="preserve">1492 MHz, Table 10 applies and the limitations indicated in Table 2 </w:t>
      </w:r>
      <w:r>
        <w:rPr>
          <w:szCs w:val="20"/>
        </w:rPr>
        <w:t>of EC Decision 2015/750</w:t>
      </w:r>
      <w:r>
        <w:t xml:space="preserve"> for frequency above 1492 MHz are not applicable.</w:t>
      </w:r>
    </w:p>
    <w:p w14:paraId="684DFD82" w14:textId="77777777" w:rsidR="00954C83" w:rsidRDefault="00954C83" w:rsidP="00954C83">
      <w:pPr>
        <w:pStyle w:val="ECCAnnexheading1"/>
        <w:jc w:val="left"/>
      </w:pPr>
      <w:bookmarkStart w:id="94" w:name="_Toc492574953"/>
      <w:bookmarkStart w:id="95" w:name="_Toc498934674"/>
      <w:r>
        <w:lastRenderedPageBreak/>
        <w:t>Flexibility for administrations</w:t>
      </w:r>
      <w:bookmarkEnd w:id="93"/>
      <w:bookmarkEnd w:id="94"/>
      <w:bookmarkEnd w:id="95"/>
    </w:p>
    <w:p w14:paraId="684DFD83" w14:textId="77777777" w:rsidR="00954C83" w:rsidRDefault="00954C83" w:rsidP="00954C83">
      <w:pPr>
        <w:pStyle w:val="ECCParagraph"/>
      </w:pPr>
      <w:r>
        <w:t xml:space="preserve">CEPT confirms that the DL WBB ECS inherently offers national flexibility to administrations to introduce WBB ECS in all parts of the extension bands. The flexibility introduced gives freedom to administration to use 1427-1452 MHz and/or 1492-1518 MHz either for incumbent services or for DL WBB ECS. In the case where an administration decides to use either or both bands, or parts of the bands </w:t>
      </w:r>
      <w:r>
        <w:rPr>
          <w:lang w:val="en-US"/>
        </w:rPr>
        <w:t>based on a block size of 5 MHz (as specified in Table 3)</w:t>
      </w:r>
      <w:r>
        <w:t xml:space="preserve">, for DL WBB ECS, there may be an additional need for flexibility in the timing.  Given this flexibility administrations shall facilitate cross-border coordination agreements so as to enable operation of the DL WBB ECS. </w:t>
      </w:r>
    </w:p>
    <w:p w14:paraId="684DFD84" w14:textId="77777777" w:rsidR="00954C83" w:rsidRDefault="00954C83" w:rsidP="00954C83">
      <w:pPr>
        <w:pStyle w:val="ECCParagraph"/>
      </w:pPr>
      <w:r>
        <w:t xml:space="preserve">An illustration of different options is provided below. </w:t>
      </w:r>
    </w:p>
    <w:p w14:paraId="684DFD85" w14:textId="77777777" w:rsidR="00954C83" w:rsidRDefault="00954C83" w:rsidP="00954C83">
      <w:pPr>
        <w:pStyle w:val="ECCParagraph"/>
        <w:keepNext/>
        <w:jc w:val="center"/>
      </w:pPr>
      <w:r>
        <w:rPr>
          <w:noProof/>
          <w:lang w:val="da-DK" w:eastAsia="da-DK"/>
        </w:rPr>
        <w:drawing>
          <wp:inline distT="0" distB="0" distL="0" distR="0" wp14:anchorId="684DFDA9" wp14:editId="684DFDAA">
            <wp:extent cx="5785200" cy="15192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5200" cy="1519200"/>
                    </a:xfrm>
                    <a:prstGeom prst="rect">
                      <a:avLst/>
                    </a:prstGeom>
                    <a:noFill/>
                  </pic:spPr>
                </pic:pic>
              </a:graphicData>
            </a:graphic>
          </wp:inline>
        </w:drawing>
      </w:r>
    </w:p>
    <w:p w14:paraId="684DFD86" w14:textId="77777777" w:rsidR="00954C83" w:rsidRDefault="00954C83" w:rsidP="00954C83">
      <w:pPr>
        <w:pStyle w:val="Caption"/>
        <w:rPr>
          <w:lang w:val="en-GB"/>
        </w:rPr>
      </w:pPr>
      <w:r>
        <w:rPr>
          <w:lang w:val="en-GB"/>
        </w:rPr>
        <w:t xml:space="preserve">Figure </w:t>
      </w:r>
      <w:r>
        <w:rPr>
          <w:lang w:val="en-GB"/>
        </w:rPr>
        <w:fldChar w:fldCharType="begin"/>
      </w:r>
      <w:r>
        <w:rPr>
          <w:lang w:val="en-GB"/>
        </w:rPr>
        <w:instrText xml:space="preserve"> SEQ Figure \* ARABIC </w:instrText>
      </w:r>
      <w:r>
        <w:rPr>
          <w:lang w:val="en-GB"/>
        </w:rPr>
        <w:fldChar w:fldCharType="separate"/>
      </w:r>
      <w:r w:rsidR="00B616E1">
        <w:rPr>
          <w:noProof/>
          <w:lang w:val="en-GB"/>
        </w:rPr>
        <w:t>1</w:t>
      </w:r>
      <w:r>
        <w:rPr>
          <w:lang w:val="en-GB"/>
        </w:rPr>
        <w:fldChar w:fldCharType="end"/>
      </w:r>
      <w:r>
        <w:rPr>
          <w:lang w:val="en-GB"/>
        </w:rPr>
        <w:t>: Option 1: DL WBB ECS in 1452-1492 MHz</w:t>
      </w:r>
      <w:r>
        <w:rPr>
          <w:rStyle w:val="FootnoteReference"/>
          <w:lang w:val="en-GB"/>
        </w:rPr>
        <w:footnoteReference w:id="13"/>
      </w:r>
    </w:p>
    <w:p w14:paraId="684DFD87" w14:textId="77777777" w:rsidR="00954C83" w:rsidRDefault="00954C83" w:rsidP="00954C83">
      <w:pPr>
        <w:rPr>
          <w:lang w:val="en-GB"/>
        </w:rPr>
      </w:pPr>
    </w:p>
    <w:p w14:paraId="684DFD88" w14:textId="77777777" w:rsidR="00954C83" w:rsidRDefault="00954C83" w:rsidP="00954C83">
      <w:pPr>
        <w:rPr>
          <w:lang w:val="en-GB"/>
        </w:rPr>
      </w:pPr>
    </w:p>
    <w:p w14:paraId="684DFD89" w14:textId="77777777" w:rsidR="00954C83" w:rsidRDefault="002F6193" w:rsidP="00954C83">
      <w:pPr>
        <w:pStyle w:val="ECCParagraph"/>
        <w:keepNext/>
        <w:jc w:val="center"/>
      </w:pPr>
      <w:r>
        <w:rPr>
          <w:noProof/>
          <w:lang w:val="da-DK" w:eastAsia="da-DK"/>
        </w:rPr>
        <w:drawing>
          <wp:inline distT="0" distB="0" distL="0" distR="0" wp14:anchorId="684DFDAB" wp14:editId="684DFDAC">
            <wp:extent cx="5781600" cy="163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1600" cy="1630800"/>
                    </a:xfrm>
                    <a:prstGeom prst="rect">
                      <a:avLst/>
                    </a:prstGeom>
                    <a:noFill/>
                  </pic:spPr>
                </pic:pic>
              </a:graphicData>
            </a:graphic>
          </wp:inline>
        </w:drawing>
      </w:r>
    </w:p>
    <w:p w14:paraId="684DFD8A" w14:textId="77777777" w:rsidR="00954C83" w:rsidRDefault="00954C83" w:rsidP="00954C83">
      <w:pPr>
        <w:pStyle w:val="Caption"/>
        <w:rPr>
          <w:lang w:val="en-GB"/>
        </w:rPr>
      </w:pPr>
      <w:r>
        <w:rPr>
          <w:lang w:val="en-GB"/>
        </w:rPr>
        <w:t xml:space="preserve">Figure </w:t>
      </w:r>
      <w:r>
        <w:rPr>
          <w:lang w:val="en-GB"/>
        </w:rPr>
        <w:fldChar w:fldCharType="begin"/>
      </w:r>
      <w:r>
        <w:rPr>
          <w:lang w:val="en-GB"/>
        </w:rPr>
        <w:instrText xml:space="preserve"> SEQ Figure \* ARABIC </w:instrText>
      </w:r>
      <w:r>
        <w:rPr>
          <w:lang w:val="en-GB"/>
        </w:rPr>
        <w:fldChar w:fldCharType="separate"/>
      </w:r>
      <w:r w:rsidR="00B616E1">
        <w:rPr>
          <w:noProof/>
          <w:lang w:val="en-GB"/>
        </w:rPr>
        <w:t>2</w:t>
      </w:r>
      <w:r>
        <w:rPr>
          <w:lang w:val="en-GB"/>
        </w:rPr>
        <w:fldChar w:fldCharType="end"/>
      </w:r>
      <w:r>
        <w:rPr>
          <w:lang w:val="en-GB"/>
        </w:rPr>
        <w:t>: Option 2: DL WBB ECS in 1427-1492 MHz</w:t>
      </w:r>
      <w:r>
        <w:rPr>
          <w:rStyle w:val="FootnoteReference"/>
          <w:lang w:val="en-GB"/>
        </w:rPr>
        <w:footnoteReference w:id="14"/>
      </w:r>
    </w:p>
    <w:p w14:paraId="684DFD8B" w14:textId="77777777" w:rsidR="00954C83" w:rsidRDefault="00954C83" w:rsidP="00954C83">
      <w:pPr>
        <w:rPr>
          <w:lang w:val="en-GB"/>
        </w:rPr>
      </w:pPr>
    </w:p>
    <w:p w14:paraId="684DFD8C" w14:textId="77777777" w:rsidR="00954C83" w:rsidRDefault="00954C83" w:rsidP="00954C83">
      <w:pPr>
        <w:pStyle w:val="ECCParagraph"/>
        <w:keepNext/>
        <w:jc w:val="center"/>
      </w:pPr>
      <w:r>
        <w:rPr>
          <w:noProof/>
          <w:lang w:val="da-DK" w:eastAsia="da-DK"/>
        </w:rPr>
        <w:drawing>
          <wp:inline distT="0" distB="0" distL="0" distR="0" wp14:anchorId="684DFDAD" wp14:editId="684DFDAE">
            <wp:extent cx="5781600" cy="1630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1600" cy="1630800"/>
                    </a:xfrm>
                    <a:prstGeom prst="rect">
                      <a:avLst/>
                    </a:prstGeom>
                    <a:noFill/>
                  </pic:spPr>
                </pic:pic>
              </a:graphicData>
            </a:graphic>
          </wp:inline>
        </w:drawing>
      </w:r>
    </w:p>
    <w:p w14:paraId="684DFD8D" w14:textId="77777777" w:rsidR="00954C83" w:rsidRDefault="00954C83" w:rsidP="00954C83">
      <w:pPr>
        <w:pStyle w:val="Caption"/>
        <w:rPr>
          <w:lang w:val="en-GB"/>
        </w:rPr>
      </w:pPr>
      <w:r>
        <w:rPr>
          <w:lang w:val="en-GB"/>
        </w:rPr>
        <w:t xml:space="preserve">Figure </w:t>
      </w:r>
      <w:r>
        <w:rPr>
          <w:lang w:val="en-GB"/>
        </w:rPr>
        <w:fldChar w:fldCharType="begin"/>
      </w:r>
      <w:r>
        <w:rPr>
          <w:lang w:val="en-GB"/>
        </w:rPr>
        <w:instrText xml:space="preserve"> SEQ Figure \* ARABIC </w:instrText>
      </w:r>
      <w:r>
        <w:rPr>
          <w:lang w:val="en-GB"/>
        </w:rPr>
        <w:fldChar w:fldCharType="separate"/>
      </w:r>
      <w:r w:rsidR="00B616E1">
        <w:rPr>
          <w:noProof/>
          <w:lang w:val="en-GB"/>
        </w:rPr>
        <w:t>3</w:t>
      </w:r>
      <w:r>
        <w:rPr>
          <w:lang w:val="en-GB"/>
        </w:rPr>
        <w:fldChar w:fldCharType="end"/>
      </w:r>
      <w:r>
        <w:rPr>
          <w:lang w:val="en-GB"/>
        </w:rPr>
        <w:t>: Option 3: DL WBB ECS in 1452-1517 MHz</w:t>
      </w:r>
      <w:r>
        <w:rPr>
          <w:rStyle w:val="FootnoteReference"/>
          <w:lang w:val="en-GB"/>
        </w:rPr>
        <w:footnoteReference w:id="15"/>
      </w:r>
    </w:p>
    <w:p w14:paraId="684DFD8E" w14:textId="77777777" w:rsidR="00954C83" w:rsidRDefault="00954C83" w:rsidP="00954C83">
      <w:pPr>
        <w:pStyle w:val="ECCParagraph"/>
      </w:pPr>
    </w:p>
    <w:p w14:paraId="684DFD8F" w14:textId="77777777" w:rsidR="00954C83" w:rsidRDefault="00954C83" w:rsidP="00954C83">
      <w:pPr>
        <w:pStyle w:val="ECCParagraph"/>
        <w:keepNext/>
        <w:jc w:val="center"/>
      </w:pPr>
    </w:p>
    <w:p w14:paraId="684DFD90" w14:textId="77777777" w:rsidR="00954C83" w:rsidRDefault="00954C83" w:rsidP="00954C83">
      <w:pPr>
        <w:pStyle w:val="ECCParagraph"/>
        <w:keepNext/>
        <w:jc w:val="center"/>
      </w:pPr>
      <w:r>
        <w:rPr>
          <w:noProof/>
          <w:lang w:val="da-DK" w:eastAsia="da-DK"/>
        </w:rPr>
        <w:drawing>
          <wp:inline distT="0" distB="0" distL="0" distR="0" wp14:anchorId="684DFDAF" wp14:editId="684DFDB0">
            <wp:extent cx="5779008" cy="151790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9008" cy="1517904"/>
                    </a:xfrm>
                    <a:prstGeom prst="rect">
                      <a:avLst/>
                    </a:prstGeom>
                    <a:noFill/>
                  </pic:spPr>
                </pic:pic>
              </a:graphicData>
            </a:graphic>
          </wp:inline>
        </w:drawing>
      </w:r>
    </w:p>
    <w:p w14:paraId="684DFD91" w14:textId="77777777" w:rsidR="00954C83" w:rsidRDefault="00954C83" w:rsidP="00954C83">
      <w:pPr>
        <w:pStyle w:val="Caption"/>
        <w:rPr>
          <w:lang w:val="en-GB"/>
        </w:rPr>
      </w:pPr>
      <w:r>
        <w:rPr>
          <w:lang w:val="en-GB"/>
        </w:rPr>
        <w:t xml:space="preserve">Figure </w:t>
      </w:r>
      <w:r>
        <w:rPr>
          <w:lang w:val="en-GB"/>
        </w:rPr>
        <w:fldChar w:fldCharType="begin"/>
      </w:r>
      <w:r>
        <w:rPr>
          <w:lang w:val="en-GB"/>
        </w:rPr>
        <w:instrText xml:space="preserve"> SEQ Figure \* ARABIC </w:instrText>
      </w:r>
      <w:r>
        <w:rPr>
          <w:lang w:val="en-GB"/>
        </w:rPr>
        <w:fldChar w:fldCharType="separate"/>
      </w:r>
      <w:r w:rsidR="00B616E1">
        <w:rPr>
          <w:noProof/>
          <w:lang w:val="en-GB"/>
        </w:rPr>
        <w:t>4</w:t>
      </w:r>
      <w:r>
        <w:rPr>
          <w:lang w:val="en-GB"/>
        </w:rPr>
        <w:fldChar w:fldCharType="end"/>
      </w:r>
      <w:r>
        <w:rPr>
          <w:lang w:val="en-GB"/>
        </w:rPr>
        <w:t>:</w:t>
      </w:r>
      <w:r w:rsidR="00FF7010">
        <w:rPr>
          <w:lang w:val="en-GB"/>
        </w:rPr>
        <w:t xml:space="preserve"> </w:t>
      </w:r>
      <w:r>
        <w:rPr>
          <w:lang w:val="en-GB"/>
        </w:rPr>
        <w:t>Option 4: DL WBB ECS in 1427-1517 MHz</w:t>
      </w:r>
      <w:r>
        <w:rPr>
          <w:rStyle w:val="FootnoteReference"/>
          <w:lang w:val="en-GB"/>
        </w:rPr>
        <w:footnoteReference w:id="16"/>
      </w:r>
    </w:p>
    <w:p w14:paraId="684DFD92" w14:textId="77777777" w:rsidR="00954C83" w:rsidRDefault="00954C83" w:rsidP="00954C83">
      <w:pPr>
        <w:pStyle w:val="ECCAnnexheading1"/>
        <w:jc w:val="left"/>
      </w:pPr>
      <w:bookmarkStart w:id="96" w:name="_Toc492574954"/>
      <w:bookmarkStart w:id="97" w:name="_Toc498934675"/>
      <w:r>
        <w:lastRenderedPageBreak/>
        <w:t>List of reference</w:t>
      </w:r>
      <w:bookmarkEnd w:id="96"/>
      <w:bookmarkEnd w:id="97"/>
    </w:p>
    <w:p w14:paraId="684DFD93" w14:textId="77777777" w:rsidR="00954C83" w:rsidRDefault="00954C83" w:rsidP="00B926F4">
      <w:pPr>
        <w:pStyle w:val="reference"/>
        <w:numPr>
          <w:ilvl w:val="0"/>
          <w:numId w:val="4"/>
        </w:numPr>
        <w:rPr>
          <w:lang w:val="en-GB"/>
        </w:rPr>
      </w:pPr>
      <w:bookmarkStart w:id="98" w:name="_Ref481767554"/>
      <w:r>
        <w:rPr>
          <w:lang w:val="en-GB"/>
        </w:rPr>
        <w:t>EC Decision (EU) 2015/750: Commission Implementing Decision of 8 May 2015 on the harmonisation of the 1452-1492 MHz frequency band for terrestrial systems capable of providing electronic communications services in the Union</w:t>
      </w:r>
      <w:bookmarkEnd w:id="98"/>
      <w:r>
        <w:rPr>
          <w:lang w:val="en-GB"/>
        </w:rPr>
        <w:t>, May 2015</w:t>
      </w:r>
    </w:p>
    <w:p w14:paraId="684DFD94" w14:textId="77777777" w:rsidR="00954C83" w:rsidRDefault="00954C83" w:rsidP="00B926F4">
      <w:pPr>
        <w:pStyle w:val="ECCReference"/>
        <w:numPr>
          <w:ilvl w:val="0"/>
          <w:numId w:val="4"/>
        </w:numPr>
      </w:pPr>
      <w:bookmarkStart w:id="99" w:name="_Ref481765869"/>
      <w:r>
        <w:t>ITU Radio Regulations Edition of 2016</w:t>
      </w:r>
      <w:bookmarkEnd w:id="99"/>
    </w:p>
    <w:p w14:paraId="684DFD95" w14:textId="77777777" w:rsidR="00954C83" w:rsidRDefault="00954C83" w:rsidP="00B926F4">
      <w:pPr>
        <w:pStyle w:val="reference"/>
        <w:numPr>
          <w:ilvl w:val="0"/>
          <w:numId w:val="4"/>
        </w:numPr>
        <w:rPr>
          <w:lang w:val="en-GB"/>
        </w:rPr>
      </w:pPr>
      <w:bookmarkStart w:id="100" w:name="_Ref482004585"/>
      <w:r>
        <w:rPr>
          <w:lang w:val="en-GB"/>
        </w:rPr>
        <w:t>ERC Report 25: The European table of frequency allocations and applications in the frequency range 8.3 kHz to 3000 GHz, June 2016</w:t>
      </w:r>
      <w:bookmarkEnd w:id="100"/>
    </w:p>
    <w:p w14:paraId="684DFD96" w14:textId="77777777" w:rsidR="00954C83" w:rsidRDefault="00954C83" w:rsidP="00B926F4">
      <w:pPr>
        <w:pStyle w:val="ECCReference"/>
        <w:numPr>
          <w:ilvl w:val="0"/>
          <w:numId w:val="4"/>
        </w:numPr>
      </w:pPr>
      <w:bookmarkStart w:id="101" w:name="_Ref481766000"/>
      <w:bookmarkStart w:id="102" w:name="_Ref482004278"/>
      <w:r>
        <w:t xml:space="preserve">ECC Decision (04)09: Designation of the bands 1518-1525 MHz and 1670-1675 MHz for the </w:t>
      </w:r>
      <w:r>
        <w:br/>
        <w:t>Mobile-Satellite Servic</w:t>
      </w:r>
      <w:bookmarkEnd w:id="101"/>
      <w:r>
        <w:t>e</w:t>
      </w:r>
      <w:bookmarkEnd w:id="102"/>
      <w:r>
        <w:t>, November 2004 and amended June 2009</w:t>
      </w:r>
    </w:p>
    <w:p w14:paraId="684DFD97" w14:textId="77777777" w:rsidR="00954C83" w:rsidRPr="00FF7010" w:rsidRDefault="00954C83" w:rsidP="00B926F4">
      <w:pPr>
        <w:pStyle w:val="ECCReference"/>
        <w:numPr>
          <w:ilvl w:val="0"/>
          <w:numId w:val="4"/>
        </w:numPr>
      </w:pPr>
      <w:bookmarkStart w:id="103" w:name="_Ref481764288"/>
      <w:r>
        <w:t xml:space="preserve">ECC Report 263: Adjacent band compatibility studies between IMT operating in the frequency band </w:t>
      </w:r>
      <w:r w:rsidRPr="00FF7010">
        <w:t>1492-1518 MHz and the MSS operating in the frequency band 1518-1525 MHz, March 2017</w:t>
      </w:r>
      <w:bookmarkEnd w:id="103"/>
    </w:p>
    <w:p w14:paraId="684DFD98" w14:textId="77777777" w:rsidR="00954C83" w:rsidRPr="00FF7010" w:rsidRDefault="00954C83" w:rsidP="00B926F4">
      <w:pPr>
        <w:pStyle w:val="reference"/>
        <w:numPr>
          <w:ilvl w:val="0"/>
          <w:numId w:val="4"/>
        </w:numPr>
      </w:pPr>
      <w:bookmarkStart w:id="104" w:name="_Ref492575184"/>
      <w:r w:rsidRPr="00FF7010">
        <w:t>ECC Report 269</w:t>
      </w:r>
      <w:bookmarkEnd w:id="104"/>
      <w:r w:rsidRPr="00FF7010">
        <w:t xml:space="preserve">: </w:t>
      </w:r>
      <w:r w:rsidRPr="00FF7010">
        <w:rPr>
          <w:rFonts w:eastAsia="Calibri"/>
          <w:szCs w:val="22"/>
          <w:lang w:val="en-GB"/>
        </w:rPr>
        <w:t>Least restrictive technical conditions for Mobile/Fixed Communications Networks in 1427-1452 MHz and 1492-1518 MHz, November 2017</w:t>
      </w:r>
    </w:p>
    <w:p w14:paraId="684DFD99" w14:textId="77777777" w:rsidR="00954C83" w:rsidRDefault="00954C83" w:rsidP="00B926F4">
      <w:pPr>
        <w:pStyle w:val="ECCReference"/>
        <w:numPr>
          <w:ilvl w:val="0"/>
          <w:numId w:val="4"/>
        </w:numPr>
      </w:pPr>
      <w:bookmarkStart w:id="105" w:name="_Ref481765799"/>
      <w:r>
        <w:t>ECC Report 202: Out-of-Band emission limits for Mobile/Fixed Communication Networks (MFCN) Supplemental Downlink (SDL) operating in the 1452-1492 MHz band, September 2013</w:t>
      </w:r>
      <w:bookmarkEnd w:id="105"/>
    </w:p>
    <w:p w14:paraId="684DFD9A" w14:textId="77777777" w:rsidR="00954C83" w:rsidRDefault="00954C83" w:rsidP="00B926F4">
      <w:pPr>
        <w:pStyle w:val="ECCReference"/>
        <w:numPr>
          <w:ilvl w:val="0"/>
          <w:numId w:val="4"/>
        </w:numPr>
      </w:pPr>
      <w:bookmarkStart w:id="106" w:name="_Ref482006118"/>
      <w:r>
        <w:t>ECC Report 45: Sharing and adjacent band compatibility between UMTS/IMT-2000 in the band 2500-2690 MHz and other services, February 2004</w:t>
      </w:r>
      <w:bookmarkEnd w:id="106"/>
    </w:p>
    <w:p w14:paraId="684DFD9B" w14:textId="77777777" w:rsidR="00954C83" w:rsidRDefault="00954C83" w:rsidP="00B926F4">
      <w:pPr>
        <w:pStyle w:val="ECCReference"/>
        <w:numPr>
          <w:ilvl w:val="0"/>
          <w:numId w:val="4"/>
        </w:numPr>
      </w:pPr>
      <w:bookmarkStart w:id="107" w:name="_Ref482006126"/>
      <w:r>
        <w:t>ERC Report 64: Frequency sharing between UMTS and existing fixed services, May 1999</w:t>
      </w:r>
      <w:bookmarkEnd w:id="107"/>
    </w:p>
    <w:p w14:paraId="684DFD9C" w14:textId="77777777" w:rsidR="00954C83" w:rsidRDefault="00954C83" w:rsidP="00B926F4">
      <w:pPr>
        <w:pStyle w:val="reference"/>
        <w:numPr>
          <w:ilvl w:val="0"/>
          <w:numId w:val="4"/>
        </w:numPr>
        <w:rPr>
          <w:lang w:val="en-GB"/>
        </w:rPr>
      </w:pPr>
      <w:bookmarkStart w:id="108" w:name="_Ref482006194"/>
      <w:r>
        <w:rPr>
          <w:lang w:val="en-GB"/>
        </w:rPr>
        <w:t xml:space="preserve">CEPT Report 54: </w:t>
      </w:r>
      <w:r>
        <w:rPr>
          <w:rFonts w:eastAsia="Calibri"/>
          <w:szCs w:val="22"/>
          <w:lang w:val="en-GB"/>
        </w:rPr>
        <w:t>Harmonised technical conditions in the 1452-1492 MHz frequency band for wireless broadband electronic communications, November 2014</w:t>
      </w:r>
      <w:bookmarkEnd w:id="108"/>
    </w:p>
    <w:p w14:paraId="684DFD9D" w14:textId="77777777" w:rsidR="00954C83" w:rsidRDefault="00954C83" w:rsidP="00B926F4">
      <w:pPr>
        <w:pStyle w:val="ECCReference"/>
        <w:numPr>
          <w:ilvl w:val="0"/>
          <w:numId w:val="4"/>
        </w:numPr>
      </w:pPr>
      <w:bookmarkStart w:id="109" w:name="_Ref481765313"/>
      <w:r>
        <w:t>ECC Decision (13)03: The harmonised use of the frequency band 1452-1492 MHz for Mobile/Fixed Communications Networks Supplemental Downlink (MFCN SDL)</w:t>
      </w:r>
      <w:bookmarkEnd w:id="109"/>
      <w:r>
        <w:t>, November 2013 and amended July 2015</w:t>
      </w:r>
    </w:p>
    <w:p w14:paraId="684DFD9E" w14:textId="77777777" w:rsidR="00975E33" w:rsidRDefault="00975E33" w:rsidP="00975E33">
      <w:pPr>
        <w:pStyle w:val="reference"/>
      </w:pPr>
      <w:bookmarkStart w:id="110" w:name="_Ref498935212"/>
      <w:r>
        <w:t xml:space="preserve">ECC Decision (17)06: </w:t>
      </w:r>
      <w:r w:rsidRPr="00975E33">
        <w:rPr>
          <w:rFonts w:eastAsia="Calibri"/>
          <w:szCs w:val="22"/>
          <w:lang w:val="en-GB"/>
        </w:rPr>
        <w:t>The harmonised use of the frequency bands 1427-1452 MHz and 1492-1518 MHz for Mobile/Fixed Communications Networks Supplemental Downlink (MFCN SDL)</w:t>
      </w:r>
      <w:r>
        <w:rPr>
          <w:rFonts w:eastAsia="Calibri"/>
          <w:szCs w:val="22"/>
          <w:lang w:val="en-GB"/>
        </w:rPr>
        <w:t>, a</w:t>
      </w:r>
      <w:r w:rsidRPr="00975E33">
        <w:rPr>
          <w:rFonts w:eastAsia="Calibri"/>
          <w:szCs w:val="22"/>
          <w:lang w:val="en-GB"/>
        </w:rPr>
        <w:t>pproved 17 November 2017</w:t>
      </w:r>
      <w:bookmarkEnd w:id="110"/>
    </w:p>
    <w:p w14:paraId="684DFD9F" w14:textId="77777777" w:rsidR="00AB46DF" w:rsidRDefault="00AB46DF" w:rsidP="00AB46DF">
      <w:pPr>
        <w:pStyle w:val="ECCParagraph"/>
      </w:pPr>
    </w:p>
    <w:p w14:paraId="684DFDA0" w14:textId="77777777" w:rsidR="00AB46DF" w:rsidRPr="00F15DB6" w:rsidRDefault="00AB46DF" w:rsidP="00AB46DF">
      <w:pPr>
        <w:spacing w:before="120" w:after="120"/>
        <w:jc w:val="both"/>
        <w:rPr>
          <w:szCs w:val="20"/>
        </w:rPr>
      </w:pPr>
      <w:bookmarkStart w:id="111" w:name="_GoBack"/>
      <w:bookmarkEnd w:id="111"/>
    </w:p>
    <w:sectPr w:rsidR="00AB46DF" w:rsidRPr="00F15DB6"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6D040" w14:textId="77777777" w:rsidR="00D63534" w:rsidRDefault="00D63534" w:rsidP="00AB46DF">
      <w:r>
        <w:separator/>
      </w:r>
    </w:p>
  </w:endnote>
  <w:endnote w:type="continuationSeparator" w:id="0">
    <w:p w14:paraId="581701AF" w14:textId="77777777" w:rsidR="00D63534" w:rsidRDefault="00D63534"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0956A" w14:textId="77777777" w:rsidR="00D63534" w:rsidRDefault="00D63534" w:rsidP="00AB46DF">
      <w:r>
        <w:separator/>
      </w:r>
    </w:p>
  </w:footnote>
  <w:footnote w:type="continuationSeparator" w:id="0">
    <w:p w14:paraId="3BBDF161" w14:textId="77777777" w:rsidR="00D63534" w:rsidRDefault="00D63534" w:rsidP="00AB46DF">
      <w:r>
        <w:continuationSeparator/>
      </w:r>
    </w:p>
  </w:footnote>
  <w:footnote w:id="1">
    <w:p w14:paraId="684DFDC1" w14:textId="77777777" w:rsidR="00D63534" w:rsidRDefault="00D63534" w:rsidP="00812153">
      <w:pPr>
        <w:pStyle w:val="ECCFootnote"/>
        <w:rPr>
          <w:lang w:val="en-GB"/>
        </w:rPr>
      </w:pPr>
      <w:r>
        <w:rPr>
          <w:rStyle w:val="FootnoteReference"/>
        </w:rPr>
        <w:footnoteRef/>
      </w:r>
      <w:r>
        <w:t xml:space="preserve">European Frequency Information System: </w:t>
      </w:r>
      <w:hyperlink r:id="rId1" w:history="1">
        <w:r>
          <w:rPr>
            <w:rStyle w:val="Hyperlink"/>
            <w:lang w:val="en-GB"/>
          </w:rPr>
          <w:t>www.efis.dk</w:t>
        </w:r>
      </w:hyperlink>
      <w:r>
        <w:rPr>
          <w:lang w:val="en-GB"/>
        </w:rPr>
        <w:t xml:space="preserve"> </w:t>
      </w:r>
    </w:p>
  </w:footnote>
  <w:footnote w:id="2">
    <w:p w14:paraId="684DFDC2" w14:textId="77777777" w:rsidR="00D63534" w:rsidRPr="00D42DA3" w:rsidRDefault="00D63534" w:rsidP="00E7502F">
      <w:pPr>
        <w:pStyle w:val="FootnoteText"/>
        <w:rPr>
          <w:sz w:val="16"/>
          <w:szCs w:val="16"/>
        </w:rPr>
      </w:pPr>
      <w:r w:rsidRPr="0004037D">
        <w:rPr>
          <w:rStyle w:val="FootnoteReference"/>
        </w:rPr>
        <w:footnoteRef/>
      </w:r>
      <w:r w:rsidRPr="0004037D">
        <w:t xml:space="preserve"> </w:t>
      </w:r>
      <w:r w:rsidRPr="00532BDB">
        <w:rPr>
          <w:sz w:val="16"/>
          <w:szCs w:val="16"/>
        </w:rPr>
        <w:t>As example It shall be noted that CEPT recently published harmonised technical conditions for the usage of fixed links in the 6 GHz (see relevant ECC recommendation 14(06)).</w:t>
      </w:r>
    </w:p>
  </w:footnote>
  <w:footnote w:id="3">
    <w:p w14:paraId="684DFDC3" w14:textId="77777777" w:rsidR="00D63534" w:rsidRDefault="00D63534" w:rsidP="00E7502F">
      <w:pPr>
        <w:pStyle w:val="ECCFootnote"/>
      </w:pPr>
      <w:r>
        <w:rPr>
          <w:rStyle w:val="FootnoteReference"/>
        </w:rPr>
        <w:footnoteRef/>
      </w:r>
      <w:r>
        <w:t xml:space="preserve"> ECC/DEC/(04)09 </w:t>
      </w:r>
      <w:r>
        <w:fldChar w:fldCharType="begin"/>
      </w:r>
      <w:r>
        <w:instrText xml:space="preserve"> REF _Ref482004278 \r \h  \* MERGEFORMAT </w:instrText>
      </w:r>
      <w:r>
        <w:fldChar w:fldCharType="separate"/>
      </w:r>
      <w:r>
        <w:t>[4]</w:t>
      </w:r>
      <w:r>
        <w:fldChar w:fldCharType="end"/>
      </w:r>
    </w:p>
  </w:footnote>
  <w:footnote w:id="4">
    <w:p w14:paraId="684DFDC4" w14:textId="77777777" w:rsidR="00D63534" w:rsidRDefault="00D63534" w:rsidP="00954C83">
      <w:pPr>
        <w:pStyle w:val="ECCFootnote"/>
        <w:rPr>
          <w:lang w:val="en-GB"/>
        </w:rPr>
      </w:pPr>
      <w:r>
        <w:rPr>
          <w:rStyle w:val="FootnoteReference"/>
        </w:rPr>
        <w:footnoteRef/>
      </w:r>
      <w:r>
        <w:rPr>
          <w:lang w:val="en-GB"/>
        </w:rPr>
        <w:t xml:space="preserve"> The unwanted emission power level is to be understood here as the level measured at the antenna port.</w:t>
      </w:r>
    </w:p>
  </w:footnote>
  <w:footnote w:id="5">
    <w:p w14:paraId="684DFDC5" w14:textId="77777777" w:rsidR="00D63534" w:rsidRDefault="00D63534" w:rsidP="00954C83">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Decision No 243/2012/EU of the European Parliament and of the Council of 14 March 2012 establishing a multiannual radio spectrum policy </w:t>
      </w:r>
      <w:proofErr w:type="spellStart"/>
      <w:r>
        <w:rPr>
          <w:rFonts w:ascii="Times New Roman" w:hAnsi="Times New Roman"/>
          <w:sz w:val="18"/>
          <w:szCs w:val="18"/>
        </w:rPr>
        <w:t>programme</w:t>
      </w:r>
      <w:proofErr w:type="spellEnd"/>
      <w:r>
        <w:rPr>
          <w:rFonts w:ascii="Times New Roman" w:hAnsi="Times New Roman"/>
          <w:sz w:val="18"/>
          <w:szCs w:val="18"/>
        </w:rPr>
        <w:t>, OJ L 81, 21.3.2012, p. 7</w:t>
      </w:r>
    </w:p>
  </w:footnote>
  <w:footnote w:id="6">
    <w:p w14:paraId="684DFDC6" w14:textId="77777777" w:rsidR="00D63534" w:rsidRDefault="00D63534" w:rsidP="00954C83">
      <w:pPr>
        <w:pStyle w:val="FootnoteText"/>
        <w:rPr>
          <w:rFonts w:ascii="Times New Roman" w:hAnsi="Times New Roman"/>
          <w:b/>
          <w:bCs/>
          <w:sz w:val="18"/>
          <w:szCs w:val="18"/>
          <w:highlight w:val="yellow"/>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bCs/>
          <w:sz w:val="18"/>
          <w:szCs w:val="18"/>
        </w:rPr>
        <w:t>Connectivity for a Competitive Digital Single Market - Towards a European Gigabit Society COM (206) 587 final, and 5G for Europe: An Action Plan COM (2016) 306 final.</w:t>
      </w:r>
    </w:p>
  </w:footnote>
  <w:footnote w:id="7">
    <w:p w14:paraId="684DFDC7" w14:textId="77777777" w:rsidR="00D63534" w:rsidRDefault="00D63534" w:rsidP="00954C83">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The ITU Radio Regulations provide relevant limits of unwanted emissions for the band 1400-1427 MHz as to wireless broadband use in the band 1427- 1452MHz.</w:t>
      </w:r>
    </w:p>
  </w:footnote>
  <w:footnote w:id="8">
    <w:p w14:paraId="684DFDC8" w14:textId="77777777" w:rsidR="00D63534" w:rsidRDefault="00D63534" w:rsidP="00954C83">
      <w:pPr>
        <w:pStyle w:val="FootnoteText"/>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hyperlink r:id="rId2" w:history="1">
        <w:r>
          <w:rPr>
            <w:rStyle w:val="Hyperlink"/>
            <w:rFonts w:ascii="Times New Roman" w:hAnsi="Times New Roman"/>
            <w:sz w:val="18"/>
            <w:szCs w:val="18"/>
          </w:rPr>
          <w:t>http://eur-lex.europa.eu/legal-content/EN/TXT/?qid=1431416821549&amp;uri=OJ:JOL_2015_119_R_0006</w:t>
        </w:r>
      </w:hyperlink>
      <w:r>
        <w:rPr>
          <w:rFonts w:ascii="Times New Roman" w:hAnsi="Times New Roman"/>
          <w:sz w:val="18"/>
          <w:szCs w:val="18"/>
        </w:rPr>
        <w:t xml:space="preserve"> </w:t>
      </w:r>
    </w:p>
  </w:footnote>
  <w:footnote w:id="9">
    <w:p w14:paraId="684DFDC9" w14:textId="77777777" w:rsidR="00D63534" w:rsidRDefault="00D63534" w:rsidP="00954C8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That figure includes spectrum already in use.</w:t>
      </w:r>
    </w:p>
  </w:footnote>
  <w:footnote w:id="10">
    <w:p w14:paraId="684DFDCA" w14:textId="77777777" w:rsidR="00D63534" w:rsidRDefault="00D63534" w:rsidP="00954C83">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Enshrined in the RSPP and the Radio Spectrum Decision</w:t>
      </w:r>
    </w:p>
  </w:footnote>
  <w:footnote w:id="11">
    <w:p w14:paraId="684DFDCB" w14:textId="77777777" w:rsidR="00D63534" w:rsidRDefault="00D63534" w:rsidP="00954C83">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Subject to a public consultation</w:t>
      </w:r>
    </w:p>
  </w:footnote>
  <w:footnote w:id="12">
    <w:p w14:paraId="684DFDCC" w14:textId="77777777" w:rsidR="00D63534" w:rsidRDefault="00D63534" w:rsidP="00954C83">
      <w:pPr>
        <w:pStyle w:val="ECCFootnote"/>
        <w:rPr>
          <w:lang w:val="en-GB"/>
        </w:rPr>
      </w:pPr>
      <w:r>
        <w:rPr>
          <w:rStyle w:val="FootnoteReference"/>
        </w:rPr>
        <w:footnoteRef/>
      </w:r>
      <w:r>
        <w:rPr>
          <w:lang w:val="en-GB"/>
        </w:rPr>
        <w:t xml:space="preserve"> The unwanted emission power level is to be understood here as the level measured at the antenna port.</w:t>
      </w:r>
    </w:p>
  </w:footnote>
  <w:footnote w:id="13">
    <w:p w14:paraId="684DFDCD" w14:textId="77777777" w:rsidR="00D63534" w:rsidRDefault="00D63534" w:rsidP="00954C83">
      <w:pPr>
        <w:pStyle w:val="ECCFootnote"/>
        <w:rPr>
          <w:lang w:val="en-GB"/>
        </w:rPr>
      </w:pPr>
      <w:r>
        <w:rPr>
          <w:rStyle w:val="FootnoteReference"/>
        </w:rPr>
        <w:footnoteRef/>
      </w:r>
      <w:r>
        <w:t xml:space="preserve"> </w:t>
      </w:r>
      <w:r>
        <w:rPr>
          <w:lang w:val="en-GB"/>
        </w:rPr>
        <w:t>Example specification: 3GPP Band 32</w:t>
      </w:r>
    </w:p>
  </w:footnote>
  <w:footnote w:id="14">
    <w:p w14:paraId="684DFDCE" w14:textId="77777777" w:rsidR="00D63534" w:rsidRPr="00532BDB" w:rsidRDefault="00D63534" w:rsidP="00954C83">
      <w:pPr>
        <w:pStyle w:val="ECCFootnote"/>
      </w:pPr>
      <w:r>
        <w:rPr>
          <w:rStyle w:val="FootnoteReference"/>
        </w:rPr>
        <w:footnoteRef/>
      </w:r>
      <w:r>
        <w:t xml:space="preserve"> </w:t>
      </w:r>
      <w:r>
        <w:rPr>
          <w:lang w:val="en-GB"/>
        </w:rPr>
        <w:t>Example specification: 3GPP Band 1427-1432 MHz and 1432-1517 MHz in 1427-1452 MHz, 3GPP Band 32 in 1452-1492 MHz</w:t>
      </w:r>
    </w:p>
  </w:footnote>
  <w:footnote w:id="15">
    <w:p w14:paraId="684DFDCF" w14:textId="77777777" w:rsidR="00D63534" w:rsidRDefault="00D63534" w:rsidP="00954C83">
      <w:pPr>
        <w:pStyle w:val="ECCFootnote"/>
        <w:rPr>
          <w:lang w:val="en-GB"/>
        </w:rPr>
      </w:pPr>
      <w:r>
        <w:rPr>
          <w:rStyle w:val="FootnoteReference"/>
        </w:rPr>
        <w:footnoteRef/>
      </w:r>
      <w:r>
        <w:t xml:space="preserve"> </w:t>
      </w:r>
      <w:r>
        <w:rPr>
          <w:lang w:val="en-GB"/>
        </w:rPr>
        <w:t>Example specification: 3GPP Band 32 in 1452-1492 MHz, 3GPP Band 1432-1517 in 1492-1517 MHz</w:t>
      </w:r>
    </w:p>
  </w:footnote>
  <w:footnote w:id="16">
    <w:p w14:paraId="684DFDD0" w14:textId="77777777" w:rsidR="00D63534" w:rsidRDefault="00D63534" w:rsidP="00954C83">
      <w:pPr>
        <w:pStyle w:val="ECCFootnote"/>
        <w:rPr>
          <w:lang w:val="en-GB"/>
        </w:rPr>
      </w:pPr>
      <w:r>
        <w:rPr>
          <w:rStyle w:val="FootnoteReference"/>
        </w:rPr>
        <w:footnoteRef/>
      </w:r>
      <w:r>
        <w:t xml:space="preserve"> </w:t>
      </w:r>
      <w:r>
        <w:rPr>
          <w:lang w:val="en-GB"/>
        </w:rPr>
        <w:t>Example specification: 3GPP Band 1427-1432 MHz and 1432-1517 MHz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DFDB5" w14:textId="77777777" w:rsidR="00D63534" w:rsidRPr="007C5F95" w:rsidRDefault="00D63534">
    <w:pPr>
      <w:pStyle w:val="Header"/>
      <w:rPr>
        <w:b w:val="0"/>
        <w:lang w:val="da-DK"/>
      </w:rPr>
    </w:pPr>
    <w:r w:rsidRPr="007C5F95">
      <w:rPr>
        <w:b w:val="0"/>
        <w:lang w:val="da-DK"/>
      </w:rPr>
      <w:t>Draft ECC REPORT XXX</w:t>
    </w:r>
  </w:p>
  <w:p w14:paraId="684DFDB6" w14:textId="77777777" w:rsidR="00D63534" w:rsidRPr="007C5F95" w:rsidRDefault="00D63534">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DFDB7" w14:textId="77777777" w:rsidR="00D63534" w:rsidRPr="007C5F95" w:rsidRDefault="00D63534" w:rsidP="00AB46DF">
    <w:pPr>
      <w:pStyle w:val="Header"/>
      <w:jc w:val="right"/>
      <w:rPr>
        <w:b w:val="0"/>
        <w:lang w:val="da-DK"/>
      </w:rPr>
    </w:pPr>
    <w:r w:rsidRPr="007C5F95">
      <w:rPr>
        <w:b w:val="0"/>
        <w:lang w:val="da-DK"/>
      </w:rPr>
      <w:t>Draft ECC REPORT XXX</w:t>
    </w:r>
  </w:p>
  <w:p w14:paraId="684DFDB8" w14:textId="77777777" w:rsidR="00D63534" w:rsidRPr="007C5F95" w:rsidRDefault="00D63534"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DFDB9" w14:textId="77777777" w:rsidR="00D63534" w:rsidRDefault="00D63534" w:rsidP="007829A3">
    <w:pPr>
      <w:pStyle w:val="Header"/>
      <w:jc w:val="right"/>
    </w:pPr>
    <w:r>
      <w:rPr>
        <w:noProof/>
        <w:szCs w:val="20"/>
        <w:lang w:val="da-DK" w:eastAsia="da-DK"/>
      </w:rPr>
      <w:drawing>
        <wp:anchor distT="0" distB="0" distL="114300" distR="114300" simplePos="0" relativeHeight="251658240" behindDoc="0" locked="0" layoutInCell="1" allowOverlap="1" wp14:anchorId="684DFDBD" wp14:editId="684DFDBE">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684DFDBF" wp14:editId="684DFDC0">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DFDBA" w14:textId="1C23DE59" w:rsidR="00D63534" w:rsidRPr="007C5F95" w:rsidRDefault="00D63534">
    <w:pPr>
      <w:pStyle w:val="Header"/>
      <w:rPr>
        <w:szCs w:val="16"/>
        <w:lang w:val="da-DK"/>
      </w:rPr>
    </w:pPr>
    <w:r>
      <w:rPr>
        <w:lang w:val="da-DK"/>
      </w:rPr>
      <w:t>CEPT REPORT 65 -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73008D" w:rsidRPr="0073008D">
      <w:rPr>
        <w:noProof/>
        <w:szCs w:val="16"/>
        <w:lang w:val="da-DK"/>
      </w:rPr>
      <w:t>26</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DFDBB" w14:textId="1FB7D2BA" w:rsidR="00D63534" w:rsidRPr="007C5F95" w:rsidRDefault="00D63534" w:rsidP="00AB46DF">
    <w:pPr>
      <w:pStyle w:val="Header"/>
      <w:jc w:val="right"/>
      <w:rPr>
        <w:szCs w:val="16"/>
        <w:lang w:val="da-DK"/>
      </w:rPr>
    </w:pPr>
    <w:r>
      <w:rPr>
        <w:lang w:val="da-DK"/>
      </w:rPr>
      <w:t>CEPT REPORT 65 -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73008D" w:rsidRPr="0073008D">
      <w:rPr>
        <w:noProof/>
        <w:szCs w:val="16"/>
        <w:lang w:val="da-DK"/>
      </w:rPr>
      <w:t>25</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DFDBC" w14:textId="77777777" w:rsidR="00D63534" w:rsidRPr="001223D0" w:rsidRDefault="00D63534" w:rsidP="00AB46DF">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
    <w:nsid w:val="3D163F7A"/>
    <w:multiLevelType w:val="multilevel"/>
    <w:tmpl w:val="46FE111A"/>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2337F5"/>
    <w:multiLevelType w:val="hybridMultilevel"/>
    <w:tmpl w:val="602E5D32"/>
    <w:lvl w:ilvl="0" w:tplc="43244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AE007DE"/>
    <w:multiLevelType w:val="multilevel"/>
    <w:tmpl w:val="0436C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10"/>
  </w:num>
  <w:num w:numId="3">
    <w:abstractNumId w:val="8"/>
  </w:num>
  <w:num w:numId="4">
    <w:abstractNumId w:val="6"/>
  </w:num>
  <w:num w:numId="5">
    <w:abstractNumId w:val="2"/>
  </w:num>
  <w:num w:numId="6">
    <w:abstractNumId w:val="6"/>
  </w:num>
  <w:num w:numId="7">
    <w:abstractNumId w:val="1"/>
  </w:num>
  <w:num w:numId="8">
    <w:abstractNumId w:val="5"/>
  </w:num>
  <w:num w:numId="9">
    <w:abstractNumId w:val="3"/>
  </w:num>
  <w:num w:numId="10">
    <w:abstractNumId w:val="0"/>
  </w:num>
  <w:num w:numId="11">
    <w:abstractNumId w:val="7"/>
  </w:num>
  <w:num w:numId="12">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Green">
    <w15:presenceInfo w15:providerId="None" w15:userId="Steve Gr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0241">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53"/>
    <w:rsid w:val="00080AF2"/>
    <w:rsid w:val="000A40D6"/>
    <w:rsid w:val="000C30BC"/>
    <w:rsid w:val="001413E1"/>
    <w:rsid w:val="001975B0"/>
    <w:rsid w:val="00216BE1"/>
    <w:rsid w:val="002209A7"/>
    <w:rsid w:val="00230014"/>
    <w:rsid w:val="002836B2"/>
    <w:rsid w:val="002F6193"/>
    <w:rsid w:val="003A1D2E"/>
    <w:rsid w:val="003C3EE4"/>
    <w:rsid w:val="0046658E"/>
    <w:rsid w:val="00512677"/>
    <w:rsid w:val="005723E3"/>
    <w:rsid w:val="005B2F4B"/>
    <w:rsid w:val="00676E87"/>
    <w:rsid w:val="006826D6"/>
    <w:rsid w:val="006873CB"/>
    <w:rsid w:val="006F5883"/>
    <w:rsid w:val="0073008D"/>
    <w:rsid w:val="007323A3"/>
    <w:rsid w:val="00755D32"/>
    <w:rsid w:val="007829A3"/>
    <w:rsid w:val="00785DD9"/>
    <w:rsid w:val="007D39F5"/>
    <w:rsid w:val="008036C8"/>
    <w:rsid w:val="0081111A"/>
    <w:rsid w:val="00812153"/>
    <w:rsid w:val="0085431E"/>
    <w:rsid w:val="00860A3A"/>
    <w:rsid w:val="008847CC"/>
    <w:rsid w:val="00954C83"/>
    <w:rsid w:val="009655F1"/>
    <w:rsid w:val="00975E33"/>
    <w:rsid w:val="009D04FB"/>
    <w:rsid w:val="009E2C94"/>
    <w:rsid w:val="00AB46DF"/>
    <w:rsid w:val="00B35A92"/>
    <w:rsid w:val="00B616E1"/>
    <w:rsid w:val="00B926F4"/>
    <w:rsid w:val="00C079CF"/>
    <w:rsid w:val="00C41DBC"/>
    <w:rsid w:val="00C81566"/>
    <w:rsid w:val="00CB04DE"/>
    <w:rsid w:val="00CB5122"/>
    <w:rsid w:val="00D20E3B"/>
    <w:rsid w:val="00D63534"/>
    <w:rsid w:val="00DB6048"/>
    <w:rsid w:val="00DF596F"/>
    <w:rsid w:val="00E32DD0"/>
    <w:rsid w:val="00E7502F"/>
    <w:rsid w:val="00E970CA"/>
    <w:rsid w:val="00EF7994"/>
    <w:rsid w:val="00F0623F"/>
    <w:rsid w:val="00F45A55"/>
    <w:rsid w:val="00FD33A1"/>
    <w:rsid w:val="00FF701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7b6c58,#887e6e,#b0a696,#828282"/>
    </o:shapedefaults>
    <o:shapelayout v:ext="edit">
      <o:idmap v:ext="edit" data="1"/>
    </o:shapelayout>
  </w:shapeDefaults>
  <w:decimalSymbol w:val=","/>
  <w:listSeparator w:val=";"/>
  <w14:docId w14:val="684D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E7502F"/>
    <w:pPr>
      <w:keepNext/>
      <w:pageBreakBefore/>
      <w:numPr>
        <w:numId w:val="1"/>
      </w:numPr>
      <w:tabs>
        <w:tab w:val="clear" w:pos="432"/>
      </w:tabs>
      <w:spacing w:before="600" w:after="240"/>
      <w:ind w:left="360" w:hanging="360"/>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2209A7"/>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uiPriority w:val="99"/>
    <w:qFormat/>
    <w:rsid w:val="008935B9"/>
    <w:rPr>
      <w:szCs w:val="20"/>
    </w:rPr>
  </w:style>
  <w:style w:type="character" w:styleId="FootnoteReference">
    <w:name w:val="footnote reference"/>
    <w:aliases w:val="Appel note de bas de p,Nota,Footnote symbol,Footnote,ECC Footnote number,Fussnotenzeichen,Footnote Reference/"/>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E7502F"/>
    <w:pPr>
      <w:spacing w:after="0"/>
      <w:ind w:left="284" w:hanging="284"/>
      <w:jc w:val="center"/>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paragraph" w:customStyle="1" w:styleId="ECCTabletext">
    <w:name w:val="ECC Table text"/>
    <w:basedOn w:val="Normal"/>
    <w:qFormat/>
    <w:rsid w:val="00812153"/>
    <w:pPr>
      <w:spacing w:after="60"/>
      <w:jc w:val="both"/>
    </w:pPr>
    <w:rPr>
      <w:rFonts w:eastAsia="Calibri"/>
      <w:szCs w:val="22"/>
      <w:lang w:val="en-GB"/>
    </w:rPr>
  </w:style>
  <w:style w:type="character" w:customStyle="1" w:styleId="ECCHLbold">
    <w:name w:val="ECC HL bold"/>
    <w:uiPriority w:val="1"/>
    <w:qFormat/>
    <w:rsid w:val="00812153"/>
    <w:rPr>
      <w:b/>
      <w:bCs w:val="0"/>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
    <w:basedOn w:val="DefaultParagraphFont"/>
    <w:link w:val="FootnoteText"/>
    <w:uiPriority w:val="99"/>
    <w:rsid w:val="00E7502F"/>
    <w:rPr>
      <w:rFonts w:ascii="Arial" w:hAnsi="Arial"/>
      <w:lang w:val="en-US"/>
    </w:rPr>
  </w:style>
  <w:style w:type="character" w:customStyle="1" w:styleId="ECCHLyellow">
    <w:name w:val="ECC HL yellow"/>
    <w:basedOn w:val="DefaultParagraphFont"/>
    <w:uiPriority w:val="1"/>
    <w:qFormat/>
    <w:rsid w:val="00E7502F"/>
    <w:rPr>
      <w:rFonts w:eastAsia="Calibri"/>
      <w:i w:val="0"/>
      <w:szCs w:val="22"/>
      <w:bdr w:val="none" w:sz="0" w:space="0" w:color="auto"/>
      <w:shd w:val="solid" w:color="FFFF00" w:fill="auto"/>
      <w:lang w:val="en-GB"/>
    </w:rPr>
  </w:style>
  <w:style w:type="paragraph" w:styleId="Caption">
    <w:name w:val="caption"/>
    <w:aliases w:val="ECC Caption,Ca"/>
    <w:next w:val="Normal"/>
    <w:link w:val="CaptionChar"/>
    <w:qFormat/>
    <w:rsid w:val="00E7502F"/>
    <w:pPr>
      <w:keepLines/>
      <w:tabs>
        <w:tab w:val="left" w:pos="0"/>
        <w:tab w:val="center" w:pos="4820"/>
        <w:tab w:val="right" w:pos="9639"/>
      </w:tabs>
      <w:spacing w:before="240" w:after="240"/>
      <w:contextualSpacing/>
      <w:jc w:val="center"/>
    </w:pPr>
    <w:rPr>
      <w:rFonts w:ascii="Arial" w:hAnsi="Arial"/>
      <w:b/>
      <w:bCs/>
      <w:color w:val="D2232A"/>
      <w:lang w:val="da-DK"/>
    </w:rPr>
  </w:style>
  <w:style w:type="character" w:customStyle="1" w:styleId="CaptionChar">
    <w:name w:val="Caption Char"/>
    <w:aliases w:val="ECC Caption Char,Ca Char"/>
    <w:link w:val="Caption"/>
    <w:rsid w:val="00E7502F"/>
    <w:rPr>
      <w:rFonts w:ascii="Arial" w:hAnsi="Arial"/>
      <w:b/>
      <w:bCs/>
      <w:color w:val="D2232A"/>
      <w:lang w:val="da-DK"/>
    </w:rPr>
  </w:style>
  <w:style w:type="paragraph" w:styleId="NormalWeb">
    <w:name w:val="Normal (Web)"/>
    <w:basedOn w:val="Normal"/>
    <w:uiPriority w:val="99"/>
    <w:semiHidden/>
    <w:unhideWhenUsed/>
    <w:rsid w:val="00E7502F"/>
    <w:pPr>
      <w:spacing w:before="100" w:beforeAutospacing="1" w:after="100" w:afterAutospacing="1"/>
    </w:pPr>
    <w:rPr>
      <w:rFonts w:ascii="Times New Roman" w:eastAsiaTheme="minorEastAsia" w:hAnsi="Times New Roman"/>
      <w:sz w:val="24"/>
      <w:lang w:val="sv-SE" w:eastAsia="sv-SE"/>
    </w:rPr>
  </w:style>
  <w:style w:type="paragraph" w:customStyle="1" w:styleId="ECCTableHeaderwhitefont">
    <w:name w:val="ECC Table Header white font"/>
    <w:qFormat/>
    <w:rsid w:val="00954C83"/>
    <w:pPr>
      <w:spacing w:before="240" w:after="60"/>
      <w:jc w:val="center"/>
    </w:pPr>
    <w:rPr>
      <w:rFonts w:ascii="Arial" w:eastAsia="Calibri" w:hAnsi="Arial"/>
      <w:bCs/>
      <w:color w:val="FFFFFF" w:themeColor="background1"/>
      <w:lang w:eastAsia="de-DE"/>
    </w:rPr>
  </w:style>
  <w:style w:type="table" w:customStyle="1" w:styleId="ECCTable-redheader">
    <w:name w:val="ECC Table - red header"/>
    <w:basedOn w:val="TableNormal"/>
    <w:uiPriority w:val="99"/>
    <w:rsid w:val="00954C83"/>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BulletsLv1">
    <w:name w:val="ECC Bullets Lv1"/>
    <w:basedOn w:val="Normal"/>
    <w:qFormat/>
    <w:rsid w:val="00954C83"/>
    <w:pPr>
      <w:numPr>
        <w:numId w:val="10"/>
      </w:numPr>
      <w:tabs>
        <w:tab w:val="left" w:pos="340"/>
      </w:tabs>
      <w:spacing w:before="60"/>
      <w:ind w:left="340" w:hanging="340"/>
      <w:jc w:val="both"/>
    </w:pPr>
    <w:rPr>
      <w:rFonts w:eastAsia="Calibri"/>
      <w:szCs w:val="22"/>
      <w:lang w:val="en-GB"/>
    </w:rPr>
  </w:style>
  <w:style w:type="paragraph" w:customStyle="1" w:styleId="ECCBulletsLv2">
    <w:name w:val="ECC Bullets Lv2"/>
    <w:basedOn w:val="ECCBulletsLv1"/>
    <w:rsid w:val="00954C83"/>
    <w:pPr>
      <w:numPr>
        <w:numId w:val="0"/>
      </w:numPr>
      <w:tabs>
        <w:tab w:val="clear" w:pos="340"/>
        <w:tab w:val="left" w:pos="680"/>
      </w:tabs>
      <w:ind w:left="680" w:hanging="340"/>
    </w:pPr>
  </w:style>
  <w:style w:type="character" w:styleId="Emphasis">
    <w:name w:val="Emphasis"/>
    <w:aliases w:val="ECC HL italics"/>
    <w:uiPriority w:val="1"/>
    <w:qFormat/>
    <w:rsid w:val="00954C83"/>
    <w:rPr>
      <w:i/>
    </w:rPr>
  </w:style>
  <w:style w:type="paragraph" w:customStyle="1" w:styleId="AddressTR">
    <w:name w:val="AddressTR"/>
    <w:basedOn w:val="Normal"/>
    <w:next w:val="Normal"/>
    <w:rsid w:val="00954C83"/>
    <w:pPr>
      <w:spacing w:after="720"/>
      <w:ind w:left="5103"/>
    </w:pPr>
    <w:rPr>
      <w:rFonts w:ascii="Times New Roman" w:hAnsi="Times New Roman"/>
      <w:sz w:val="24"/>
      <w:szCs w:val="20"/>
      <w:lang w:val="en-GB" w:eastAsia="fr-BE"/>
    </w:rPr>
  </w:style>
  <w:style w:type="paragraph" w:styleId="ListParagraph">
    <w:name w:val="List Paragraph"/>
    <w:basedOn w:val="Normal"/>
    <w:uiPriority w:val="34"/>
    <w:qFormat/>
    <w:rsid w:val="00954C83"/>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ECCReference">
    <w:name w:val="ECC Reference"/>
    <w:basedOn w:val="Normal"/>
    <w:rsid w:val="00954C83"/>
    <w:pPr>
      <w:tabs>
        <w:tab w:val="num" w:pos="397"/>
      </w:tabs>
      <w:ind w:left="397" w:hanging="397"/>
      <w:jc w:val="both"/>
    </w:pPr>
    <w:rPr>
      <w:rFonts w:eastAsia="Calibri"/>
      <w:szCs w:val="22"/>
      <w:lang w:val="en-GB" w:eastAsia="ja-JP"/>
    </w:rPr>
  </w:style>
  <w:style w:type="character" w:customStyle="1" w:styleId="HeaderChar">
    <w:name w:val="Header Char"/>
    <w:basedOn w:val="DefaultParagraphFont"/>
    <w:link w:val="Header"/>
    <w:uiPriority w:val="99"/>
    <w:rsid w:val="007829A3"/>
    <w:rPr>
      <w:rFonts w:ascii="Arial" w:hAnsi="Arial"/>
      <w:b/>
      <w:sz w:val="16"/>
      <w:szCs w:val="24"/>
      <w:lang w:val="en-US"/>
    </w:rPr>
  </w:style>
  <w:style w:type="character" w:styleId="CommentReference">
    <w:name w:val="annotation reference"/>
    <w:basedOn w:val="DefaultParagraphFont"/>
    <w:uiPriority w:val="99"/>
    <w:semiHidden/>
    <w:unhideWhenUsed/>
    <w:rsid w:val="007323A3"/>
    <w:rPr>
      <w:sz w:val="16"/>
      <w:szCs w:val="16"/>
    </w:rPr>
  </w:style>
  <w:style w:type="paragraph" w:styleId="CommentText">
    <w:name w:val="annotation text"/>
    <w:basedOn w:val="Normal"/>
    <w:link w:val="CommentTextChar"/>
    <w:uiPriority w:val="99"/>
    <w:semiHidden/>
    <w:unhideWhenUsed/>
    <w:rsid w:val="007323A3"/>
    <w:rPr>
      <w:szCs w:val="20"/>
    </w:rPr>
  </w:style>
  <w:style w:type="character" w:customStyle="1" w:styleId="CommentTextChar">
    <w:name w:val="Comment Text Char"/>
    <w:basedOn w:val="DefaultParagraphFont"/>
    <w:link w:val="CommentText"/>
    <w:uiPriority w:val="99"/>
    <w:semiHidden/>
    <w:rsid w:val="007323A3"/>
    <w:rPr>
      <w:rFonts w:ascii="Arial" w:hAnsi="Arial"/>
      <w:lang w:val="en-US"/>
    </w:rPr>
  </w:style>
  <w:style w:type="paragraph" w:styleId="CommentSubject">
    <w:name w:val="annotation subject"/>
    <w:basedOn w:val="CommentText"/>
    <w:next w:val="CommentText"/>
    <w:link w:val="CommentSubjectChar"/>
    <w:uiPriority w:val="99"/>
    <w:semiHidden/>
    <w:unhideWhenUsed/>
    <w:rsid w:val="007323A3"/>
    <w:rPr>
      <w:b/>
      <w:bCs/>
    </w:rPr>
  </w:style>
  <w:style w:type="character" w:customStyle="1" w:styleId="CommentSubjectChar">
    <w:name w:val="Comment Subject Char"/>
    <w:basedOn w:val="CommentTextChar"/>
    <w:link w:val="CommentSubject"/>
    <w:uiPriority w:val="99"/>
    <w:semiHidden/>
    <w:rsid w:val="007323A3"/>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E7502F"/>
    <w:pPr>
      <w:keepNext/>
      <w:pageBreakBefore/>
      <w:numPr>
        <w:numId w:val="1"/>
      </w:numPr>
      <w:tabs>
        <w:tab w:val="clear" w:pos="432"/>
      </w:tabs>
      <w:spacing w:before="600" w:after="240"/>
      <w:ind w:left="360" w:hanging="360"/>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2209A7"/>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uiPriority w:val="99"/>
    <w:qFormat/>
    <w:rsid w:val="008935B9"/>
    <w:rPr>
      <w:szCs w:val="20"/>
    </w:rPr>
  </w:style>
  <w:style w:type="character" w:styleId="FootnoteReference">
    <w:name w:val="footnote reference"/>
    <w:aliases w:val="Appel note de bas de p,Nota,Footnote symbol,Footnote,ECC Footnote number,Fussnotenzeichen,Footnote Reference/"/>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E7502F"/>
    <w:pPr>
      <w:spacing w:after="0"/>
      <w:ind w:left="284" w:hanging="284"/>
      <w:jc w:val="center"/>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paragraph" w:customStyle="1" w:styleId="ECCTabletext">
    <w:name w:val="ECC Table text"/>
    <w:basedOn w:val="Normal"/>
    <w:qFormat/>
    <w:rsid w:val="00812153"/>
    <w:pPr>
      <w:spacing w:after="60"/>
      <w:jc w:val="both"/>
    </w:pPr>
    <w:rPr>
      <w:rFonts w:eastAsia="Calibri"/>
      <w:szCs w:val="22"/>
      <w:lang w:val="en-GB"/>
    </w:rPr>
  </w:style>
  <w:style w:type="character" w:customStyle="1" w:styleId="ECCHLbold">
    <w:name w:val="ECC HL bold"/>
    <w:uiPriority w:val="1"/>
    <w:qFormat/>
    <w:rsid w:val="00812153"/>
    <w:rPr>
      <w:b/>
      <w:bCs w:val="0"/>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
    <w:basedOn w:val="DefaultParagraphFont"/>
    <w:link w:val="FootnoteText"/>
    <w:uiPriority w:val="99"/>
    <w:rsid w:val="00E7502F"/>
    <w:rPr>
      <w:rFonts w:ascii="Arial" w:hAnsi="Arial"/>
      <w:lang w:val="en-US"/>
    </w:rPr>
  </w:style>
  <w:style w:type="character" w:customStyle="1" w:styleId="ECCHLyellow">
    <w:name w:val="ECC HL yellow"/>
    <w:basedOn w:val="DefaultParagraphFont"/>
    <w:uiPriority w:val="1"/>
    <w:qFormat/>
    <w:rsid w:val="00E7502F"/>
    <w:rPr>
      <w:rFonts w:eastAsia="Calibri"/>
      <w:i w:val="0"/>
      <w:szCs w:val="22"/>
      <w:bdr w:val="none" w:sz="0" w:space="0" w:color="auto"/>
      <w:shd w:val="solid" w:color="FFFF00" w:fill="auto"/>
      <w:lang w:val="en-GB"/>
    </w:rPr>
  </w:style>
  <w:style w:type="paragraph" w:styleId="Caption">
    <w:name w:val="caption"/>
    <w:aliases w:val="ECC Caption,Ca"/>
    <w:next w:val="Normal"/>
    <w:link w:val="CaptionChar"/>
    <w:qFormat/>
    <w:rsid w:val="00E7502F"/>
    <w:pPr>
      <w:keepLines/>
      <w:tabs>
        <w:tab w:val="left" w:pos="0"/>
        <w:tab w:val="center" w:pos="4820"/>
        <w:tab w:val="right" w:pos="9639"/>
      </w:tabs>
      <w:spacing w:before="240" w:after="240"/>
      <w:contextualSpacing/>
      <w:jc w:val="center"/>
    </w:pPr>
    <w:rPr>
      <w:rFonts w:ascii="Arial" w:hAnsi="Arial"/>
      <w:b/>
      <w:bCs/>
      <w:color w:val="D2232A"/>
      <w:lang w:val="da-DK"/>
    </w:rPr>
  </w:style>
  <w:style w:type="character" w:customStyle="1" w:styleId="CaptionChar">
    <w:name w:val="Caption Char"/>
    <w:aliases w:val="ECC Caption Char,Ca Char"/>
    <w:link w:val="Caption"/>
    <w:rsid w:val="00E7502F"/>
    <w:rPr>
      <w:rFonts w:ascii="Arial" w:hAnsi="Arial"/>
      <w:b/>
      <w:bCs/>
      <w:color w:val="D2232A"/>
      <w:lang w:val="da-DK"/>
    </w:rPr>
  </w:style>
  <w:style w:type="paragraph" w:styleId="NormalWeb">
    <w:name w:val="Normal (Web)"/>
    <w:basedOn w:val="Normal"/>
    <w:uiPriority w:val="99"/>
    <w:semiHidden/>
    <w:unhideWhenUsed/>
    <w:rsid w:val="00E7502F"/>
    <w:pPr>
      <w:spacing w:before="100" w:beforeAutospacing="1" w:after="100" w:afterAutospacing="1"/>
    </w:pPr>
    <w:rPr>
      <w:rFonts w:ascii="Times New Roman" w:eastAsiaTheme="minorEastAsia" w:hAnsi="Times New Roman"/>
      <w:sz w:val="24"/>
      <w:lang w:val="sv-SE" w:eastAsia="sv-SE"/>
    </w:rPr>
  </w:style>
  <w:style w:type="paragraph" w:customStyle="1" w:styleId="ECCTableHeaderwhitefont">
    <w:name w:val="ECC Table Header white font"/>
    <w:qFormat/>
    <w:rsid w:val="00954C83"/>
    <w:pPr>
      <w:spacing w:before="240" w:after="60"/>
      <w:jc w:val="center"/>
    </w:pPr>
    <w:rPr>
      <w:rFonts w:ascii="Arial" w:eastAsia="Calibri" w:hAnsi="Arial"/>
      <w:bCs/>
      <w:color w:val="FFFFFF" w:themeColor="background1"/>
      <w:lang w:eastAsia="de-DE"/>
    </w:rPr>
  </w:style>
  <w:style w:type="table" w:customStyle="1" w:styleId="ECCTable-redheader">
    <w:name w:val="ECC Table - red header"/>
    <w:basedOn w:val="TableNormal"/>
    <w:uiPriority w:val="99"/>
    <w:rsid w:val="00954C83"/>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BulletsLv1">
    <w:name w:val="ECC Bullets Lv1"/>
    <w:basedOn w:val="Normal"/>
    <w:qFormat/>
    <w:rsid w:val="00954C83"/>
    <w:pPr>
      <w:numPr>
        <w:numId w:val="10"/>
      </w:numPr>
      <w:tabs>
        <w:tab w:val="left" w:pos="340"/>
      </w:tabs>
      <w:spacing w:before="60"/>
      <w:ind w:left="340" w:hanging="340"/>
      <w:jc w:val="both"/>
    </w:pPr>
    <w:rPr>
      <w:rFonts w:eastAsia="Calibri"/>
      <w:szCs w:val="22"/>
      <w:lang w:val="en-GB"/>
    </w:rPr>
  </w:style>
  <w:style w:type="paragraph" w:customStyle="1" w:styleId="ECCBulletsLv2">
    <w:name w:val="ECC Bullets Lv2"/>
    <w:basedOn w:val="ECCBulletsLv1"/>
    <w:rsid w:val="00954C83"/>
    <w:pPr>
      <w:numPr>
        <w:numId w:val="0"/>
      </w:numPr>
      <w:tabs>
        <w:tab w:val="clear" w:pos="340"/>
        <w:tab w:val="left" w:pos="680"/>
      </w:tabs>
      <w:ind w:left="680" w:hanging="340"/>
    </w:pPr>
  </w:style>
  <w:style w:type="character" w:styleId="Emphasis">
    <w:name w:val="Emphasis"/>
    <w:aliases w:val="ECC HL italics"/>
    <w:uiPriority w:val="1"/>
    <w:qFormat/>
    <w:rsid w:val="00954C83"/>
    <w:rPr>
      <w:i/>
    </w:rPr>
  </w:style>
  <w:style w:type="paragraph" w:customStyle="1" w:styleId="AddressTR">
    <w:name w:val="AddressTR"/>
    <w:basedOn w:val="Normal"/>
    <w:next w:val="Normal"/>
    <w:rsid w:val="00954C83"/>
    <w:pPr>
      <w:spacing w:after="720"/>
      <w:ind w:left="5103"/>
    </w:pPr>
    <w:rPr>
      <w:rFonts w:ascii="Times New Roman" w:hAnsi="Times New Roman"/>
      <w:sz w:val="24"/>
      <w:szCs w:val="20"/>
      <w:lang w:val="en-GB" w:eastAsia="fr-BE"/>
    </w:rPr>
  </w:style>
  <w:style w:type="paragraph" w:styleId="ListParagraph">
    <w:name w:val="List Paragraph"/>
    <w:basedOn w:val="Normal"/>
    <w:uiPriority w:val="34"/>
    <w:qFormat/>
    <w:rsid w:val="00954C83"/>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ECCReference">
    <w:name w:val="ECC Reference"/>
    <w:basedOn w:val="Normal"/>
    <w:rsid w:val="00954C83"/>
    <w:pPr>
      <w:tabs>
        <w:tab w:val="num" w:pos="397"/>
      </w:tabs>
      <w:ind w:left="397" w:hanging="397"/>
      <w:jc w:val="both"/>
    </w:pPr>
    <w:rPr>
      <w:rFonts w:eastAsia="Calibri"/>
      <w:szCs w:val="22"/>
      <w:lang w:val="en-GB" w:eastAsia="ja-JP"/>
    </w:rPr>
  </w:style>
  <w:style w:type="character" w:customStyle="1" w:styleId="HeaderChar">
    <w:name w:val="Header Char"/>
    <w:basedOn w:val="DefaultParagraphFont"/>
    <w:link w:val="Header"/>
    <w:uiPriority w:val="99"/>
    <w:rsid w:val="007829A3"/>
    <w:rPr>
      <w:rFonts w:ascii="Arial" w:hAnsi="Arial"/>
      <w:b/>
      <w:sz w:val="16"/>
      <w:szCs w:val="24"/>
      <w:lang w:val="en-US"/>
    </w:rPr>
  </w:style>
  <w:style w:type="character" w:styleId="CommentReference">
    <w:name w:val="annotation reference"/>
    <w:basedOn w:val="DefaultParagraphFont"/>
    <w:uiPriority w:val="99"/>
    <w:semiHidden/>
    <w:unhideWhenUsed/>
    <w:rsid w:val="007323A3"/>
    <w:rPr>
      <w:sz w:val="16"/>
      <w:szCs w:val="16"/>
    </w:rPr>
  </w:style>
  <w:style w:type="paragraph" w:styleId="CommentText">
    <w:name w:val="annotation text"/>
    <w:basedOn w:val="Normal"/>
    <w:link w:val="CommentTextChar"/>
    <w:uiPriority w:val="99"/>
    <w:semiHidden/>
    <w:unhideWhenUsed/>
    <w:rsid w:val="007323A3"/>
    <w:rPr>
      <w:szCs w:val="20"/>
    </w:rPr>
  </w:style>
  <w:style w:type="character" w:customStyle="1" w:styleId="CommentTextChar">
    <w:name w:val="Comment Text Char"/>
    <w:basedOn w:val="DefaultParagraphFont"/>
    <w:link w:val="CommentText"/>
    <w:uiPriority w:val="99"/>
    <w:semiHidden/>
    <w:rsid w:val="007323A3"/>
    <w:rPr>
      <w:rFonts w:ascii="Arial" w:hAnsi="Arial"/>
      <w:lang w:val="en-US"/>
    </w:rPr>
  </w:style>
  <w:style w:type="paragraph" w:styleId="CommentSubject">
    <w:name w:val="annotation subject"/>
    <w:basedOn w:val="CommentText"/>
    <w:next w:val="CommentText"/>
    <w:link w:val="CommentSubjectChar"/>
    <w:uiPriority w:val="99"/>
    <w:semiHidden/>
    <w:unhideWhenUsed/>
    <w:rsid w:val="007323A3"/>
    <w:rPr>
      <w:b/>
      <w:bCs/>
    </w:rPr>
  </w:style>
  <w:style w:type="character" w:customStyle="1" w:styleId="CommentSubjectChar">
    <w:name w:val="Comment Subject Char"/>
    <w:basedOn w:val="CommentTextChar"/>
    <w:link w:val="CommentSubject"/>
    <w:uiPriority w:val="99"/>
    <w:semiHidden/>
    <w:rsid w:val="007323A3"/>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2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qid=1431416821549&amp;uri=OJ:JOL_2015_119_R_0006" TargetMode="External"/><Relationship Id="rId1" Type="http://schemas.openxmlformats.org/officeDocument/2006/relationships/hyperlink" Target="http://www.efis.d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C9104-51DF-4DE3-8F0B-BAFBA3E1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1</TotalTime>
  <Pages>26</Pages>
  <Words>7912</Words>
  <Characters>48265</Characters>
  <Application>Microsoft Office Word</Application>
  <DocSecurity>0</DocSecurity>
  <Lines>402</Lines>
  <Paragraphs>112</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56065</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author</dc:creator>
  <dc:description>This template is used as guidance to draft ECC Reports.</dc:description>
  <cp:lastModifiedBy>Anne-Dorthe Hjelm Christensen</cp:lastModifiedBy>
  <cp:revision>3</cp:revision>
  <cp:lastPrinted>2011-06-06T15:43:00Z</cp:lastPrinted>
  <dcterms:created xsi:type="dcterms:W3CDTF">2018-03-05T10:05:00Z</dcterms:created>
  <dcterms:modified xsi:type="dcterms:W3CDTF">2018-03-05T10:06:00Z</dcterms:modified>
</cp:coreProperties>
</file>