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DF" w:rsidRPr="00FA117E" w:rsidRDefault="00AB46DF" w:rsidP="00AB46DF">
      <w:pPr>
        <w:jc w:val="center"/>
        <w:rPr>
          <w:lang w:val="en-GB"/>
        </w:rPr>
      </w:pPr>
      <w:bookmarkStart w:id="0" w:name="_GoBack"/>
      <w:bookmarkEnd w:id="0"/>
    </w:p>
    <w:p w:rsidR="00AB46DF" w:rsidRPr="00FA117E" w:rsidRDefault="00AB46DF" w:rsidP="00AB46DF">
      <w:pPr>
        <w:jc w:val="center"/>
        <w:rPr>
          <w:lang w:val="en-GB"/>
        </w:rPr>
      </w:pPr>
    </w:p>
    <w:p w:rsidR="00AB46DF" w:rsidRPr="00FA117E" w:rsidRDefault="00AB46DF" w:rsidP="00AB46DF">
      <w:pPr>
        <w:rPr>
          <w:lang w:val="en-GB"/>
        </w:rPr>
      </w:pPr>
    </w:p>
    <w:p w:rsidR="00AB46DF" w:rsidRPr="00FA117E" w:rsidRDefault="00AB46DF" w:rsidP="00AB46DF">
      <w:pPr>
        <w:rPr>
          <w:lang w:val="en-GB"/>
        </w:rPr>
      </w:pPr>
    </w:p>
    <w:p w:rsidR="00AB46DF" w:rsidRPr="00FA117E" w:rsidRDefault="00D20E3B" w:rsidP="00AB46DF">
      <w:pPr>
        <w:jc w:val="center"/>
        <w:rPr>
          <w:b/>
          <w:sz w:val="24"/>
          <w:lang w:val="en-GB"/>
        </w:rPr>
      </w:pPr>
      <w:r w:rsidRPr="00FA117E">
        <w:rPr>
          <w:b/>
          <w:noProof/>
          <w:sz w:val="24"/>
          <w:szCs w:val="20"/>
          <w:lang w:val="da-DK" w:eastAsia="da-DK"/>
        </w:rPr>
        <mc:AlternateContent>
          <mc:Choice Requires="wpg">
            <w:drawing>
              <wp:anchor distT="0" distB="0" distL="114300" distR="114300" simplePos="0" relativeHeight="251658240" behindDoc="0" locked="0" layoutInCell="1" allowOverlap="1" wp14:anchorId="78F1FE6D" wp14:editId="76BAA517">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17E" w:rsidRPr="00FE1795" w:rsidRDefault="00FA117E" w:rsidP="00AB46DF">
                              <w:pPr>
                                <w:rPr>
                                  <w:color w:val="57433E"/>
                                  <w:sz w:val="68"/>
                                </w:rPr>
                              </w:pPr>
                              <w:r w:rsidRPr="00FE1795">
                                <w:rPr>
                                  <w:color w:val="FFFFFF"/>
                                  <w:sz w:val="68"/>
                                </w:rPr>
                                <w:t xml:space="preserve">CEPT Report </w:t>
                              </w:r>
                              <w:r>
                                <w:rPr>
                                  <w:color w:val="D2232A"/>
                                  <w:sz w:val="68"/>
                                </w:rPr>
                                <w:t>60</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2PL8A&#10;AADaAAAADwAAAGRycy9kb3ducmV2LnhtbERPy2rCQBTdC/7DcAvdiJlUtJbUUaRScFdrdH87c5uE&#10;Zu6EzJjH33cWgsvDeW92g61FR62vHCt4SVIQxNqZigsFl/xz/gbCB2SDtWNSMJKH3XY62WBmXM/f&#10;1J1DIWII+wwVlCE0mZRel2TRJ64hjtyvay2GCNtCmhb7GG5ruUjTV2mx4thQYkMfJem/880qWKy+&#10;Zqf1qG8HfaVuaUJOP8NBqeenYf8OItAQHuK7+2gUxK3xSrw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AXY8vwAAANoAAAAPAAAAAAAAAAAAAAAAAJgCAABkcnMvZG93bnJl&#10;di54bWxQSwUGAAAAAAQABAD1AAAAhAM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8sEA&#10;AADaAAAADwAAAGRycy9kb3ducmV2LnhtbESPT4vCMBTE74LfITxhb5rqobjVtKiw4EFY/+H50Tzb&#10;avNSmmzt7qc3grDHYWZ+wyyz3tSio9ZVlhVMJxEI4tzqigsF59PXeA7CeWSNtWVS8EsOsnQ4WGKi&#10;7YMP1B19IQKEXYIKSu+bREqXl2TQTWxDHLyrbQ36INtC6hYfAW5qOYuiWBqsOCyU2NCmpPx+/DEK&#10;bsjx2Zy+uwvNdmYd21Vt//ZKfYz61QKEp97/h9/trVbwCa8r4Qb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GvLBAAAA2gAAAA8AAAAAAAAAAAAAAAAAmAIAAGRycy9kb3du&#10;cmV2LnhtbFBLBQYAAAAABAAEAPUAAACGAwAAAAA=&#10;" fillcolor="#828282" stroked="f">
                  <v:textbox inset="80mm,15mm,2mm">
                    <w:txbxContent>
                      <w:p w:rsidR="00FA117E" w:rsidRPr="00FE1795" w:rsidRDefault="00FA117E" w:rsidP="00AB46DF">
                        <w:pPr>
                          <w:rPr>
                            <w:color w:val="57433E"/>
                            <w:sz w:val="68"/>
                          </w:rPr>
                        </w:pPr>
                        <w:r w:rsidRPr="00FE1795">
                          <w:rPr>
                            <w:color w:val="FFFFFF"/>
                            <w:sz w:val="68"/>
                          </w:rPr>
                          <w:t xml:space="preserve">CEPT Report </w:t>
                        </w:r>
                        <w:r>
                          <w:rPr>
                            <w:color w:val="D2232A"/>
                            <w:sz w:val="68"/>
                          </w:rPr>
                          <w:t>60</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8cIAAADbAAAADwAAAGRycy9kb3ducmV2LnhtbERPTWvCQBC9F/wPywje6sYWi02zESlY&#10;FNpDovQ8ZKfZYHY2ZtcY/323UPA2j/c52Xq0rRio941jBYt5AoK4crrhWsHxsH1cgfABWWPrmBTc&#10;yMM6nzxkmGp35YKGMtQihrBPUYEJoUul9JUhi37uOuLI/bjeYoiwr6Xu8RrDbSufkuRFWmw4Nhjs&#10;6N1QdSovVsH+9VIcvszz8rz4/uiGIsHtZ3FWajYdN28gAo3hLv5373Scv4S/X+I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8cIAAADbAAAADwAAAAAAAAAAAAAA&#10;AAChAgAAZHJzL2Rvd25yZXYueG1sUEsFBgAAAAAEAAQA+QAAAJADAAAAAA==&#10;" strokecolor="#828282" strokeweight="15.5pt"/>
                </v:group>
              </v:group>
            </w:pict>
          </mc:Fallback>
        </mc:AlternateContent>
      </w:r>
    </w:p>
    <w:p w:rsidR="00AB46DF" w:rsidRPr="00FA117E" w:rsidRDefault="00AB46DF" w:rsidP="00AB46DF">
      <w:pPr>
        <w:jc w:val="center"/>
        <w:rPr>
          <w:b/>
          <w:sz w:val="24"/>
          <w:lang w:val="en-GB"/>
        </w:rPr>
      </w:pPr>
    </w:p>
    <w:p w:rsidR="00AB46DF" w:rsidRPr="00FA117E" w:rsidRDefault="00AB46DF" w:rsidP="00AB46DF">
      <w:pPr>
        <w:jc w:val="center"/>
        <w:rPr>
          <w:b/>
          <w:sz w:val="24"/>
          <w:lang w:val="en-GB"/>
        </w:rPr>
      </w:pPr>
    </w:p>
    <w:p w:rsidR="00AB46DF" w:rsidRPr="00FA117E" w:rsidRDefault="00AB46DF" w:rsidP="00AB46DF">
      <w:pPr>
        <w:jc w:val="center"/>
        <w:rPr>
          <w:b/>
          <w:sz w:val="24"/>
          <w:lang w:val="en-GB"/>
        </w:rPr>
      </w:pPr>
    </w:p>
    <w:p w:rsidR="00AB46DF" w:rsidRPr="00FA117E" w:rsidRDefault="00AB46DF" w:rsidP="00AB46DF">
      <w:pPr>
        <w:jc w:val="center"/>
        <w:rPr>
          <w:b/>
          <w:sz w:val="24"/>
          <w:lang w:val="en-GB"/>
        </w:rPr>
      </w:pPr>
    </w:p>
    <w:p w:rsidR="00AB46DF" w:rsidRPr="00FA117E" w:rsidRDefault="00AB46DF" w:rsidP="00AB46DF">
      <w:pPr>
        <w:jc w:val="center"/>
        <w:rPr>
          <w:b/>
          <w:sz w:val="24"/>
          <w:lang w:val="en-GB"/>
        </w:rPr>
      </w:pPr>
    </w:p>
    <w:p w:rsidR="00AB46DF" w:rsidRPr="00FA117E" w:rsidRDefault="00AB46DF" w:rsidP="00AB46DF">
      <w:pPr>
        <w:jc w:val="center"/>
        <w:rPr>
          <w:b/>
          <w:sz w:val="24"/>
          <w:lang w:val="en-GB"/>
        </w:rPr>
      </w:pPr>
    </w:p>
    <w:p w:rsidR="00AB46DF" w:rsidRPr="00FA117E" w:rsidRDefault="00AB46DF" w:rsidP="00AB46DF">
      <w:pPr>
        <w:jc w:val="center"/>
        <w:rPr>
          <w:b/>
          <w:sz w:val="24"/>
          <w:lang w:val="en-GB"/>
        </w:rPr>
      </w:pPr>
    </w:p>
    <w:p w:rsidR="00AB46DF" w:rsidRPr="00FA117E" w:rsidRDefault="00AB46DF" w:rsidP="00AB46DF">
      <w:pPr>
        <w:jc w:val="center"/>
        <w:rPr>
          <w:b/>
          <w:sz w:val="24"/>
          <w:lang w:val="en-GB"/>
        </w:rPr>
      </w:pPr>
    </w:p>
    <w:p w:rsidR="00AB46DF" w:rsidRPr="00FA117E" w:rsidRDefault="00AB46DF" w:rsidP="00AB46DF">
      <w:pPr>
        <w:jc w:val="center"/>
        <w:rPr>
          <w:b/>
          <w:sz w:val="24"/>
          <w:lang w:val="en-GB"/>
        </w:rPr>
      </w:pPr>
    </w:p>
    <w:p w:rsidR="00AB46DF" w:rsidRPr="00FA117E" w:rsidRDefault="00AB46DF" w:rsidP="00AB46DF">
      <w:pPr>
        <w:jc w:val="center"/>
        <w:rPr>
          <w:b/>
          <w:sz w:val="24"/>
          <w:lang w:val="en-GB"/>
        </w:rPr>
      </w:pPr>
    </w:p>
    <w:p w:rsidR="00AB46DF" w:rsidRPr="00FA117E" w:rsidRDefault="00AB46DF" w:rsidP="00AB46DF">
      <w:pPr>
        <w:rPr>
          <w:b/>
          <w:sz w:val="24"/>
          <w:lang w:val="en-GB"/>
        </w:rPr>
      </w:pPr>
    </w:p>
    <w:p w:rsidR="00AB46DF" w:rsidRPr="00FA117E" w:rsidRDefault="00AB46DF" w:rsidP="00AB46DF">
      <w:pPr>
        <w:jc w:val="center"/>
        <w:rPr>
          <w:b/>
          <w:sz w:val="24"/>
          <w:lang w:val="en-GB"/>
        </w:rPr>
      </w:pPr>
    </w:p>
    <w:p w:rsidR="00343C6C" w:rsidRPr="00FA117E" w:rsidRDefault="00343C6C" w:rsidP="00343C6C">
      <w:pPr>
        <w:pStyle w:val="Reporttitledescription"/>
        <w:tabs>
          <w:tab w:val="left" w:pos="2977"/>
        </w:tabs>
        <w:rPr>
          <w:lang w:val="en-GB"/>
        </w:rPr>
      </w:pPr>
      <w:r w:rsidRPr="00FA117E">
        <w:rPr>
          <w:lang w:val="en-GB"/>
        </w:rPr>
        <w:t xml:space="preserve">Report </w:t>
      </w:r>
      <w:r w:rsidR="006F3BC8" w:rsidRPr="00FA117E">
        <w:rPr>
          <w:lang w:val="en-GB"/>
        </w:rPr>
        <w:t xml:space="preserve">B </w:t>
      </w:r>
      <w:r w:rsidRPr="00FA117E">
        <w:rPr>
          <w:lang w:val="en-GB"/>
        </w:rPr>
        <w:t xml:space="preserve">from CEPT to the European Commission in response to the Mandate </w:t>
      </w:r>
    </w:p>
    <w:p w:rsidR="00AB46DF" w:rsidRPr="00FA117E" w:rsidRDefault="00343C6C" w:rsidP="00AB46DF">
      <w:pPr>
        <w:pStyle w:val="Reporttitledescription"/>
        <w:rPr>
          <w:lang w:val="en-GB"/>
        </w:rPr>
      </w:pPr>
      <w:r w:rsidRPr="00FA117E">
        <w:rPr>
          <w:lang w:val="en-GB"/>
        </w:rPr>
        <w:t>“</w:t>
      </w:r>
      <w:r w:rsidR="00E439D2" w:rsidRPr="00FA117E">
        <w:rPr>
          <w:lang w:val="en-GB"/>
        </w:rPr>
        <w:t xml:space="preserve">to develop harmonised technical conditions for the </w:t>
      </w:r>
      <w:r w:rsidR="00484421" w:rsidRPr="00FA117E">
        <w:rPr>
          <w:lang w:val="en-GB"/>
        </w:rPr>
        <w:br/>
      </w:r>
      <w:r w:rsidR="00E439D2" w:rsidRPr="00FA117E">
        <w:rPr>
          <w:lang w:val="en-GB"/>
        </w:rPr>
        <w:t>694</w:t>
      </w:r>
      <w:r w:rsidR="00E439D2" w:rsidRPr="00FA117E">
        <w:rPr>
          <w:rStyle w:val="FootnoteReference"/>
          <w:lang w:val="en-GB"/>
        </w:rPr>
        <w:footnoteReference w:id="1"/>
      </w:r>
      <w:r w:rsidR="00E439D2" w:rsidRPr="00FA117E">
        <w:rPr>
          <w:lang w:val="en-GB"/>
        </w:rPr>
        <w:t>-790 MHz ('700 MHz') frequency band in the EU for the provision of wireless broadband and other uses in support of EU spectrum policy objectives</w:t>
      </w:r>
      <w:r w:rsidRPr="00FA117E">
        <w:rPr>
          <w:lang w:val="en-GB"/>
        </w:rPr>
        <w:t>”</w:t>
      </w:r>
    </w:p>
    <w:p w:rsidR="006F5883" w:rsidRPr="00FA117E" w:rsidRDefault="006F5883" w:rsidP="00AB46DF">
      <w:pPr>
        <w:pStyle w:val="Reporttitledescription"/>
        <w:rPr>
          <w:lang w:val="en-GB"/>
        </w:rPr>
      </w:pPr>
    </w:p>
    <w:p w:rsidR="00AB46DF" w:rsidRPr="00FA117E" w:rsidRDefault="009D68C3" w:rsidP="00AB46DF">
      <w:pPr>
        <w:pStyle w:val="Reporttitledescription"/>
        <w:rPr>
          <w:b/>
          <w:sz w:val="18"/>
          <w:lang w:val="en-GB"/>
        </w:rPr>
      </w:pPr>
      <w:bookmarkStart w:id="1" w:name="Text8"/>
      <w:r w:rsidRPr="00FA117E">
        <w:rPr>
          <w:b/>
          <w:sz w:val="18"/>
          <w:lang w:val="en-GB"/>
        </w:rPr>
        <w:t>Report approved on 01 March 2016 by the ECC</w:t>
      </w:r>
      <w:bookmarkEnd w:id="1"/>
      <w:r w:rsidRPr="00FA117E">
        <w:rPr>
          <w:b/>
          <w:sz w:val="18"/>
          <w:lang w:val="en-GB"/>
        </w:rPr>
        <w:t xml:space="preserve"> </w:t>
      </w:r>
    </w:p>
    <w:p w:rsidR="00AB46DF" w:rsidRPr="00FA117E" w:rsidRDefault="00AB46DF" w:rsidP="00AB46DF">
      <w:pPr>
        <w:pStyle w:val="Lastupdated"/>
        <w:rPr>
          <w:b/>
          <w:lang w:val="en-GB"/>
        </w:rPr>
      </w:pPr>
    </w:p>
    <w:p w:rsidR="00AB46DF" w:rsidRPr="00FA117E" w:rsidRDefault="00AB46DF">
      <w:pPr>
        <w:rPr>
          <w:lang w:val="en-GB"/>
        </w:rPr>
        <w:sectPr w:rsidR="00AB46DF" w:rsidRPr="00FA117E">
          <w:headerReference w:type="first" r:id="rId9"/>
          <w:pgSz w:w="11907" w:h="16840" w:code="9"/>
          <w:pgMar w:top="1440" w:right="1134" w:bottom="1440" w:left="1134" w:header="709" w:footer="709" w:gutter="0"/>
          <w:cols w:space="708"/>
          <w:titlePg/>
          <w:docGrid w:linePitch="360"/>
        </w:sectPr>
      </w:pPr>
    </w:p>
    <w:p w:rsidR="00AB46DF" w:rsidRPr="00FA117E" w:rsidRDefault="003C3EE4" w:rsidP="00AB46DF">
      <w:pPr>
        <w:pStyle w:val="Heading1"/>
      </w:pPr>
      <w:bookmarkStart w:id="2" w:name="_Toc441229616"/>
      <w:r w:rsidRPr="00FA117E">
        <w:lastRenderedPageBreak/>
        <w:t>Executive summary</w:t>
      </w:r>
      <w:bookmarkEnd w:id="2"/>
    </w:p>
    <w:p w:rsidR="00BF65DA" w:rsidRPr="00FA117E" w:rsidRDefault="00BF65DA" w:rsidP="00BF65DA">
      <w:pPr>
        <w:pStyle w:val="ECCParagraph"/>
      </w:pPr>
      <w:r w:rsidRPr="00FA117E">
        <w:t xml:space="preserve">This CEPT Report has been developed within </w:t>
      </w:r>
      <w:r w:rsidR="00532417" w:rsidRPr="00FA117E">
        <w:t xml:space="preserve">the </w:t>
      </w:r>
      <w:r w:rsidRPr="00FA117E">
        <w:t xml:space="preserve">European Conference of Postal and Telecommunications Administrations (CEPT) in the framework of the EC Mandate on the 700 MHz (see </w:t>
      </w:r>
      <w:r w:rsidR="00963850" w:rsidRPr="00FA117E">
        <w:fldChar w:fldCharType="begin"/>
      </w:r>
      <w:r w:rsidR="00963850" w:rsidRPr="00FA117E">
        <w:instrText xml:space="preserve"> REF _Ref422930461 \r \h </w:instrText>
      </w:r>
      <w:r w:rsidR="00532417" w:rsidRPr="00FA117E">
        <w:instrText xml:space="preserve"> \* MERGEFORMAT </w:instrText>
      </w:r>
      <w:r w:rsidR="00963850" w:rsidRPr="00FA117E">
        <w:fldChar w:fldCharType="separate"/>
      </w:r>
      <w:r w:rsidR="005C651F" w:rsidRPr="00FA117E">
        <w:t>ANNEX 1:</w:t>
      </w:r>
      <w:r w:rsidR="00963850" w:rsidRPr="00FA117E">
        <w:fldChar w:fldCharType="end"/>
      </w:r>
      <w:r w:rsidRPr="00FA117E">
        <w:t>).</w:t>
      </w:r>
    </w:p>
    <w:p w:rsidR="00BF65DA" w:rsidRPr="00FA117E" w:rsidRDefault="00BF65DA" w:rsidP="00BF65DA">
      <w:pPr>
        <w:pStyle w:val="ECCParagraph"/>
      </w:pPr>
      <w:r w:rsidRPr="00FA117E">
        <w:t>CEPT was mandated to undertake the following tasks:</w:t>
      </w:r>
    </w:p>
    <w:p w:rsidR="009D68C3" w:rsidRPr="00FA117E" w:rsidRDefault="00BF65DA" w:rsidP="009D68C3">
      <w:pPr>
        <w:pStyle w:val="ECCNumbered-LetteredList"/>
        <w:spacing w:before="120"/>
        <w:rPr>
          <w:lang w:val="en-GB"/>
        </w:rPr>
      </w:pPr>
      <w:r w:rsidRPr="00FA117E">
        <w:rPr>
          <w:lang w:val="en-GB"/>
        </w:rPr>
        <w:t xml:space="preserve">Develop a </w:t>
      </w:r>
      <w:r w:rsidRPr="00FA117E">
        <w:rPr>
          <w:i/>
          <w:lang w:val="en-GB"/>
        </w:rPr>
        <w:t>preferred technical (including channelling) arrangement</w:t>
      </w:r>
      <w:r w:rsidRPr="00FA117E">
        <w:rPr>
          <w:lang w:val="en-GB"/>
        </w:rPr>
        <w:t xml:space="preserve"> and identify </w:t>
      </w:r>
      <w:r w:rsidRPr="00FA117E">
        <w:rPr>
          <w:i/>
          <w:lang w:val="en-GB"/>
        </w:rPr>
        <w:t xml:space="preserve">common </w:t>
      </w:r>
      <w:r w:rsidRPr="00FA117E">
        <w:rPr>
          <w:lang w:val="en-GB"/>
        </w:rPr>
        <w:t xml:space="preserve">and </w:t>
      </w:r>
      <w:r w:rsidRPr="00FA117E">
        <w:rPr>
          <w:i/>
          <w:lang w:val="en-GB"/>
        </w:rPr>
        <w:t>minimal (least restrictive) technical conditions</w:t>
      </w:r>
      <w:r w:rsidRPr="00FA117E">
        <w:rPr>
          <w:rStyle w:val="FootnoteReference"/>
          <w:i/>
          <w:lang w:val="en-GB"/>
        </w:rPr>
        <w:footnoteReference w:id="2"/>
      </w:r>
      <w:r w:rsidRPr="00FA117E">
        <w:rPr>
          <w:lang w:val="en-GB"/>
        </w:rPr>
        <w:t xml:space="preserve"> for wireless broadband use in the 694</w:t>
      </w:r>
      <w:r w:rsidRPr="00FA117E">
        <w:rPr>
          <w:rStyle w:val="FootnoteReference"/>
          <w:lang w:val="en-GB"/>
        </w:rPr>
        <w:footnoteReference w:id="3"/>
      </w:r>
      <w:r w:rsidRPr="00FA117E">
        <w:rPr>
          <w:lang w:val="en-GB"/>
        </w:rPr>
        <w:t>-790 MHz frequency band for the provision of electronic communications services, subject later to a precise definition of the lower band edge under task (3), as well as PPDR services that can make use of such technical conditions.</w:t>
      </w:r>
    </w:p>
    <w:p w:rsidR="00BF65DA" w:rsidRPr="00FA117E" w:rsidRDefault="00BF65DA" w:rsidP="009D68C3">
      <w:pPr>
        <w:pStyle w:val="ECCNumbered-LetteredList"/>
        <w:numPr>
          <w:ilvl w:val="0"/>
          <w:numId w:val="0"/>
        </w:numPr>
        <w:spacing w:before="120"/>
        <w:ind w:left="340"/>
        <w:rPr>
          <w:lang w:val="en-GB"/>
        </w:rPr>
      </w:pPr>
      <w:r w:rsidRPr="00FA117E">
        <w:rPr>
          <w:lang w:val="en-GB"/>
        </w:rPr>
        <w:t>These conditions should be sufficient:</w:t>
      </w:r>
    </w:p>
    <w:p w:rsidR="00BF65DA" w:rsidRPr="00FA117E" w:rsidRDefault="00BF65DA" w:rsidP="00532417">
      <w:pPr>
        <w:pStyle w:val="ECCNumbered-LetteredList"/>
        <w:numPr>
          <w:ilvl w:val="1"/>
          <w:numId w:val="9"/>
        </w:numPr>
        <w:rPr>
          <w:lang w:val="en-GB"/>
        </w:rPr>
      </w:pPr>
      <w:r w:rsidRPr="00FA117E">
        <w:rPr>
          <w:lang w:val="en-GB"/>
        </w:rPr>
        <w:t>to avoid interference between wireless broadband use and other services in the 694</w:t>
      </w:r>
      <w:r w:rsidRPr="00FA117E">
        <w:rPr>
          <w:vertAlign w:val="superscript"/>
          <w:lang w:val="en-GB"/>
        </w:rPr>
        <w:t>3</w:t>
      </w:r>
      <w:r w:rsidRPr="00FA117E">
        <w:rPr>
          <w:lang w:val="en-GB"/>
        </w:rPr>
        <w:t>-790 MHz band and in adjacent bands, and in particular to ensure the appropriate protection of broadcasting and PMSE services below the lower band edge, as well as compliance with EU harmonised conditions for the 790-862 MHz band</w:t>
      </w:r>
      <w:r w:rsidRPr="00FA117E">
        <w:rPr>
          <w:rStyle w:val="FootnoteReference"/>
          <w:lang w:val="en-GB"/>
        </w:rPr>
        <w:footnoteReference w:id="4"/>
      </w:r>
      <w:r w:rsidRPr="00FA117E">
        <w:rPr>
          <w:lang w:val="en-GB"/>
        </w:rPr>
        <w:t>;</w:t>
      </w:r>
    </w:p>
    <w:p w:rsidR="00BF65DA" w:rsidRPr="00FA117E" w:rsidRDefault="00BF65DA" w:rsidP="00532417">
      <w:pPr>
        <w:pStyle w:val="ECCNumbered-LetteredList"/>
        <w:numPr>
          <w:ilvl w:val="1"/>
          <w:numId w:val="9"/>
        </w:numPr>
        <w:rPr>
          <w:lang w:val="en-GB"/>
        </w:rPr>
      </w:pPr>
      <w:r w:rsidRPr="00FA117E">
        <w:rPr>
          <w:lang w:val="en-GB"/>
        </w:rPr>
        <w:t>to facilitate cross-border coordination, including at the EU external borders;</w:t>
      </w:r>
    </w:p>
    <w:p w:rsidR="009D68C3" w:rsidRPr="00FA117E" w:rsidRDefault="009D68C3" w:rsidP="009D68C3">
      <w:pPr>
        <w:pStyle w:val="ECCNumbered-LetteredList"/>
        <w:numPr>
          <w:ilvl w:val="0"/>
          <w:numId w:val="0"/>
        </w:numPr>
        <w:ind w:left="680"/>
        <w:rPr>
          <w:lang w:val="en-GB"/>
        </w:rPr>
      </w:pPr>
    </w:p>
    <w:p w:rsidR="00BF65DA" w:rsidRPr="00FA117E" w:rsidRDefault="00BF65DA" w:rsidP="00532417">
      <w:pPr>
        <w:pStyle w:val="ECCNumbered-LetteredList"/>
        <w:rPr>
          <w:lang w:val="en-GB"/>
        </w:rPr>
      </w:pPr>
      <w:r w:rsidRPr="00FA117E">
        <w:rPr>
          <w:lang w:val="en-GB"/>
        </w:rPr>
        <w:t xml:space="preserve">In performing (1), study the possibility of identifying </w:t>
      </w:r>
      <w:r w:rsidRPr="00FA117E">
        <w:rPr>
          <w:i/>
          <w:lang w:val="en-GB"/>
        </w:rPr>
        <w:t>suitable spectrum to accommodate</w:t>
      </w:r>
      <w:r w:rsidRPr="00FA117E">
        <w:rPr>
          <w:lang w:val="en-GB"/>
        </w:rPr>
        <w:t xml:space="preserve"> incumbent uses in the 694</w:t>
      </w:r>
      <w:r w:rsidRPr="00FA117E">
        <w:rPr>
          <w:vertAlign w:val="superscript"/>
          <w:lang w:val="en-GB"/>
        </w:rPr>
        <w:t>3</w:t>
      </w:r>
      <w:r w:rsidRPr="00FA117E">
        <w:rPr>
          <w:lang w:val="en-GB"/>
        </w:rPr>
        <w:t>-790 MHz band such as PMSE (in particular wireless microphones)</w:t>
      </w:r>
      <w:r w:rsidRPr="00FA117E">
        <w:rPr>
          <w:rStyle w:val="FootnoteReference"/>
          <w:lang w:val="en-GB"/>
        </w:rPr>
        <w:footnoteReference w:id="5"/>
      </w:r>
      <w:r w:rsidRPr="00FA117E">
        <w:rPr>
          <w:lang w:val="en-GB"/>
        </w:rPr>
        <w:t xml:space="preserve">, and develop </w:t>
      </w:r>
      <w:r w:rsidRPr="00FA117E">
        <w:rPr>
          <w:i/>
          <w:lang w:val="en-GB"/>
        </w:rPr>
        <w:t>common technical conditions</w:t>
      </w:r>
      <w:r w:rsidRPr="00FA117E">
        <w:rPr>
          <w:lang w:val="en-GB"/>
        </w:rPr>
        <w:t xml:space="preserve"> for the coexistence of such uses with wireless broadband use in the band, taking into account spectrum sharing requirements and efficient spectrum use;</w:t>
      </w:r>
    </w:p>
    <w:p w:rsidR="009D68C3" w:rsidRPr="00FA117E" w:rsidRDefault="009D68C3" w:rsidP="009D68C3">
      <w:pPr>
        <w:pStyle w:val="ECCNumbered-LetteredList"/>
        <w:numPr>
          <w:ilvl w:val="0"/>
          <w:numId w:val="0"/>
        </w:numPr>
        <w:ind w:left="340"/>
        <w:rPr>
          <w:lang w:val="en-GB"/>
        </w:rPr>
      </w:pPr>
    </w:p>
    <w:p w:rsidR="00BF65DA" w:rsidRPr="00FA117E" w:rsidRDefault="00BF65DA" w:rsidP="00532417">
      <w:pPr>
        <w:pStyle w:val="ECCNumbered-LetteredList"/>
        <w:rPr>
          <w:lang w:val="en-GB"/>
        </w:rPr>
      </w:pPr>
      <w:r w:rsidRPr="00FA117E">
        <w:rPr>
          <w:lang w:val="en-GB"/>
        </w:rPr>
        <w:t>In addition to and based on (1) and taking utmost account of the possibility of international harmonisation</w:t>
      </w:r>
      <w:r w:rsidRPr="00FA117E">
        <w:rPr>
          <w:rStyle w:val="FootnoteReference"/>
          <w:lang w:val="en-GB"/>
        </w:rPr>
        <w:footnoteReference w:id="6"/>
      </w:r>
      <w:r w:rsidRPr="00FA117E">
        <w:rPr>
          <w:lang w:val="en-GB"/>
        </w:rPr>
        <w:t xml:space="preserve">, assess the need to refine the conditions developed under (1), in particular </w:t>
      </w:r>
      <w:r w:rsidRPr="00FA117E">
        <w:rPr>
          <w:i/>
          <w:lang w:val="en-GB"/>
        </w:rPr>
        <w:t>the common and minimal (least restrictive) technical conditions</w:t>
      </w:r>
      <w:r w:rsidRPr="00FA117E">
        <w:rPr>
          <w:lang w:val="en-GB"/>
        </w:rPr>
        <w:t>, in order to ensure that they are sufficiently precise for the development of EU-wide equipment. The overall aim of a coordinated European approach should be considered, as implemented through detailed national decisions on frequency rearrangements in line with international fre</w:t>
      </w:r>
      <w:r w:rsidR="003E0C1B" w:rsidRPr="00FA117E">
        <w:rPr>
          <w:lang w:val="en-GB"/>
        </w:rPr>
        <w:t>quency coordination obligations.</w:t>
      </w:r>
    </w:p>
    <w:p w:rsidR="00D84E7C" w:rsidRPr="00FA117E" w:rsidRDefault="00D84E7C" w:rsidP="00D84E7C">
      <w:pPr>
        <w:pStyle w:val="ECCNumbered-LetteredList"/>
        <w:numPr>
          <w:ilvl w:val="0"/>
          <w:numId w:val="0"/>
        </w:numPr>
        <w:ind w:left="340"/>
        <w:rPr>
          <w:lang w:val="en-GB"/>
        </w:rPr>
      </w:pPr>
    </w:p>
    <w:p w:rsidR="00544B2D" w:rsidRPr="00FA117E" w:rsidRDefault="002B119B" w:rsidP="00532417">
      <w:pPr>
        <w:pStyle w:val="ECCParagraph"/>
      </w:pPr>
      <w:r w:rsidRPr="00FA117E">
        <w:t>Tasks</w:t>
      </w:r>
      <w:r w:rsidR="00BF65DA" w:rsidRPr="00FA117E">
        <w:t xml:space="preserve"> 1 and 2 have been addressed and answered in CEPT Report 53</w:t>
      </w:r>
      <w:r w:rsidR="00E63FB1" w:rsidRPr="00FA117E">
        <w:t xml:space="preserve"> </w:t>
      </w:r>
      <w:r w:rsidR="00E63FB1" w:rsidRPr="00FA117E">
        <w:fldChar w:fldCharType="begin"/>
      </w:r>
      <w:r w:rsidR="00E63FB1" w:rsidRPr="00FA117E">
        <w:instrText xml:space="preserve"> REF _Ref420684125 \r \h </w:instrText>
      </w:r>
      <w:r w:rsidR="002044AA" w:rsidRPr="00FA117E">
        <w:instrText xml:space="preserve"> \* MERGEFORMAT </w:instrText>
      </w:r>
      <w:r w:rsidR="00E63FB1" w:rsidRPr="00FA117E">
        <w:fldChar w:fldCharType="separate"/>
      </w:r>
      <w:r w:rsidR="005C651F" w:rsidRPr="00FA117E">
        <w:t>[1]</w:t>
      </w:r>
      <w:r w:rsidR="00E63FB1" w:rsidRPr="00FA117E">
        <w:fldChar w:fldCharType="end"/>
      </w:r>
      <w:r w:rsidR="00DE749B" w:rsidRPr="00FA117E">
        <w:t xml:space="preserve">. </w:t>
      </w:r>
      <w:r w:rsidR="00BF65DA" w:rsidRPr="00FA117E">
        <w:t xml:space="preserve">This CEPT Report </w:t>
      </w:r>
      <w:r w:rsidR="00544B2D" w:rsidRPr="00FA117E">
        <w:t>is a response to</w:t>
      </w:r>
      <w:r w:rsidR="00BF65DA" w:rsidRPr="00FA117E">
        <w:t xml:space="preserve"> Task 3</w:t>
      </w:r>
      <w:r w:rsidR="00ED413D" w:rsidRPr="00FA117E">
        <w:t xml:space="preserve"> of the EC mandate 700 MHz (</w:t>
      </w:r>
      <w:r w:rsidR="00DE749B" w:rsidRPr="00FA117E">
        <w:t xml:space="preserve">see </w:t>
      </w:r>
      <w:r w:rsidR="00690853" w:rsidRPr="00FA117E">
        <w:fldChar w:fldCharType="begin"/>
      </w:r>
      <w:r w:rsidR="00690853" w:rsidRPr="00FA117E">
        <w:instrText xml:space="preserve"> REF _Ref422930461 \n \h </w:instrText>
      </w:r>
      <w:r w:rsidR="00532417" w:rsidRPr="00FA117E">
        <w:instrText xml:space="preserve"> \* MERGEFORMAT </w:instrText>
      </w:r>
      <w:r w:rsidR="00690853" w:rsidRPr="00FA117E">
        <w:fldChar w:fldCharType="separate"/>
      </w:r>
      <w:r w:rsidR="005C651F" w:rsidRPr="00FA117E">
        <w:t>ANNEX 1:</w:t>
      </w:r>
      <w:r w:rsidR="00690853" w:rsidRPr="00FA117E">
        <w:fldChar w:fldCharType="end"/>
      </w:r>
      <w:r w:rsidR="00ED413D" w:rsidRPr="00FA117E">
        <w:t>)</w:t>
      </w:r>
      <w:r w:rsidR="00544B2D" w:rsidRPr="00FA117E">
        <w:t>. The European Commission requested an early delivery of the CEPT res</w:t>
      </w:r>
      <w:r w:rsidR="00ED413D" w:rsidRPr="00FA117E">
        <w:t xml:space="preserve">ponse to </w:t>
      </w:r>
      <w:r w:rsidR="00D84E7C" w:rsidRPr="00FA117E">
        <w:t>T</w:t>
      </w:r>
      <w:r w:rsidR="00ED413D" w:rsidRPr="00FA117E">
        <w:t xml:space="preserve">ask 3 (see </w:t>
      </w:r>
      <w:r w:rsidR="00690853" w:rsidRPr="00FA117E">
        <w:fldChar w:fldCharType="begin"/>
      </w:r>
      <w:r w:rsidR="00690853" w:rsidRPr="00FA117E">
        <w:instrText xml:space="preserve"> REF _Ref422930426 \r \h </w:instrText>
      </w:r>
      <w:r w:rsidR="00532417" w:rsidRPr="00FA117E">
        <w:instrText xml:space="preserve"> \* MERGEFORMAT </w:instrText>
      </w:r>
      <w:r w:rsidR="00690853" w:rsidRPr="00FA117E">
        <w:fldChar w:fldCharType="separate"/>
      </w:r>
      <w:r w:rsidR="005C651F" w:rsidRPr="00FA117E">
        <w:t>ANNEX 2:</w:t>
      </w:r>
      <w:r w:rsidR="00690853" w:rsidRPr="00FA117E">
        <w:fldChar w:fldCharType="end"/>
      </w:r>
      <w:r w:rsidR="00544B2D" w:rsidRPr="00FA117E">
        <w:t>)</w:t>
      </w:r>
      <w:r w:rsidR="00DE749B" w:rsidRPr="00FA117E">
        <w:t>.</w:t>
      </w:r>
    </w:p>
    <w:p w:rsidR="00EB497B" w:rsidRPr="00FA117E" w:rsidRDefault="003704F4" w:rsidP="00532417">
      <w:pPr>
        <w:pStyle w:val="ECCParagraph"/>
      </w:pPr>
      <w:r w:rsidRPr="00FA117E">
        <w:t>N</w:t>
      </w:r>
      <w:r w:rsidR="00EB497B" w:rsidRPr="00FA117E">
        <w:t xml:space="preserve">o particular modification has been introduced with respect to the provisions already included in CEPT Report </w:t>
      </w:r>
      <w:r w:rsidR="009B7D16" w:rsidRPr="00FA117E">
        <w:t>53</w:t>
      </w:r>
      <w:r w:rsidRPr="00FA117E">
        <w:t xml:space="preserve"> as a result of the outcome of WRC-15</w:t>
      </w:r>
      <w:r w:rsidR="00BE04FB" w:rsidRPr="00FA117E">
        <w:t>.</w:t>
      </w:r>
    </w:p>
    <w:p w:rsidR="002B119B" w:rsidRPr="00FA117E" w:rsidRDefault="002B119B" w:rsidP="00532417">
      <w:pPr>
        <w:pStyle w:val="ECCParagraph"/>
      </w:pPr>
      <w:r w:rsidRPr="00FA117E">
        <w:t>The channelling arrangement for Mobile/Fixed Communications Networks (MFCN) including an optional unpaired channelling arrangement (SDL) as contained in CEPT Report 53 was reviewed and no need to revise this arrangement was identified. The channelling arrangement for MFCN as contained in CEPT Report 53 is therefore confirmed.</w:t>
      </w:r>
    </w:p>
    <w:p w:rsidR="002B119B" w:rsidRPr="00FA117E" w:rsidRDefault="002B119B" w:rsidP="00532417">
      <w:pPr>
        <w:pStyle w:val="ECCParagraph"/>
      </w:pPr>
      <w:r w:rsidRPr="00FA117E">
        <w:t xml:space="preserve">The information on national options other than SDL (PMSE, PPDR and M2M) as contained in CEPT Report 53 was reviewed and </w:t>
      </w:r>
      <w:r w:rsidR="003704F4" w:rsidRPr="00FA117E">
        <w:t xml:space="preserve">is </w:t>
      </w:r>
      <w:r w:rsidRPr="00FA117E">
        <w:t>updated</w:t>
      </w:r>
      <w:r w:rsidR="003704F4" w:rsidRPr="00FA117E">
        <w:t xml:space="preserve"> in this report</w:t>
      </w:r>
      <w:r w:rsidRPr="00FA117E">
        <w:t xml:space="preserve">, concerning BB PPDR band plans, based on the latest information available within CEPT. However, all these options are to be realised on national basis </w:t>
      </w:r>
      <w:r w:rsidR="00DF7FD2" w:rsidRPr="00FA117E">
        <w:t xml:space="preserve">only </w:t>
      </w:r>
      <w:r w:rsidRPr="00FA117E">
        <w:t>according to national needs.</w:t>
      </w:r>
    </w:p>
    <w:p w:rsidR="00EB497B" w:rsidRPr="00FA117E" w:rsidRDefault="00EB497B" w:rsidP="009D68C3">
      <w:pPr>
        <w:pStyle w:val="ECCParagraph"/>
        <w:keepNext/>
      </w:pPr>
      <w:r w:rsidRPr="00FA117E">
        <w:lastRenderedPageBreak/>
        <w:t xml:space="preserve">In this report the following </w:t>
      </w:r>
      <w:r w:rsidR="00DF7FD2" w:rsidRPr="00FA117E">
        <w:t>terms are used</w:t>
      </w:r>
      <w:r w:rsidRPr="00FA117E">
        <w:t>:</w:t>
      </w:r>
    </w:p>
    <w:p w:rsidR="00EB497B" w:rsidRPr="00FA117E" w:rsidRDefault="00EB497B" w:rsidP="00532417">
      <w:pPr>
        <w:pStyle w:val="ECCParagraph"/>
        <w:numPr>
          <w:ilvl w:val="0"/>
          <w:numId w:val="34"/>
        </w:numPr>
        <w:tabs>
          <w:tab w:val="left" w:pos="2281"/>
        </w:tabs>
      </w:pPr>
      <w:r w:rsidRPr="00FA117E">
        <w:t xml:space="preserve">PPDR: </w:t>
      </w:r>
      <w:r w:rsidRPr="00FA117E">
        <w:rPr>
          <w:i/>
          <w:iCs/>
        </w:rPr>
        <w:t>'public protection and disaster relief radio communications' means radio public safety and security services used by national authorities or relevant operators responding to the relevant national needs in public safety and security including in emergency situation</w:t>
      </w:r>
      <w:r w:rsidR="002044AA" w:rsidRPr="00FA117E">
        <w:rPr>
          <w:i/>
          <w:iCs/>
        </w:rPr>
        <w:t>.</w:t>
      </w:r>
    </w:p>
    <w:p w:rsidR="00EB497B" w:rsidRPr="00FA117E" w:rsidRDefault="00EB497B" w:rsidP="00532417">
      <w:pPr>
        <w:pStyle w:val="ECCParagraph"/>
        <w:numPr>
          <w:ilvl w:val="0"/>
          <w:numId w:val="34"/>
        </w:numPr>
        <w:tabs>
          <w:tab w:val="left" w:pos="2281"/>
        </w:tabs>
      </w:pPr>
      <w:r w:rsidRPr="00FA117E">
        <w:t xml:space="preserve">M2M: </w:t>
      </w:r>
      <w:r w:rsidRPr="00FA117E">
        <w:rPr>
          <w:i/>
        </w:rPr>
        <w:t>Machine to Machine communication</w:t>
      </w:r>
      <w:r w:rsidR="00FF08BA" w:rsidRPr="00FA117E">
        <w:rPr>
          <w:i/>
        </w:rPr>
        <w:t>s</w:t>
      </w:r>
      <w:r w:rsidRPr="00FA117E">
        <w:rPr>
          <w:i/>
        </w:rPr>
        <w:t xml:space="preserve"> </w:t>
      </w:r>
      <w:r w:rsidR="00FF08BA" w:rsidRPr="00FA117E">
        <w:rPr>
          <w:i/>
        </w:rPr>
        <w:t xml:space="preserve">is a </w:t>
      </w:r>
      <w:r w:rsidRPr="00FA117E">
        <w:rPr>
          <w:i/>
        </w:rPr>
        <w:t>general term and correspond</w:t>
      </w:r>
      <w:r w:rsidR="00FF08BA" w:rsidRPr="00FA117E">
        <w:rPr>
          <w:i/>
        </w:rPr>
        <w:t>s</w:t>
      </w:r>
      <w:r w:rsidRPr="00FA117E">
        <w:rPr>
          <w:i/>
        </w:rPr>
        <w:t xml:space="preserve"> to a complex ecosystem including </w:t>
      </w:r>
      <w:proofErr w:type="spellStart"/>
      <w:r w:rsidRPr="00FA117E">
        <w:rPr>
          <w:i/>
        </w:rPr>
        <w:t>IoT</w:t>
      </w:r>
      <w:proofErr w:type="spellEnd"/>
      <w:r w:rsidRPr="00FA117E">
        <w:rPr>
          <w:i/>
        </w:rPr>
        <w:t xml:space="preserve"> (Internet of Things). This report refers to Machine </w:t>
      </w:r>
      <w:r w:rsidR="00FF08BA" w:rsidRPr="00FA117E">
        <w:rPr>
          <w:i/>
        </w:rPr>
        <w:t>to</w:t>
      </w:r>
      <w:r w:rsidRPr="00FA117E">
        <w:rPr>
          <w:i/>
        </w:rPr>
        <w:t xml:space="preserve"> Machine communications based on cellular technologies.</w:t>
      </w:r>
    </w:p>
    <w:p w:rsidR="00FF08BA" w:rsidRPr="00FA117E" w:rsidRDefault="002044AA" w:rsidP="00532417">
      <w:pPr>
        <w:pStyle w:val="ECCParagraph"/>
        <w:numPr>
          <w:ilvl w:val="0"/>
          <w:numId w:val="34"/>
        </w:numPr>
        <w:tabs>
          <w:tab w:val="left" w:pos="2281"/>
        </w:tabs>
      </w:pPr>
      <w:r w:rsidRPr="00FA117E">
        <w:t xml:space="preserve">PMSE: </w:t>
      </w:r>
      <w:r w:rsidR="00FF08BA" w:rsidRPr="00FA117E">
        <w:rPr>
          <w:i/>
        </w:rPr>
        <w:t xml:space="preserve">Programme making and special events. For the purpose of this report, only the </w:t>
      </w:r>
      <w:r w:rsidR="00986C38" w:rsidRPr="00FA117E">
        <w:rPr>
          <w:i/>
        </w:rPr>
        <w:t xml:space="preserve">wireless </w:t>
      </w:r>
      <w:r w:rsidR="00FF08BA" w:rsidRPr="00FA117E">
        <w:rPr>
          <w:i/>
        </w:rPr>
        <w:t>audio component of PMSE is addressed</w:t>
      </w:r>
      <w:r w:rsidRPr="00FA117E">
        <w:rPr>
          <w:i/>
        </w:rPr>
        <w:t>.</w:t>
      </w:r>
    </w:p>
    <w:p w:rsidR="002B119B" w:rsidRPr="00FA117E" w:rsidRDefault="002B119B" w:rsidP="002B119B">
      <w:pPr>
        <w:pStyle w:val="ECCParagraph"/>
        <w:tabs>
          <w:tab w:val="left" w:pos="2281"/>
        </w:tabs>
      </w:pPr>
      <w:r w:rsidRPr="00FA117E">
        <w:t xml:space="preserve">Furthermore, the information on the Least Restrictive Technical Conditions / BEM as contained in CEPT Report 53 was reviewed and </w:t>
      </w:r>
      <w:r w:rsidR="003704F4" w:rsidRPr="00FA117E">
        <w:t xml:space="preserve">is </w:t>
      </w:r>
      <w:r w:rsidRPr="00FA117E">
        <w:t xml:space="preserve">updated </w:t>
      </w:r>
      <w:r w:rsidR="003704F4" w:rsidRPr="00FA117E">
        <w:t xml:space="preserve">in this report </w:t>
      </w:r>
      <w:r w:rsidRPr="00FA117E">
        <w:t>based on the latest information available within CEPT</w:t>
      </w:r>
      <w:r w:rsidRPr="00FA117E">
        <w:rPr>
          <w:rStyle w:val="FootnoteReference"/>
        </w:rPr>
        <w:footnoteReference w:id="7"/>
      </w:r>
      <w:r w:rsidRPr="00FA117E">
        <w:t>. CEPT recommends the technical conditions hereafter as the basis for the LRTC to be included in the future harmonisation measure</w:t>
      </w:r>
      <w:r w:rsidR="003704F4" w:rsidRPr="00FA117E">
        <w:t>s for this band.</w:t>
      </w:r>
      <w:r w:rsidRPr="00FA117E">
        <w:t xml:space="preserve"> </w:t>
      </w:r>
    </w:p>
    <w:p w:rsidR="002B119B" w:rsidRPr="00FA117E" w:rsidRDefault="002B119B" w:rsidP="006F75CE">
      <w:pPr>
        <w:pStyle w:val="ECCParagraph"/>
        <w:tabs>
          <w:tab w:val="left" w:pos="2281"/>
        </w:tabs>
      </w:pPr>
      <w:r w:rsidRPr="00FA117E">
        <w:t>Finally, the technical conditions for wireless audio</w:t>
      </w:r>
      <w:r w:rsidR="004659FA" w:rsidRPr="00FA117E">
        <w:t xml:space="preserve"> component of</w:t>
      </w:r>
      <w:r w:rsidRPr="00FA117E">
        <w:t xml:space="preserve"> PMSE as contained in CEPT Report 53 was reviewed and </w:t>
      </w:r>
      <w:r w:rsidR="003704F4" w:rsidRPr="00FA117E">
        <w:t xml:space="preserve">is </w:t>
      </w:r>
      <w:r w:rsidRPr="00FA117E">
        <w:t xml:space="preserve">clarified </w:t>
      </w:r>
      <w:r w:rsidR="003704F4" w:rsidRPr="00FA117E">
        <w:t xml:space="preserve">in this report </w:t>
      </w:r>
      <w:r w:rsidRPr="00FA117E">
        <w:t>based on the latest information available within CEPT.</w:t>
      </w:r>
      <w:r w:rsidR="007532D5" w:rsidRPr="00FA117E">
        <w:t xml:space="preserve"> </w:t>
      </w:r>
    </w:p>
    <w:p w:rsidR="007532D5" w:rsidRPr="00FA117E" w:rsidRDefault="007532D5" w:rsidP="007532D5">
      <w:pPr>
        <w:pStyle w:val="ECCParagraph"/>
        <w:tabs>
          <w:tab w:val="left" w:pos="2281"/>
        </w:tabs>
      </w:pPr>
      <w:r w:rsidRPr="00FA117E">
        <w:t xml:space="preserve">CEPT confirms that for the following items, the results in CEPT Report 53 remain valid, and they are thus not addressed in this report: </w:t>
      </w:r>
    </w:p>
    <w:p w:rsidR="007532D5" w:rsidRPr="00FA117E" w:rsidRDefault="007532D5" w:rsidP="00532417">
      <w:pPr>
        <w:pStyle w:val="ECCParagraph"/>
        <w:numPr>
          <w:ilvl w:val="0"/>
          <w:numId w:val="36"/>
        </w:numPr>
        <w:tabs>
          <w:tab w:val="left" w:pos="2281"/>
        </w:tabs>
      </w:pPr>
      <w:r w:rsidRPr="00FA117E">
        <w:t xml:space="preserve">Additional considerations on the coexistence between MFCN and broadcasting below 694 MHz </w:t>
      </w:r>
    </w:p>
    <w:p w:rsidR="007532D5" w:rsidRPr="00FA117E" w:rsidRDefault="007532D5" w:rsidP="00532417">
      <w:pPr>
        <w:pStyle w:val="ECCParagraph"/>
        <w:numPr>
          <w:ilvl w:val="0"/>
          <w:numId w:val="36"/>
        </w:numPr>
        <w:tabs>
          <w:tab w:val="left" w:pos="2281"/>
        </w:tabs>
      </w:pPr>
      <w:r w:rsidRPr="00FA117E">
        <w:t>Interference from broadcasting to MFCN</w:t>
      </w:r>
    </w:p>
    <w:p w:rsidR="007532D5" w:rsidRPr="00FA117E" w:rsidRDefault="007532D5" w:rsidP="00532417">
      <w:pPr>
        <w:pStyle w:val="ECCParagraph"/>
        <w:numPr>
          <w:ilvl w:val="0"/>
          <w:numId w:val="36"/>
        </w:numPr>
        <w:tabs>
          <w:tab w:val="left" w:pos="2281"/>
        </w:tabs>
      </w:pPr>
      <w:r w:rsidRPr="00FA117E">
        <w:t>Compatibility with harmonised conditions of wireless broadband at 790-862 MHz</w:t>
      </w:r>
    </w:p>
    <w:p w:rsidR="007532D5" w:rsidRPr="00FA117E" w:rsidRDefault="007532D5" w:rsidP="00532417">
      <w:pPr>
        <w:pStyle w:val="ECCParagraph"/>
        <w:numPr>
          <w:ilvl w:val="0"/>
          <w:numId w:val="36"/>
        </w:numPr>
        <w:tabs>
          <w:tab w:val="left" w:pos="2281"/>
        </w:tabs>
      </w:pPr>
      <w:r w:rsidRPr="00FA117E">
        <w:t>Non radio issue</w:t>
      </w:r>
      <w:r w:rsidR="00FA117E">
        <w:t>s</w:t>
      </w:r>
      <w:r w:rsidR="008F3E5F" w:rsidRPr="00FA117E">
        <w:t xml:space="preserve"> (potential impact on non-radio end-user equipment for fixed broadcasting and broadband electronic communication services)</w:t>
      </w:r>
    </w:p>
    <w:p w:rsidR="00DF43C7" w:rsidRPr="00FA117E" w:rsidRDefault="00DF43C7" w:rsidP="00DF43C7">
      <w:pPr>
        <w:pStyle w:val="ECCParagraph"/>
      </w:pPr>
      <w:r w:rsidRPr="00FA117E">
        <w:t xml:space="preserve">These national options may result in several scenarios of cross-border coexistence between CEPT administrations. A conventional duplex approach ensures that cross-border coordination between PPDR networks and MFCN SDL systems </w:t>
      </w:r>
      <w:r w:rsidR="00932574" w:rsidRPr="00FA117E">
        <w:t>is</w:t>
      </w:r>
      <w:r w:rsidRPr="00FA117E">
        <w:t xml:space="preserve"> manageable with appropriate field-strength levels to be defined later by CEPT in relevant ECC Recommendations for cross-border coordination. Bilateral cross-border coordination agreements signed by national administrations in that regard will not impact those technical conditions as described below.</w:t>
      </w:r>
    </w:p>
    <w:p w:rsidR="00AB46DF" w:rsidRPr="00FA117E" w:rsidRDefault="001B7273" w:rsidP="006F75CE">
      <w:pPr>
        <w:pStyle w:val="ECCParagraph"/>
        <w:tabs>
          <w:tab w:val="left" w:pos="2281"/>
        </w:tabs>
      </w:pPr>
      <w:r w:rsidRPr="00FA117E">
        <w:t xml:space="preserve">The cross-border coordination issues between MFCN and other services in the band 694-790 MHz were addressed by WRC-15 and are covered in Resolution </w:t>
      </w:r>
      <w:r w:rsidR="00986C38" w:rsidRPr="00FA117E">
        <w:t>760</w:t>
      </w:r>
      <w:r w:rsidRPr="00FA117E">
        <w:t xml:space="preserve"> (WRC-15) </w:t>
      </w:r>
      <w:r w:rsidR="00532417" w:rsidRPr="00FA117E">
        <w:t>“</w:t>
      </w:r>
      <w:r w:rsidRPr="00FA117E">
        <w:t>Provisions relating to the use of the frequency band 694-790 MHz in Region 1 by the mobile, except aeronautical mobile, service and by other services</w:t>
      </w:r>
      <w:r w:rsidR="00532417" w:rsidRPr="00FA117E">
        <w:t>”</w:t>
      </w:r>
      <w:r w:rsidRPr="00FA117E">
        <w:t>.</w:t>
      </w:r>
      <w:r w:rsidR="003C3EE4" w:rsidRPr="00FA117E">
        <w:br w:type="page"/>
      </w:r>
    </w:p>
    <w:p w:rsidR="00AB46DF" w:rsidRPr="00FA117E" w:rsidRDefault="00D20E3B" w:rsidP="00AB46DF">
      <w:pPr>
        <w:rPr>
          <w:b/>
          <w:color w:val="FFFFFF"/>
          <w:lang w:val="en-GB"/>
        </w:rPr>
      </w:pPr>
      <w:r w:rsidRPr="00FA117E">
        <w:rPr>
          <w:b/>
          <w:noProof/>
          <w:color w:val="FFFFFF"/>
          <w:szCs w:val="20"/>
          <w:lang w:val="da-DK" w:eastAsia="da-DK"/>
        </w:rPr>
        <w:lastRenderedPageBreak/>
        <mc:AlternateContent>
          <mc:Choice Requires="wps">
            <w:drawing>
              <wp:anchor distT="0" distB="0" distL="114300" distR="114300" simplePos="0" relativeHeight="251656192" behindDoc="1" locked="0" layoutInCell="1" allowOverlap="1" wp14:anchorId="715C492E" wp14:editId="7C706437">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D20E3B" w:rsidRPr="00FA117E" w:rsidRDefault="00D20E3B" w:rsidP="00AB46DF">
      <w:pPr>
        <w:rPr>
          <w:b/>
          <w:color w:val="FFFFFF"/>
          <w:szCs w:val="20"/>
          <w:lang w:val="en-GB"/>
        </w:rPr>
      </w:pPr>
    </w:p>
    <w:p w:rsidR="00AB46DF" w:rsidRPr="00FA117E" w:rsidRDefault="002209A7" w:rsidP="00AB46DF">
      <w:pPr>
        <w:rPr>
          <w:b/>
          <w:color w:val="FFFFFF"/>
          <w:szCs w:val="20"/>
          <w:lang w:val="en-GB"/>
        </w:rPr>
      </w:pPr>
      <w:r w:rsidRPr="00FA117E">
        <w:rPr>
          <w:b/>
          <w:color w:val="FFFFFF"/>
          <w:szCs w:val="20"/>
          <w:lang w:val="en-GB"/>
        </w:rPr>
        <w:t>TABLE OF CONTENTS</w:t>
      </w:r>
    </w:p>
    <w:p w:rsidR="00512677" w:rsidRPr="00FA117E" w:rsidRDefault="00512677" w:rsidP="00AB46DF">
      <w:pPr>
        <w:rPr>
          <w:b/>
          <w:color w:val="FFFFFF"/>
          <w:szCs w:val="20"/>
          <w:lang w:val="en-GB"/>
        </w:rPr>
      </w:pPr>
    </w:p>
    <w:p w:rsidR="00512677" w:rsidRPr="00FA117E" w:rsidRDefault="00512677" w:rsidP="00AB46DF">
      <w:pPr>
        <w:rPr>
          <w:b/>
          <w:color w:val="FFFFFF"/>
          <w:szCs w:val="20"/>
          <w:lang w:val="en-GB"/>
        </w:rPr>
      </w:pPr>
    </w:p>
    <w:p w:rsidR="00AB46DF" w:rsidRPr="00FA117E" w:rsidRDefault="00AB46DF">
      <w:pPr>
        <w:rPr>
          <w:lang w:val="en-GB"/>
        </w:rPr>
      </w:pPr>
    </w:p>
    <w:p w:rsidR="005C651F" w:rsidRPr="00FA117E" w:rsidRDefault="003C3EE4">
      <w:pPr>
        <w:pStyle w:val="TOC1"/>
        <w:rPr>
          <w:rFonts w:asciiTheme="minorHAnsi" w:eastAsiaTheme="minorEastAsia" w:hAnsiTheme="minorHAnsi" w:cstheme="minorBidi"/>
          <w:b w:val="0"/>
          <w:caps w:val="0"/>
          <w:noProof/>
          <w:sz w:val="22"/>
          <w:szCs w:val="22"/>
          <w:lang w:val="en-GB" w:eastAsia="da-DK"/>
        </w:rPr>
      </w:pPr>
      <w:r w:rsidRPr="00FA117E">
        <w:rPr>
          <w:caps w:val="0"/>
          <w:lang w:val="en-GB"/>
        </w:rPr>
        <w:fldChar w:fldCharType="begin"/>
      </w:r>
      <w:r w:rsidRPr="00FA117E">
        <w:rPr>
          <w:caps w:val="0"/>
          <w:lang w:val="en-GB"/>
        </w:rPr>
        <w:instrText xml:space="preserve"> TOC \o "1-4" \h \z \u </w:instrText>
      </w:r>
      <w:r w:rsidRPr="00FA117E">
        <w:rPr>
          <w:caps w:val="0"/>
          <w:lang w:val="en-GB"/>
        </w:rPr>
        <w:fldChar w:fldCharType="separate"/>
      </w:r>
      <w:hyperlink w:anchor="_Toc441229616" w:history="1">
        <w:r w:rsidR="005C651F" w:rsidRPr="00FA117E">
          <w:rPr>
            <w:rStyle w:val="Hyperlink"/>
            <w:noProof/>
            <w:lang w:val="en-GB"/>
          </w:rPr>
          <w:t>0</w:t>
        </w:r>
        <w:r w:rsidR="005C651F" w:rsidRPr="00FA117E">
          <w:rPr>
            <w:rFonts w:asciiTheme="minorHAnsi" w:eastAsiaTheme="minorEastAsia" w:hAnsiTheme="minorHAnsi" w:cstheme="minorBidi"/>
            <w:b w:val="0"/>
            <w:caps w:val="0"/>
            <w:noProof/>
            <w:sz w:val="22"/>
            <w:szCs w:val="22"/>
            <w:lang w:val="en-GB" w:eastAsia="da-DK"/>
          </w:rPr>
          <w:tab/>
        </w:r>
        <w:r w:rsidR="005C651F" w:rsidRPr="00FA117E">
          <w:rPr>
            <w:rStyle w:val="Hyperlink"/>
            <w:noProof/>
            <w:lang w:val="en-GB"/>
          </w:rPr>
          <w:t>Executive summary</w:t>
        </w:r>
        <w:r w:rsidR="005C651F" w:rsidRPr="00FA117E">
          <w:rPr>
            <w:noProof/>
            <w:webHidden/>
            <w:lang w:val="en-GB"/>
          </w:rPr>
          <w:tab/>
        </w:r>
        <w:r w:rsidR="005C651F" w:rsidRPr="00FA117E">
          <w:rPr>
            <w:noProof/>
            <w:webHidden/>
            <w:lang w:val="en-GB"/>
          </w:rPr>
          <w:fldChar w:fldCharType="begin"/>
        </w:r>
        <w:r w:rsidR="005C651F" w:rsidRPr="00FA117E">
          <w:rPr>
            <w:noProof/>
            <w:webHidden/>
            <w:lang w:val="en-GB"/>
          </w:rPr>
          <w:instrText xml:space="preserve"> PAGEREF _Toc441229616 \h </w:instrText>
        </w:r>
        <w:r w:rsidR="005C651F" w:rsidRPr="00FA117E">
          <w:rPr>
            <w:noProof/>
            <w:webHidden/>
            <w:lang w:val="en-GB"/>
          </w:rPr>
        </w:r>
        <w:r w:rsidR="005C651F" w:rsidRPr="00FA117E">
          <w:rPr>
            <w:noProof/>
            <w:webHidden/>
            <w:lang w:val="en-GB"/>
          </w:rPr>
          <w:fldChar w:fldCharType="separate"/>
        </w:r>
        <w:r w:rsidR="005C651F" w:rsidRPr="00FA117E">
          <w:rPr>
            <w:noProof/>
            <w:webHidden/>
            <w:lang w:val="en-GB"/>
          </w:rPr>
          <w:t>2</w:t>
        </w:r>
        <w:r w:rsidR="005C651F" w:rsidRPr="00FA117E">
          <w:rPr>
            <w:noProof/>
            <w:webHidden/>
            <w:lang w:val="en-GB"/>
          </w:rPr>
          <w:fldChar w:fldCharType="end"/>
        </w:r>
      </w:hyperlink>
    </w:p>
    <w:p w:rsidR="005C651F" w:rsidRPr="00FA117E" w:rsidRDefault="008713C3">
      <w:pPr>
        <w:pStyle w:val="TOC1"/>
        <w:rPr>
          <w:rFonts w:asciiTheme="minorHAnsi" w:eastAsiaTheme="minorEastAsia" w:hAnsiTheme="minorHAnsi" w:cstheme="minorBidi"/>
          <w:b w:val="0"/>
          <w:caps w:val="0"/>
          <w:noProof/>
          <w:sz w:val="22"/>
          <w:szCs w:val="22"/>
          <w:lang w:val="en-GB" w:eastAsia="da-DK"/>
        </w:rPr>
      </w:pPr>
      <w:hyperlink w:anchor="_Toc441229617" w:history="1">
        <w:r w:rsidR="005C651F" w:rsidRPr="00FA117E">
          <w:rPr>
            <w:rStyle w:val="Hyperlink"/>
            <w:noProof/>
            <w:lang w:val="en-GB"/>
          </w:rPr>
          <w:t>1</w:t>
        </w:r>
        <w:r w:rsidR="005C651F" w:rsidRPr="00FA117E">
          <w:rPr>
            <w:rFonts w:asciiTheme="minorHAnsi" w:eastAsiaTheme="minorEastAsia" w:hAnsiTheme="minorHAnsi" w:cstheme="minorBidi"/>
            <w:b w:val="0"/>
            <w:caps w:val="0"/>
            <w:noProof/>
            <w:sz w:val="22"/>
            <w:szCs w:val="22"/>
            <w:lang w:val="en-GB" w:eastAsia="da-DK"/>
          </w:rPr>
          <w:tab/>
        </w:r>
        <w:r w:rsidR="005C651F" w:rsidRPr="00FA117E">
          <w:rPr>
            <w:rStyle w:val="Hyperlink"/>
            <w:noProof/>
            <w:lang w:val="en-GB"/>
          </w:rPr>
          <w:t>Introduction</w:t>
        </w:r>
        <w:r w:rsidR="005C651F" w:rsidRPr="00FA117E">
          <w:rPr>
            <w:noProof/>
            <w:webHidden/>
            <w:lang w:val="en-GB"/>
          </w:rPr>
          <w:tab/>
        </w:r>
        <w:r w:rsidR="005C651F" w:rsidRPr="00FA117E">
          <w:rPr>
            <w:noProof/>
            <w:webHidden/>
            <w:lang w:val="en-GB"/>
          </w:rPr>
          <w:fldChar w:fldCharType="begin"/>
        </w:r>
        <w:r w:rsidR="005C651F" w:rsidRPr="00FA117E">
          <w:rPr>
            <w:noProof/>
            <w:webHidden/>
            <w:lang w:val="en-GB"/>
          </w:rPr>
          <w:instrText xml:space="preserve"> PAGEREF _Toc441229617 \h </w:instrText>
        </w:r>
        <w:r w:rsidR="005C651F" w:rsidRPr="00FA117E">
          <w:rPr>
            <w:noProof/>
            <w:webHidden/>
            <w:lang w:val="en-GB"/>
          </w:rPr>
        </w:r>
        <w:r w:rsidR="005C651F" w:rsidRPr="00FA117E">
          <w:rPr>
            <w:noProof/>
            <w:webHidden/>
            <w:lang w:val="en-GB"/>
          </w:rPr>
          <w:fldChar w:fldCharType="separate"/>
        </w:r>
        <w:r w:rsidR="005C651F" w:rsidRPr="00FA117E">
          <w:rPr>
            <w:noProof/>
            <w:webHidden/>
            <w:lang w:val="en-GB"/>
          </w:rPr>
          <w:t>6</w:t>
        </w:r>
        <w:r w:rsidR="005C651F" w:rsidRPr="00FA117E">
          <w:rPr>
            <w:noProof/>
            <w:webHidden/>
            <w:lang w:val="en-GB"/>
          </w:rPr>
          <w:fldChar w:fldCharType="end"/>
        </w:r>
      </w:hyperlink>
    </w:p>
    <w:p w:rsidR="005C651F" w:rsidRPr="00FA117E" w:rsidRDefault="008713C3">
      <w:pPr>
        <w:pStyle w:val="TOC1"/>
        <w:rPr>
          <w:rFonts w:asciiTheme="minorHAnsi" w:eastAsiaTheme="minorEastAsia" w:hAnsiTheme="minorHAnsi" w:cstheme="minorBidi"/>
          <w:b w:val="0"/>
          <w:caps w:val="0"/>
          <w:noProof/>
          <w:sz w:val="22"/>
          <w:szCs w:val="22"/>
          <w:lang w:val="en-GB" w:eastAsia="da-DK"/>
        </w:rPr>
      </w:pPr>
      <w:hyperlink w:anchor="_Toc441229618" w:history="1">
        <w:r w:rsidR="005C651F" w:rsidRPr="00FA117E">
          <w:rPr>
            <w:rStyle w:val="Hyperlink"/>
            <w:noProof/>
            <w:lang w:val="en-GB"/>
          </w:rPr>
          <w:t>2</w:t>
        </w:r>
        <w:r w:rsidR="005C651F" w:rsidRPr="00FA117E">
          <w:rPr>
            <w:rFonts w:asciiTheme="minorHAnsi" w:eastAsiaTheme="minorEastAsia" w:hAnsiTheme="minorHAnsi" w:cstheme="minorBidi"/>
            <w:b w:val="0"/>
            <w:caps w:val="0"/>
            <w:noProof/>
            <w:sz w:val="22"/>
            <w:szCs w:val="22"/>
            <w:lang w:val="en-GB" w:eastAsia="da-DK"/>
          </w:rPr>
          <w:tab/>
        </w:r>
        <w:r w:rsidR="005C651F" w:rsidRPr="00FA117E">
          <w:rPr>
            <w:rStyle w:val="Hyperlink"/>
            <w:noProof/>
            <w:lang w:val="en-GB"/>
          </w:rPr>
          <w:t>Review of the technical conditions for MFCN</w:t>
        </w:r>
        <w:r w:rsidR="005C651F" w:rsidRPr="00FA117E">
          <w:rPr>
            <w:noProof/>
            <w:webHidden/>
            <w:lang w:val="en-GB"/>
          </w:rPr>
          <w:tab/>
        </w:r>
        <w:r w:rsidR="005C651F" w:rsidRPr="00FA117E">
          <w:rPr>
            <w:noProof/>
            <w:webHidden/>
            <w:lang w:val="en-GB"/>
          </w:rPr>
          <w:fldChar w:fldCharType="begin"/>
        </w:r>
        <w:r w:rsidR="005C651F" w:rsidRPr="00FA117E">
          <w:rPr>
            <w:noProof/>
            <w:webHidden/>
            <w:lang w:val="en-GB"/>
          </w:rPr>
          <w:instrText xml:space="preserve"> PAGEREF _Toc441229618 \h </w:instrText>
        </w:r>
        <w:r w:rsidR="005C651F" w:rsidRPr="00FA117E">
          <w:rPr>
            <w:noProof/>
            <w:webHidden/>
            <w:lang w:val="en-GB"/>
          </w:rPr>
        </w:r>
        <w:r w:rsidR="005C651F" w:rsidRPr="00FA117E">
          <w:rPr>
            <w:noProof/>
            <w:webHidden/>
            <w:lang w:val="en-GB"/>
          </w:rPr>
          <w:fldChar w:fldCharType="separate"/>
        </w:r>
        <w:r w:rsidR="005C651F" w:rsidRPr="00FA117E">
          <w:rPr>
            <w:noProof/>
            <w:webHidden/>
            <w:lang w:val="en-GB"/>
          </w:rPr>
          <w:t>7</w:t>
        </w:r>
        <w:r w:rsidR="005C651F" w:rsidRPr="00FA117E">
          <w:rPr>
            <w:noProof/>
            <w:webHidden/>
            <w:lang w:val="en-GB"/>
          </w:rPr>
          <w:fldChar w:fldCharType="end"/>
        </w:r>
      </w:hyperlink>
    </w:p>
    <w:p w:rsidR="005C651F" w:rsidRPr="00FA117E" w:rsidRDefault="008713C3">
      <w:pPr>
        <w:pStyle w:val="TOC2"/>
        <w:rPr>
          <w:rFonts w:asciiTheme="minorHAnsi" w:eastAsiaTheme="minorEastAsia" w:hAnsiTheme="minorHAnsi" w:cstheme="minorBidi"/>
          <w:noProof/>
          <w:sz w:val="22"/>
          <w:szCs w:val="22"/>
          <w:lang w:val="en-GB" w:eastAsia="da-DK"/>
        </w:rPr>
      </w:pPr>
      <w:hyperlink w:anchor="_Toc441229619" w:history="1">
        <w:r w:rsidR="005C651F" w:rsidRPr="00FA117E">
          <w:rPr>
            <w:rStyle w:val="Hyperlink"/>
            <w:noProof/>
            <w:lang w:val="en-GB"/>
          </w:rPr>
          <w:t>2.1</w:t>
        </w:r>
        <w:r w:rsidR="005C651F" w:rsidRPr="00FA117E">
          <w:rPr>
            <w:rFonts w:asciiTheme="minorHAnsi" w:eastAsiaTheme="minorEastAsia" w:hAnsiTheme="minorHAnsi" w:cstheme="minorBidi"/>
            <w:noProof/>
            <w:sz w:val="22"/>
            <w:szCs w:val="22"/>
            <w:lang w:val="en-GB" w:eastAsia="da-DK"/>
          </w:rPr>
          <w:tab/>
        </w:r>
        <w:r w:rsidR="005C651F" w:rsidRPr="00FA117E">
          <w:rPr>
            <w:rStyle w:val="Hyperlink"/>
            <w:noProof/>
            <w:lang w:val="en-GB"/>
          </w:rPr>
          <w:t>Base station</w:t>
        </w:r>
        <w:r w:rsidR="005C651F" w:rsidRPr="00FA117E">
          <w:rPr>
            <w:noProof/>
            <w:webHidden/>
            <w:lang w:val="en-GB"/>
          </w:rPr>
          <w:tab/>
        </w:r>
        <w:r w:rsidR="005C651F" w:rsidRPr="00FA117E">
          <w:rPr>
            <w:noProof/>
            <w:webHidden/>
            <w:lang w:val="en-GB"/>
          </w:rPr>
          <w:fldChar w:fldCharType="begin"/>
        </w:r>
        <w:r w:rsidR="005C651F" w:rsidRPr="00FA117E">
          <w:rPr>
            <w:noProof/>
            <w:webHidden/>
            <w:lang w:val="en-GB"/>
          </w:rPr>
          <w:instrText xml:space="preserve"> PAGEREF _Toc441229619 \h </w:instrText>
        </w:r>
        <w:r w:rsidR="005C651F" w:rsidRPr="00FA117E">
          <w:rPr>
            <w:noProof/>
            <w:webHidden/>
            <w:lang w:val="en-GB"/>
          </w:rPr>
        </w:r>
        <w:r w:rsidR="005C651F" w:rsidRPr="00FA117E">
          <w:rPr>
            <w:noProof/>
            <w:webHidden/>
            <w:lang w:val="en-GB"/>
          </w:rPr>
          <w:fldChar w:fldCharType="separate"/>
        </w:r>
        <w:r w:rsidR="005C651F" w:rsidRPr="00FA117E">
          <w:rPr>
            <w:noProof/>
            <w:webHidden/>
            <w:lang w:val="en-GB"/>
          </w:rPr>
          <w:t>8</w:t>
        </w:r>
        <w:r w:rsidR="005C651F" w:rsidRPr="00FA117E">
          <w:rPr>
            <w:noProof/>
            <w:webHidden/>
            <w:lang w:val="en-GB"/>
          </w:rPr>
          <w:fldChar w:fldCharType="end"/>
        </w:r>
      </w:hyperlink>
    </w:p>
    <w:p w:rsidR="005C651F" w:rsidRPr="00FA117E" w:rsidRDefault="008713C3">
      <w:pPr>
        <w:pStyle w:val="TOC2"/>
        <w:rPr>
          <w:rFonts w:asciiTheme="minorHAnsi" w:eastAsiaTheme="minorEastAsia" w:hAnsiTheme="minorHAnsi" w:cstheme="minorBidi"/>
          <w:noProof/>
          <w:sz w:val="22"/>
          <w:szCs w:val="22"/>
          <w:lang w:val="en-GB" w:eastAsia="da-DK"/>
        </w:rPr>
      </w:pPr>
      <w:hyperlink w:anchor="_Toc441229620" w:history="1">
        <w:r w:rsidR="005C651F" w:rsidRPr="00FA117E">
          <w:rPr>
            <w:rStyle w:val="Hyperlink"/>
            <w:noProof/>
            <w:lang w:val="en-GB"/>
          </w:rPr>
          <w:t>2.2</w:t>
        </w:r>
        <w:r w:rsidR="005C651F" w:rsidRPr="00FA117E">
          <w:rPr>
            <w:rFonts w:asciiTheme="minorHAnsi" w:eastAsiaTheme="minorEastAsia" w:hAnsiTheme="minorHAnsi" w:cstheme="minorBidi"/>
            <w:noProof/>
            <w:sz w:val="22"/>
            <w:szCs w:val="22"/>
            <w:lang w:val="en-GB" w:eastAsia="da-DK"/>
          </w:rPr>
          <w:tab/>
        </w:r>
        <w:r w:rsidR="005C651F" w:rsidRPr="00FA117E">
          <w:rPr>
            <w:rStyle w:val="Hyperlink"/>
            <w:noProof/>
            <w:lang w:val="en-GB"/>
          </w:rPr>
          <w:t>terminal station</w:t>
        </w:r>
        <w:r w:rsidR="005C651F" w:rsidRPr="00FA117E">
          <w:rPr>
            <w:noProof/>
            <w:webHidden/>
            <w:lang w:val="en-GB"/>
          </w:rPr>
          <w:tab/>
        </w:r>
        <w:r w:rsidR="005C651F" w:rsidRPr="00FA117E">
          <w:rPr>
            <w:noProof/>
            <w:webHidden/>
            <w:lang w:val="en-GB"/>
          </w:rPr>
          <w:fldChar w:fldCharType="begin"/>
        </w:r>
        <w:r w:rsidR="005C651F" w:rsidRPr="00FA117E">
          <w:rPr>
            <w:noProof/>
            <w:webHidden/>
            <w:lang w:val="en-GB"/>
          </w:rPr>
          <w:instrText xml:space="preserve"> PAGEREF _Toc441229620 \h </w:instrText>
        </w:r>
        <w:r w:rsidR="005C651F" w:rsidRPr="00FA117E">
          <w:rPr>
            <w:noProof/>
            <w:webHidden/>
            <w:lang w:val="en-GB"/>
          </w:rPr>
        </w:r>
        <w:r w:rsidR="005C651F" w:rsidRPr="00FA117E">
          <w:rPr>
            <w:noProof/>
            <w:webHidden/>
            <w:lang w:val="en-GB"/>
          </w:rPr>
          <w:fldChar w:fldCharType="separate"/>
        </w:r>
        <w:r w:rsidR="005C651F" w:rsidRPr="00FA117E">
          <w:rPr>
            <w:noProof/>
            <w:webHidden/>
            <w:lang w:val="en-GB"/>
          </w:rPr>
          <w:t>11</w:t>
        </w:r>
        <w:r w:rsidR="005C651F" w:rsidRPr="00FA117E">
          <w:rPr>
            <w:noProof/>
            <w:webHidden/>
            <w:lang w:val="en-GB"/>
          </w:rPr>
          <w:fldChar w:fldCharType="end"/>
        </w:r>
      </w:hyperlink>
    </w:p>
    <w:p w:rsidR="005C651F" w:rsidRPr="00FA117E" w:rsidRDefault="008713C3">
      <w:pPr>
        <w:pStyle w:val="TOC1"/>
        <w:rPr>
          <w:rFonts w:asciiTheme="minorHAnsi" w:eastAsiaTheme="minorEastAsia" w:hAnsiTheme="minorHAnsi" w:cstheme="minorBidi"/>
          <w:b w:val="0"/>
          <w:caps w:val="0"/>
          <w:noProof/>
          <w:sz w:val="22"/>
          <w:szCs w:val="22"/>
          <w:lang w:val="en-GB" w:eastAsia="da-DK"/>
        </w:rPr>
      </w:pPr>
      <w:hyperlink w:anchor="_Toc441229621" w:history="1">
        <w:r w:rsidR="005C651F" w:rsidRPr="00FA117E">
          <w:rPr>
            <w:rStyle w:val="Hyperlink"/>
            <w:noProof/>
            <w:lang w:val="en-GB"/>
          </w:rPr>
          <w:t>3</w:t>
        </w:r>
        <w:r w:rsidR="005C651F" w:rsidRPr="00FA117E">
          <w:rPr>
            <w:rFonts w:asciiTheme="minorHAnsi" w:eastAsiaTheme="minorEastAsia" w:hAnsiTheme="minorHAnsi" w:cstheme="minorBidi"/>
            <w:b w:val="0"/>
            <w:caps w:val="0"/>
            <w:noProof/>
            <w:sz w:val="22"/>
            <w:szCs w:val="22"/>
            <w:lang w:val="en-GB" w:eastAsia="da-DK"/>
          </w:rPr>
          <w:tab/>
        </w:r>
        <w:r w:rsidR="005C651F" w:rsidRPr="00FA117E">
          <w:rPr>
            <w:rStyle w:val="Hyperlink"/>
            <w:noProof/>
            <w:lang w:val="en-GB"/>
          </w:rPr>
          <w:t>review of alternative options for PMSE, PPDR, M2M on a national basis within the given channelling arrangement for MFCN in the 700 MHz band including FDD (2x30 MHz)</w:t>
        </w:r>
        <w:r w:rsidR="005C651F" w:rsidRPr="00FA117E">
          <w:rPr>
            <w:noProof/>
            <w:webHidden/>
            <w:lang w:val="en-GB"/>
          </w:rPr>
          <w:tab/>
        </w:r>
        <w:r w:rsidR="005C651F" w:rsidRPr="00FA117E">
          <w:rPr>
            <w:noProof/>
            <w:webHidden/>
            <w:lang w:val="en-GB"/>
          </w:rPr>
          <w:fldChar w:fldCharType="begin"/>
        </w:r>
        <w:r w:rsidR="005C651F" w:rsidRPr="00FA117E">
          <w:rPr>
            <w:noProof/>
            <w:webHidden/>
            <w:lang w:val="en-GB"/>
          </w:rPr>
          <w:instrText xml:space="preserve"> PAGEREF _Toc441229621 \h </w:instrText>
        </w:r>
        <w:r w:rsidR="005C651F" w:rsidRPr="00FA117E">
          <w:rPr>
            <w:noProof/>
            <w:webHidden/>
            <w:lang w:val="en-GB"/>
          </w:rPr>
        </w:r>
        <w:r w:rsidR="005C651F" w:rsidRPr="00FA117E">
          <w:rPr>
            <w:noProof/>
            <w:webHidden/>
            <w:lang w:val="en-GB"/>
          </w:rPr>
          <w:fldChar w:fldCharType="separate"/>
        </w:r>
        <w:r w:rsidR="005C651F" w:rsidRPr="00FA117E">
          <w:rPr>
            <w:noProof/>
            <w:webHidden/>
            <w:lang w:val="en-GB"/>
          </w:rPr>
          <w:t>13</w:t>
        </w:r>
        <w:r w:rsidR="005C651F" w:rsidRPr="00FA117E">
          <w:rPr>
            <w:noProof/>
            <w:webHidden/>
            <w:lang w:val="en-GB"/>
          </w:rPr>
          <w:fldChar w:fldCharType="end"/>
        </w:r>
      </w:hyperlink>
    </w:p>
    <w:p w:rsidR="005C651F" w:rsidRPr="00FA117E" w:rsidRDefault="008713C3">
      <w:pPr>
        <w:pStyle w:val="TOC1"/>
        <w:rPr>
          <w:rFonts w:asciiTheme="minorHAnsi" w:eastAsiaTheme="minorEastAsia" w:hAnsiTheme="minorHAnsi" w:cstheme="minorBidi"/>
          <w:b w:val="0"/>
          <w:caps w:val="0"/>
          <w:noProof/>
          <w:sz w:val="22"/>
          <w:szCs w:val="22"/>
          <w:lang w:val="en-GB" w:eastAsia="da-DK"/>
        </w:rPr>
      </w:pPr>
      <w:hyperlink w:anchor="_Toc441229622" w:history="1">
        <w:r w:rsidR="005C651F" w:rsidRPr="00FA117E">
          <w:rPr>
            <w:rStyle w:val="Hyperlink"/>
            <w:noProof/>
            <w:lang w:val="en-GB"/>
          </w:rPr>
          <w:t>4</w:t>
        </w:r>
        <w:r w:rsidR="005C651F" w:rsidRPr="00FA117E">
          <w:rPr>
            <w:rFonts w:asciiTheme="minorHAnsi" w:eastAsiaTheme="minorEastAsia" w:hAnsiTheme="minorHAnsi" w:cstheme="minorBidi"/>
            <w:b w:val="0"/>
            <w:caps w:val="0"/>
            <w:noProof/>
            <w:sz w:val="22"/>
            <w:szCs w:val="22"/>
            <w:lang w:val="en-GB" w:eastAsia="da-DK"/>
          </w:rPr>
          <w:tab/>
        </w:r>
        <w:r w:rsidR="005C651F" w:rsidRPr="00FA117E">
          <w:rPr>
            <w:rStyle w:val="Hyperlink"/>
            <w:noProof/>
            <w:lang w:val="en-GB"/>
          </w:rPr>
          <w:t>Review of technical conditions for the wireless Audio component of PMSE</w:t>
        </w:r>
        <w:r w:rsidR="005C651F" w:rsidRPr="00FA117E">
          <w:rPr>
            <w:noProof/>
            <w:webHidden/>
            <w:lang w:val="en-GB"/>
          </w:rPr>
          <w:tab/>
        </w:r>
        <w:r w:rsidR="005C651F" w:rsidRPr="00FA117E">
          <w:rPr>
            <w:noProof/>
            <w:webHidden/>
            <w:lang w:val="en-GB"/>
          </w:rPr>
          <w:fldChar w:fldCharType="begin"/>
        </w:r>
        <w:r w:rsidR="005C651F" w:rsidRPr="00FA117E">
          <w:rPr>
            <w:noProof/>
            <w:webHidden/>
            <w:lang w:val="en-GB"/>
          </w:rPr>
          <w:instrText xml:space="preserve"> PAGEREF _Toc441229622 \h </w:instrText>
        </w:r>
        <w:r w:rsidR="005C651F" w:rsidRPr="00FA117E">
          <w:rPr>
            <w:noProof/>
            <w:webHidden/>
            <w:lang w:val="en-GB"/>
          </w:rPr>
        </w:r>
        <w:r w:rsidR="005C651F" w:rsidRPr="00FA117E">
          <w:rPr>
            <w:noProof/>
            <w:webHidden/>
            <w:lang w:val="en-GB"/>
          </w:rPr>
          <w:fldChar w:fldCharType="separate"/>
        </w:r>
        <w:r w:rsidR="005C651F" w:rsidRPr="00FA117E">
          <w:rPr>
            <w:noProof/>
            <w:webHidden/>
            <w:lang w:val="en-GB"/>
          </w:rPr>
          <w:t>14</w:t>
        </w:r>
        <w:r w:rsidR="005C651F" w:rsidRPr="00FA117E">
          <w:rPr>
            <w:noProof/>
            <w:webHidden/>
            <w:lang w:val="en-GB"/>
          </w:rPr>
          <w:fldChar w:fldCharType="end"/>
        </w:r>
      </w:hyperlink>
    </w:p>
    <w:p w:rsidR="005C651F" w:rsidRPr="00FA117E" w:rsidRDefault="008713C3">
      <w:pPr>
        <w:pStyle w:val="TOC2"/>
        <w:rPr>
          <w:rFonts w:asciiTheme="minorHAnsi" w:eastAsiaTheme="minorEastAsia" w:hAnsiTheme="minorHAnsi" w:cstheme="minorBidi"/>
          <w:noProof/>
          <w:sz w:val="22"/>
          <w:szCs w:val="22"/>
          <w:lang w:val="en-GB" w:eastAsia="da-DK"/>
        </w:rPr>
      </w:pPr>
      <w:hyperlink w:anchor="_Toc441229623" w:history="1">
        <w:r w:rsidR="005C651F" w:rsidRPr="00FA117E">
          <w:rPr>
            <w:rStyle w:val="Hyperlink"/>
            <w:noProof/>
            <w:lang w:val="en-GB"/>
          </w:rPr>
          <w:t>4.1</w:t>
        </w:r>
        <w:r w:rsidR="005C651F" w:rsidRPr="00FA117E">
          <w:rPr>
            <w:rFonts w:asciiTheme="minorHAnsi" w:eastAsiaTheme="minorEastAsia" w:hAnsiTheme="minorHAnsi" w:cstheme="minorBidi"/>
            <w:noProof/>
            <w:sz w:val="22"/>
            <w:szCs w:val="22"/>
            <w:lang w:val="en-GB" w:eastAsia="da-DK"/>
          </w:rPr>
          <w:tab/>
        </w:r>
        <w:r w:rsidR="005C651F" w:rsidRPr="00FA117E">
          <w:rPr>
            <w:rStyle w:val="Hyperlink"/>
            <w:noProof/>
            <w:lang w:val="en-GB"/>
          </w:rPr>
          <w:t>Technical conditions for PMSE</w:t>
        </w:r>
        <w:r w:rsidR="005C651F" w:rsidRPr="00FA117E">
          <w:rPr>
            <w:noProof/>
            <w:webHidden/>
            <w:lang w:val="en-GB"/>
          </w:rPr>
          <w:tab/>
        </w:r>
        <w:r w:rsidR="005C651F" w:rsidRPr="00FA117E">
          <w:rPr>
            <w:noProof/>
            <w:webHidden/>
            <w:lang w:val="en-GB"/>
          </w:rPr>
          <w:fldChar w:fldCharType="begin"/>
        </w:r>
        <w:r w:rsidR="005C651F" w:rsidRPr="00FA117E">
          <w:rPr>
            <w:noProof/>
            <w:webHidden/>
            <w:lang w:val="en-GB"/>
          </w:rPr>
          <w:instrText xml:space="preserve"> PAGEREF _Toc441229623 \h </w:instrText>
        </w:r>
        <w:r w:rsidR="005C651F" w:rsidRPr="00FA117E">
          <w:rPr>
            <w:noProof/>
            <w:webHidden/>
            <w:lang w:val="en-GB"/>
          </w:rPr>
        </w:r>
        <w:r w:rsidR="005C651F" w:rsidRPr="00FA117E">
          <w:rPr>
            <w:noProof/>
            <w:webHidden/>
            <w:lang w:val="en-GB"/>
          </w:rPr>
          <w:fldChar w:fldCharType="separate"/>
        </w:r>
        <w:r w:rsidR="005C651F" w:rsidRPr="00FA117E">
          <w:rPr>
            <w:noProof/>
            <w:webHidden/>
            <w:lang w:val="en-GB"/>
          </w:rPr>
          <w:t>14</w:t>
        </w:r>
        <w:r w:rsidR="005C651F" w:rsidRPr="00FA117E">
          <w:rPr>
            <w:noProof/>
            <w:webHidden/>
            <w:lang w:val="en-GB"/>
          </w:rPr>
          <w:fldChar w:fldCharType="end"/>
        </w:r>
      </w:hyperlink>
    </w:p>
    <w:p w:rsidR="005C651F" w:rsidRPr="00FA117E" w:rsidRDefault="008713C3">
      <w:pPr>
        <w:pStyle w:val="TOC2"/>
        <w:rPr>
          <w:rFonts w:asciiTheme="minorHAnsi" w:eastAsiaTheme="minorEastAsia" w:hAnsiTheme="minorHAnsi" w:cstheme="minorBidi"/>
          <w:noProof/>
          <w:sz w:val="22"/>
          <w:szCs w:val="22"/>
          <w:lang w:val="en-GB" w:eastAsia="da-DK"/>
        </w:rPr>
      </w:pPr>
      <w:hyperlink w:anchor="_Toc441229624" w:history="1">
        <w:r w:rsidR="005C651F" w:rsidRPr="00FA117E">
          <w:rPr>
            <w:rStyle w:val="Hyperlink"/>
            <w:noProof/>
            <w:lang w:val="en-GB"/>
          </w:rPr>
          <w:t>4.2</w:t>
        </w:r>
        <w:r w:rsidR="005C651F" w:rsidRPr="00FA117E">
          <w:rPr>
            <w:rFonts w:asciiTheme="minorHAnsi" w:eastAsiaTheme="minorEastAsia" w:hAnsiTheme="minorHAnsi" w:cstheme="minorBidi"/>
            <w:noProof/>
            <w:sz w:val="22"/>
            <w:szCs w:val="22"/>
            <w:lang w:val="en-GB" w:eastAsia="da-DK"/>
          </w:rPr>
          <w:tab/>
        </w:r>
        <w:r w:rsidR="005C651F" w:rsidRPr="00FA117E">
          <w:rPr>
            <w:rStyle w:val="Hyperlink"/>
            <w:noProof/>
            <w:lang w:val="en-GB"/>
          </w:rPr>
          <w:t>Protection of PMSE below 694 MHz</w:t>
        </w:r>
        <w:r w:rsidR="005C651F" w:rsidRPr="00FA117E">
          <w:rPr>
            <w:noProof/>
            <w:webHidden/>
            <w:lang w:val="en-GB"/>
          </w:rPr>
          <w:tab/>
        </w:r>
        <w:r w:rsidR="005C651F" w:rsidRPr="00FA117E">
          <w:rPr>
            <w:noProof/>
            <w:webHidden/>
            <w:lang w:val="en-GB"/>
          </w:rPr>
          <w:fldChar w:fldCharType="begin"/>
        </w:r>
        <w:r w:rsidR="005C651F" w:rsidRPr="00FA117E">
          <w:rPr>
            <w:noProof/>
            <w:webHidden/>
            <w:lang w:val="en-GB"/>
          </w:rPr>
          <w:instrText xml:space="preserve"> PAGEREF _Toc441229624 \h </w:instrText>
        </w:r>
        <w:r w:rsidR="005C651F" w:rsidRPr="00FA117E">
          <w:rPr>
            <w:noProof/>
            <w:webHidden/>
            <w:lang w:val="en-GB"/>
          </w:rPr>
        </w:r>
        <w:r w:rsidR="005C651F" w:rsidRPr="00FA117E">
          <w:rPr>
            <w:noProof/>
            <w:webHidden/>
            <w:lang w:val="en-GB"/>
          </w:rPr>
          <w:fldChar w:fldCharType="separate"/>
        </w:r>
        <w:r w:rsidR="005C651F" w:rsidRPr="00FA117E">
          <w:rPr>
            <w:noProof/>
            <w:webHidden/>
            <w:lang w:val="en-GB"/>
          </w:rPr>
          <w:t>15</w:t>
        </w:r>
        <w:r w:rsidR="005C651F" w:rsidRPr="00FA117E">
          <w:rPr>
            <w:noProof/>
            <w:webHidden/>
            <w:lang w:val="en-GB"/>
          </w:rPr>
          <w:fldChar w:fldCharType="end"/>
        </w:r>
      </w:hyperlink>
    </w:p>
    <w:p w:rsidR="005C651F" w:rsidRPr="00FA117E" w:rsidRDefault="008713C3">
      <w:pPr>
        <w:pStyle w:val="TOC1"/>
        <w:rPr>
          <w:rFonts w:asciiTheme="minorHAnsi" w:eastAsiaTheme="minorEastAsia" w:hAnsiTheme="minorHAnsi" w:cstheme="minorBidi"/>
          <w:b w:val="0"/>
          <w:caps w:val="0"/>
          <w:noProof/>
          <w:sz w:val="22"/>
          <w:szCs w:val="22"/>
          <w:lang w:val="en-GB" w:eastAsia="da-DK"/>
        </w:rPr>
      </w:pPr>
      <w:hyperlink w:anchor="_Toc441229625" w:history="1">
        <w:r w:rsidR="005C651F" w:rsidRPr="00FA117E">
          <w:rPr>
            <w:rStyle w:val="Hyperlink"/>
            <w:noProof/>
            <w:lang w:val="en-GB"/>
          </w:rPr>
          <w:t>5</w:t>
        </w:r>
        <w:r w:rsidR="005C651F" w:rsidRPr="00FA117E">
          <w:rPr>
            <w:rFonts w:asciiTheme="minorHAnsi" w:eastAsiaTheme="minorEastAsia" w:hAnsiTheme="minorHAnsi" w:cstheme="minorBidi"/>
            <w:b w:val="0"/>
            <w:caps w:val="0"/>
            <w:noProof/>
            <w:sz w:val="22"/>
            <w:szCs w:val="22"/>
            <w:lang w:val="en-GB" w:eastAsia="da-DK"/>
          </w:rPr>
          <w:tab/>
        </w:r>
        <w:r w:rsidR="005C651F" w:rsidRPr="00FA117E">
          <w:rPr>
            <w:rStyle w:val="Hyperlink"/>
            <w:noProof/>
            <w:lang w:val="en-GB"/>
          </w:rPr>
          <w:t>Conclusions</w:t>
        </w:r>
        <w:r w:rsidR="005C651F" w:rsidRPr="00FA117E">
          <w:rPr>
            <w:noProof/>
            <w:webHidden/>
            <w:lang w:val="en-GB"/>
          </w:rPr>
          <w:tab/>
        </w:r>
        <w:r w:rsidR="005C651F" w:rsidRPr="00FA117E">
          <w:rPr>
            <w:noProof/>
            <w:webHidden/>
            <w:lang w:val="en-GB"/>
          </w:rPr>
          <w:fldChar w:fldCharType="begin"/>
        </w:r>
        <w:r w:rsidR="005C651F" w:rsidRPr="00FA117E">
          <w:rPr>
            <w:noProof/>
            <w:webHidden/>
            <w:lang w:val="en-GB"/>
          </w:rPr>
          <w:instrText xml:space="preserve"> PAGEREF _Toc441229625 \h </w:instrText>
        </w:r>
        <w:r w:rsidR="005C651F" w:rsidRPr="00FA117E">
          <w:rPr>
            <w:noProof/>
            <w:webHidden/>
            <w:lang w:val="en-GB"/>
          </w:rPr>
        </w:r>
        <w:r w:rsidR="005C651F" w:rsidRPr="00FA117E">
          <w:rPr>
            <w:noProof/>
            <w:webHidden/>
            <w:lang w:val="en-GB"/>
          </w:rPr>
          <w:fldChar w:fldCharType="separate"/>
        </w:r>
        <w:r w:rsidR="005C651F" w:rsidRPr="00FA117E">
          <w:rPr>
            <w:noProof/>
            <w:webHidden/>
            <w:lang w:val="en-GB"/>
          </w:rPr>
          <w:t>16</w:t>
        </w:r>
        <w:r w:rsidR="005C651F" w:rsidRPr="00FA117E">
          <w:rPr>
            <w:noProof/>
            <w:webHidden/>
            <w:lang w:val="en-GB"/>
          </w:rPr>
          <w:fldChar w:fldCharType="end"/>
        </w:r>
      </w:hyperlink>
    </w:p>
    <w:p w:rsidR="005C651F" w:rsidRPr="00FA117E" w:rsidRDefault="008713C3">
      <w:pPr>
        <w:pStyle w:val="TOC1"/>
        <w:rPr>
          <w:rFonts w:asciiTheme="minorHAnsi" w:eastAsiaTheme="minorEastAsia" w:hAnsiTheme="minorHAnsi" w:cstheme="minorBidi"/>
          <w:b w:val="0"/>
          <w:caps w:val="0"/>
          <w:noProof/>
          <w:sz w:val="22"/>
          <w:szCs w:val="22"/>
          <w:lang w:val="en-GB" w:eastAsia="da-DK"/>
        </w:rPr>
      </w:pPr>
      <w:hyperlink w:anchor="_Toc441229626" w:history="1">
        <w:r w:rsidR="005C651F" w:rsidRPr="00FA117E">
          <w:rPr>
            <w:rStyle w:val="Hyperlink"/>
            <w:noProof/>
            <w:lang w:val="en-GB"/>
          </w:rPr>
          <w:t>ANNEX 1: EC mandate 700 MHZ</w:t>
        </w:r>
        <w:r w:rsidR="005C651F" w:rsidRPr="00FA117E">
          <w:rPr>
            <w:noProof/>
            <w:webHidden/>
            <w:lang w:val="en-GB"/>
          </w:rPr>
          <w:tab/>
        </w:r>
        <w:r w:rsidR="005C651F" w:rsidRPr="00FA117E">
          <w:rPr>
            <w:noProof/>
            <w:webHidden/>
            <w:lang w:val="en-GB"/>
          </w:rPr>
          <w:fldChar w:fldCharType="begin"/>
        </w:r>
        <w:r w:rsidR="005C651F" w:rsidRPr="00FA117E">
          <w:rPr>
            <w:noProof/>
            <w:webHidden/>
            <w:lang w:val="en-GB"/>
          </w:rPr>
          <w:instrText xml:space="preserve"> PAGEREF _Toc441229626 \h </w:instrText>
        </w:r>
        <w:r w:rsidR="005C651F" w:rsidRPr="00FA117E">
          <w:rPr>
            <w:noProof/>
            <w:webHidden/>
            <w:lang w:val="en-GB"/>
          </w:rPr>
        </w:r>
        <w:r w:rsidR="005C651F" w:rsidRPr="00FA117E">
          <w:rPr>
            <w:noProof/>
            <w:webHidden/>
            <w:lang w:val="en-GB"/>
          </w:rPr>
          <w:fldChar w:fldCharType="separate"/>
        </w:r>
        <w:r w:rsidR="005C651F" w:rsidRPr="00FA117E">
          <w:rPr>
            <w:noProof/>
            <w:webHidden/>
            <w:lang w:val="en-GB"/>
          </w:rPr>
          <w:t>17</w:t>
        </w:r>
        <w:r w:rsidR="005C651F" w:rsidRPr="00FA117E">
          <w:rPr>
            <w:noProof/>
            <w:webHidden/>
            <w:lang w:val="en-GB"/>
          </w:rPr>
          <w:fldChar w:fldCharType="end"/>
        </w:r>
      </w:hyperlink>
    </w:p>
    <w:p w:rsidR="005C651F" w:rsidRPr="00FA117E" w:rsidRDefault="008713C3">
      <w:pPr>
        <w:pStyle w:val="TOC1"/>
        <w:rPr>
          <w:rFonts w:asciiTheme="minorHAnsi" w:eastAsiaTheme="minorEastAsia" w:hAnsiTheme="minorHAnsi" w:cstheme="minorBidi"/>
          <w:b w:val="0"/>
          <w:caps w:val="0"/>
          <w:noProof/>
          <w:sz w:val="22"/>
          <w:szCs w:val="22"/>
          <w:lang w:val="en-GB" w:eastAsia="da-DK"/>
        </w:rPr>
      </w:pPr>
      <w:hyperlink w:anchor="_Toc441229627" w:history="1">
        <w:r w:rsidR="005C651F" w:rsidRPr="00FA117E">
          <w:rPr>
            <w:rStyle w:val="Hyperlink"/>
            <w:noProof/>
            <w:lang w:val="en-GB"/>
          </w:rPr>
          <w:t>ANNEX 2: LETTER TO CEPT REQUESTING AN EARLY DELIVERY OF THE CEPT REPORT IN RESPONSE TO TASK 3</w:t>
        </w:r>
        <w:r w:rsidR="005C651F" w:rsidRPr="00FA117E">
          <w:rPr>
            <w:noProof/>
            <w:webHidden/>
            <w:lang w:val="en-GB"/>
          </w:rPr>
          <w:tab/>
        </w:r>
        <w:r w:rsidR="005C651F" w:rsidRPr="00FA117E">
          <w:rPr>
            <w:noProof/>
            <w:webHidden/>
            <w:lang w:val="en-GB"/>
          </w:rPr>
          <w:fldChar w:fldCharType="begin"/>
        </w:r>
        <w:r w:rsidR="005C651F" w:rsidRPr="00FA117E">
          <w:rPr>
            <w:noProof/>
            <w:webHidden/>
            <w:lang w:val="en-GB"/>
          </w:rPr>
          <w:instrText xml:space="preserve"> PAGEREF _Toc441229627 \h </w:instrText>
        </w:r>
        <w:r w:rsidR="005C651F" w:rsidRPr="00FA117E">
          <w:rPr>
            <w:noProof/>
            <w:webHidden/>
            <w:lang w:val="en-GB"/>
          </w:rPr>
        </w:r>
        <w:r w:rsidR="005C651F" w:rsidRPr="00FA117E">
          <w:rPr>
            <w:noProof/>
            <w:webHidden/>
            <w:lang w:val="en-GB"/>
          </w:rPr>
          <w:fldChar w:fldCharType="separate"/>
        </w:r>
        <w:r w:rsidR="005C651F" w:rsidRPr="00FA117E">
          <w:rPr>
            <w:noProof/>
            <w:webHidden/>
            <w:lang w:val="en-GB"/>
          </w:rPr>
          <w:t>22</w:t>
        </w:r>
        <w:r w:rsidR="005C651F" w:rsidRPr="00FA117E">
          <w:rPr>
            <w:noProof/>
            <w:webHidden/>
            <w:lang w:val="en-GB"/>
          </w:rPr>
          <w:fldChar w:fldCharType="end"/>
        </w:r>
      </w:hyperlink>
    </w:p>
    <w:p w:rsidR="005C651F" w:rsidRPr="00FA117E" w:rsidRDefault="008713C3">
      <w:pPr>
        <w:pStyle w:val="TOC1"/>
        <w:rPr>
          <w:rFonts w:asciiTheme="minorHAnsi" w:eastAsiaTheme="minorEastAsia" w:hAnsiTheme="minorHAnsi" w:cstheme="minorBidi"/>
          <w:b w:val="0"/>
          <w:caps w:val="0"/>
          <w:noProof/>
          <w:sz w:val="22"/>
          <w:szCs w:val="22"/>
          <w:lang w:val="en-GB" w:eastAsia="da-DK"/>
        </w:rPr>
      </w:pPr>
      <w:hyperlink w:anchor="_Toc441229628" w:history="1">
        <w:r w:rsidR="005C651F" w:rsidRPr="00FA117E">
          <w:rPr>
            <w:rStyle w:val="Hyperlink"/>
            <w:noProof/>
            <w:lang w:val="en-GB"/>
          </w:rPr>
          <w:t>ANNEX 3: List of reference</w:t>
        </w:r>
        <w:r w:rsidR="005C651F" w:rsidRPr="00FA117E">
          <w:rPr>
            <w:noProof/>
            <w:webHidden/>
            <w:lang w:val="en-GB"/>
          </w:rPr>
          <w:tab/>
        </w:r>
        <w:r w:rsidR="005C651F" w:rsidRPr="00FA117E">
          <w:rPr>
            <w:noProof/>
            <w:webHidden/>
            <w:lang w:val="en-GB"/>
          </w:rPr>
          <w:fldChar w:fldCharType="begin"/>
        </w:r>
        <w:r w:rsidR="005C651F" w:rsidRPr="00FA117E">
          <w:rPr>
            <w:noProof/>
            <w:webHidden/>
            <w:lang w:val="en-GB"/>
          </w:rPr>
          <w:instrText xml:space="preserve"> PAGEREF _Toc441229628 \h </w:instrText>
        </w:r>
        <w:r w:rsidR="005C651F" w:rsidRPr="00FA117E">
          <w:rPr>
            <w:noProof/>
            <w:webHidden/>
            <w:lang w:val="en-GB"/>
          </w:rPr>
        </w:r>
        <w:r w:rsidR="005C651F" w:rsidRPr="00FA117E">
          <w:rPr>
            <w:noProof/>
            <w:webHidden/>
            <w:lang w:val="en-GB"/>
          </w:rPr>
          <w:fldChar w:fldCharType="separate"/>
        </w:r>
        <w:r w:rsidR="005C651F" w:rsidRPr="00FA117E">
          <w:rPr>
            <w:noProof/>
            <w:webHidden/>
            <w:lang w:val="en-GB"/>
          </w:rPr>
          <w:t>23</w:t>
        </w:r>
        <w:r w:rsidR="005C651F" w:rsidRPr="00FA117E">
          <w:rPr>
            <w:noProof/>
            <w:webHidden/>
            <w:lang w:val="en-GB"/>
          </w:rPr>
          <w:fldChar w:fldCharType="end"/>
        </w:r>
      </w:hyperlink>
    </w:p>
    <w:p w:rsidR="00AB46DF" w:rsidRPr="00FA117E" w:rsidRDefault="003C3EE4" w:rsidP="00AB46DF">
      <w:pPr>
        <w:rPr>
          <w:lang w:val="en-GB"/>
        </w:rPr>
      </w:pPr>
      <w:r w:rsidRPr="00FA117E">
        <w:rPr>
          <w:caps/>
          <w:lang w:val="en-GB"/>
        </w:rPr>
        <w:fldChar w:fldCharType="end"/>
      </w:r>
    </w:p>
    <w:p w:rsidR="00AB46DF" w:rsidRPr="00FA117E" w:rsidRDefault="003C3EE4" w:rsidP="00AB46DF">
      <w:pPr>
        <w:rPr>
          <w:lang w:val="en-GB"/>
        </w:rPr>
      </w:pPr>
      <w:r w:rsidRPr="00FA117E">
        <w:rPr>
          <w:lang w:val="en-GB"/>
        </w:rPr>
        <w:br w:type="page"/>
      </w:r>
    </w:p>
    <w:p w:rsidR="00AB46DF" w:rsidRPr="00FA117E" w:rsidRDefault="00AB46DF" w:rsidP="00AB46DF">
      <w:pPr>
        <w:rPr>
          <w:b/>
          <w:color w:val="FFFFFF"/>
          <w:szCs w:val="20"/>
          <w:lang w:val="en-GB"/>
        </w:rPr>
      </w:pPr>
    </w:p>
    <w:p w:rsidR="00D20E3B" w:rsidRPr="00FA117E" w:rsidRDefault="00D20E3B" w:rsidP="00AB46DF">
      <w:pPr>
        <w:rPr>
          <w:b/>
          <w:color w:val="FFFFFF"/>
          <w:szCs w:val="20"/>
          <w:lang w:val="en-GB"/>
        </w:rPr>
      </w:pPr>
    </w:p>
    <w:p w:rsidR="00AB46DF" w:rsidRPr="00FA117E" w:rsidRDefault="00D20E3B" w:rsidP="00AB46DF">
      <w:pPr>
        <w:rPr>
          <w:b/>
          <w:color w:val="FFFFFF"/>
          <w:szCs w:val="20"/>
          <w:lang w:val="en-GB"/>
        </w:rPr>
      </w:pPr>
      <w:r w:rsidRPr="00FA117E">
        <w:rPr>
          <w:b/>
          <w:noProof/>
          <w:color w:val="FFFFFF"/>
          <w:szCs w:val="20"/>
          <w:lang w:val="da-DK" w:eastAsia="da-DK"/>
        </w:rPr>
        <mc:AlternateContent>
          <mc:Choice Requires="wps">
            <w:drawing>
              <wp:anchor distT="0" distB="0" distL="114300" distR="114300" simplePos="0" relativeHeight="251657216" behindDoc="1" locked="0" layoutInCell="1" allowOverlap="1" wp14:anchorId="7EC19194" wp14:editId="62FAE7DB">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3C3EE4" w:rsidRPr="00FA117E">
        <w:rPr>
          <w:b/>
          <w:color w:val="FFFFFF"/>
          <w:szCs w:val="20"/>
          <w:lang w:val="en-GB"/>
        </w:rPr>
        <w:t>LIST OF ABBREVIATIONS</w:t>
      </w:r>
    </w:p>
    <w:p w:rsidR="00AB46DF" w:rsidRPr="00FA117E" w:rsidRDefault="00AB46DF" w:rsidP="00AB46DF">
      <w:pPr>
        <w:rPr>
          <w:b/>
          <w:color w:val="FFFFFF"/>
          <w:szCs w:val="20"/>
          <w:lang w:val="en-GB"/>
        </w:rPr>
      </w:pPr>
    </w:p>
    <w:p w:rsidR="00AB46DF" w:rsidRPr="00FA117E" w:rsidRDefault="00AB46DF" w:rsidP="00AB46DF">
      <w:pPr>
        <w:rPr>
          <w:b/>
          <w:color w:val="FFFFFF"/>
          <w:szCs w:val="20"/>
          <w:lang w:val="en-GB"/>
        </w:rPr>
      </w:pPr>
    </w:p>
    <w:p w:rsidR="00AB46DF" w:rsidRPr="00FA117E" w:rsidRDefault="00AB46DF" w:rsidP="00AB46DF">
      <w:pPr>
        <w:rPr>
          <w:lang w:val="en-GB"/>
        </w:rPr>
      </w:pPr>
    </w:p>
    <w:p w:rsidR="00AB46DF" w:rsidRPr="00FA117E" w:rsidRDefault="00AB46DF" w:rsidP="00AB46DF">
      <w:pPr>
        <w:rPr>
          <w:lang w:val="en-GB"/>
        </w:rPr>
      </w:pPr>
    </w:p>
    <w:tbl>
      <w:tblPr>
        <w:tblpPr w:leftFromText="141" w:rightFromText="141" w:vertAnchor="text" w:tblpY="1"/>
        <w:tblOverlap w:val="never"/>
        <w:tblW w:w="0" w:type="auto"/>
        <w:tblCellMar>
          <w:top w:w="11" w:type="dxa"/>
          <w:bottom w:w="11" w:type="dxa"/>
        </w:tblCellMar>
        <w:tblLook w:val="01E0" w:firstRow="1" w:lastRow="1" w:firstColumn="1" w:lastColumn="1" w:noHBand="0" w:noVBand="0"/>
      </w:tblPr>
      <w:tblGrid>
        <w:gridCol w:w="2041"/>
        <w:gridCol w:w="7245"/>
      </w:tblGrid>
      <w:tr w:rsidR="00EB426D" w:rsidRPr="00FA117E" w:rsidTr="009940E8">
        <w:trPr>
          <w:trHeight w:val="76"/>
        </w:trPr>
        <w:tc>
          <w:tcPr>
            <w:tcW w:w="2041" w:type="dxa"/>
          </w:tcPr>
          <w:p w:rsidR="00EB426D" w:rsidRPr="00FA117E" w:rsidRDefault="00EB426D" w:rsidP="009940E8">
            <w:pPr>
              <w:spacing w:line="288" w:lineRule="auto"/>
              <w:rPr>
                <w:b/>
                <w:color w:val="D2232A"/>
                <w:lang w:val="en-GB"/>
              </w:rPr>
            </w:pPr>
            <w:r w:rsidRPr="00FA117E">
              <w:rPr>
                <w:b/>
                <w:color w:val="D2232A"/>
                <w:lang w:val="en-GB"/>
              </w:rPr>
              <w:t>Abbreviation</w:t>
            </w:r>
          </w:p>
        </w:tc>
        <w:tc>
          <w:tcPr>
            <w:tcW w:w="7245" w:type="dxa"/>
          </w:tcPr>
          <w:p w:rsidR="00EB426D" w:rsidRPr="00FA117E" w:rsidRDefault="00EB426D" w:rsidP="009940E8">
            <w:pPr>
              <w:spacing w:line="288" w:lineRule="auto"/>
              <w:rPr>
                <w:b/>
                <w:color w:val="D2232A"/>
                <w:lang w:val="en-GB"/>
              </w:rPr>
            </w:pPr>
            <w:r w:rsidRPr="00FA117E">
              <w:rPr>
                <w:b/>
                <w:color w:val="D2232A"/>
                <w:lang w:val="en-GB"/>
              </w:rPr>
              <w:t>Explanation</w:t>
            </w:r>
          </w:p>
        </w:tc>
      </w:tr>
      <w:tr w:rsidR="00EB426D" w:rsidRPr="00FA117E" w:rsidTr="009940E8">
        <w:tc>
          <w:tcPr>
            <w:tcW w:w="2041" w:type="dxa"/>
          </w:tcPr>
          <w:p w:rsidR="00EB426D" w:rsidRPr="00FA117E" w:rsidRDefault="00E63FB1" w:rsidP="009940E8">
            <w:pPr>
              <w:spacing w:line="288" w:lineRule="auto"/>
              <w:rPr>
                <w:b/>
                <w:lang w:val="en-GB"/>
              </w:rPr>
            </w:pPr>
            <w:r w:rsidRPr="00FA117E">
              <w:rPr>
                <w:b/>
                <w:lang w:val="en-GB"/>
              </w:rPr>
              <w:t>BB-PPDR</w:t>
            </w:r>
          </w:p>
        </w:tc>
        <w:tc>
          <w:tcPr>
            <w:tcW w:w="7245" w:type="dxa"/>
          </w:tcPr>
          <w:p w:rsidR="00EB426D" w:rsidRPr="00FA117E" w:rsidRDefault="00715938" w:rsidP="009940E8">
            <w:pPr>
              <w:spacing w:line="288" w:lineRule="auto"/>
              <w:rPr>
                <w:szCs w:val="20"/>
                <w:lang w:val="en-GB"/>
              </w:rPr>
            </w:pPr>
            <w:r w:rsidRPr="00FA117E">
              <w:rPr>
                <w:szCs w:val="20"/>
                <w:lang w:val="en-GB"/>
              </w:rPr>
              <w:t>Broadband Public Protection and Disaster Relief</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BEM</w:t>
            </w:r>
          </w:p>
        </w:tc>
        <w:tc>
          <w:tcPr>
            <w:tcW w:w="7245" w:type="dxa"/>
          </w:tcPr>
          <w:p w:rsidR="00EB426D" w:rsidRPr="00FA117E" w:rsidRDefault="00EB426D" w:rsidP="009940E8">
            <w:pPr>
              <w:spacing w:line="288" w:lineRule="auto"/>
              <w:rPr>
                <w:lang w:val="en-GB"/>
              </w:rPr>
            </w:pPr>
            <w:r w:rsidRPr="00FA117E">
              <w:rPr>
                <w:lang w:val="en-GB"/>
              </w:rPr>
              <w:t>Block Edge Mask</w:t>
            </w:r>
          </w:p>
        </w:tc>
      </w:tr>
      <w:tr w:rsidR="00715938" w:rsidRPr="00FA117E" w:rsidTr="009940E8">
        <w:tc>
          <w:tcPr>
            <w:tcW w:w="2041" w:type="dxa"/>
          </w:tcPr>
          <w:p w:rsidR="00715938" w:rsidRPr="00FA117E" w:rsidRDefault="00715938" w:rsidP="009940E8">
            <w:pPr>
              <w:spacing w:line="288" w:lineRule="auto"/>
              <w:rPr>
                <w:b/>
                <w:lang w:val="en-GB"/>
              </w:rPr>
            </w:pPr>
            <w:r w:rsidRPr="00FA117E">
              <w:rPr>
                <w:b/>
                <w:lang w:val="en-GB"/>
              </w:rPr>
              <w:t>BS</w:t>
            </w:r>
          </w:p>
        </w:tc>
        <w:tc>
          <w:tcPr>
            <w:tcW w:w="7245" w:type="dxa"/>
          </w:tcPr>
          <w:p w:rsidR="00715938" w:rsidRPr="00FA117E" w:rsidRDefault="00715938" w:rsidP="009940E8">
            <w:pPr>
              <w:spacing w:line="288" w:lineRule="auto"/>
              <w:rPr>
                <w:lang w:val="en-GB"/>
              </w:rPr>
            </w:pPr>
            <w:r w:rsidRPr="00FA117E">
              <w:rPr>
                <w:lang w:val="en-GB"/>
              </w:rPr>
              <w:t>Base Station</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CEPT</w:t>
            </w:r>
          </w:p>
        </w:tc>
        <w:tc>
          <w:tcPr>
            <w:tcW w:w="7245" w:type="dxa"/>
          </w:tcPr>
          <w:p w:rsidR="00EB426D" w:rsidRPr="00FA117E" w:rsidRDefault="00EB426D" w:rsidP="009940E8">
            <w:pPr>
              <w:pStyle w:val="ECCParagraph"/>
              <w:spacing w:after="0" w:line="288" w:lineRule="auto"/>
              <w:jc w:val="left"/>
            </w:pPr>
            <w:r w:rsidRPr="00FA117E">
              <w:t>European Conference of Postal and Telecommunications Administrations</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DL</w:t>
            </w:r>
          </w:p>
        </w:tc>
        <w:tc>
          <w:tcPr>
            <w:tcW w:w="7245" w:type="dxa"/>
          </w:tcPr>
          <w:p w:rsidR="00EB426D" w:rsidRPr="00FA117E" w:rsidRDefault="00EB426D" w:rsidP="009940E8">
            <w:pPr>
              <w:pStyle w:val="ECCParagraph"/>
              <w:spacing w:after="0" w:line="288" w:lineRule="auto"/>
              <w:jc w:val="left"/>
              <w:rPr>
                <w:szCs w:val="20"/>
              </w:rPr>
            </w:pPr>
            <w:r w:rsidRPr="00FA117E">
              <w:rPr>
                <w:szCs w:val="20"/>
              </w:rPr>
              <w:t>Downlink</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DTT</w:t>
            </w:r>
          </w:p>
        </w:tc>
        <w:tc>
          <w:tcPr>
            <w:tcW w:w="7245" w:type="dxa"/>
          </w:tcPr>
          <w:p w:rsidR="00EB426D" w:rsidRPr="00FA117E" w:rsidRDefault="00715938" w:rsidP="009940E8">
            <w:pPr>
              <w:pStyle w:val="ECCParagraph"/>
              <w:spacing w:after="0" w:line="288" w:lineRule="auto"/>
              <w:jc w:val="left"/>
              <w:rPr>
                <w:szCs w:val="20"/>
              </w:rPr>
            </w:pPr>
            <w:r w:rsidRPr="00FA117E">
              <w:rPr>
                <w:szCs w:val="20"/>
              </w:rPr>
              <w:t>Digital Terrestrial Television</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DVB-T2</w:t>
            </w:r>
          </w:p>
        </w:tc>
        <w:tc>
          <w:tcPr>
            <w:tcW w:w="7245" w:type="dxa"/>
          </w:tcPr>
          <w:p w:rsidR="00EB426D" w:rsidRPr="00FA117E" w:rsidRDefault="002B119B" w:rsidP="002653B9">
            <w:pPr>
              <w:rPr>
                <w:rFonts w:cs="Arial"/>
                <w:color w:val="000000"/>
                <w:szCs w:val="20"/>
                <w:lang w:val="en-GB"/>
              </w:rPr>
            </w:pPr>
            <w:r w:rsidRPr="00FA117E">
              <w:rPr>
                <w:lang w:val="en-GB"/>
              </w:rPr>
              <w:t>Digital Video Broadcasting Terrestrial, 2</w:t>
            </w:r>
            <w:r w:rsidRPr="00FA117E">
              <w:rPr>
                <w:vertAlign w:val="superscript"/>
                <w:lang w:val="en-GB"/>
              </w:rPr>
              <w:t>nd</w:t>
            </w:r>
            <w:r w:rsidRPr="00FA117E">
              <w:rPr>
                <w:lang w:val="en-GB"/>
              </w:rPr>
              <w:t xml:space="preserve"> Generation</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EC</w:t>
            </w:r>
          </w:p>
        </w:tc>
        <w:tc>
          <w:tcPr>
            <w:tcW w:w="7245" w:type="dxa"/>
          </w:tcPr>
          <w:p w:rsidR="00EB426D" w:rsidRPr="00FA117E" w:rsidRDefault="00EB426D" w:rsidP="009940E8">
            <w:pPr>
              <w:pStyle w:val="ECCParagraph"/>
              <w:spacing w:after="0" w:line="288" w:lineRule="auto"/>
              <w:jc w:val="left"/>
              <w:rPr>
                <w:szCs w:val="20"/>
              </w:rPr>
            </w:pPr>
            <w:r w:rsidRPr="00FA117E">
              <w:rPr>
                <w:szCs w:val="20"/>
              </w:rPr>
              <w:t>European Commission</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ECC</w:t>
            </w:r>
          </w:p>
        </w:tc>
        <w:tc>
          <w:tcPr>
            <w:tcW w:w="7245" w:type="dxa"/>
          </w:tcPr>
          <w:p w:rsidR="00EB426D" w:rsidRPr="00FA117E" w:rsidRDefault="00EB426D" w:rsidP="009940E8">
            <w:pPr>
              <w:pStyle w:val="ECCParagraph"/>
              <w:spacing w:after="0" w:line="288" w:lineRule="auto"/>
              <w:jc w:val="left"/>
              <w:rPr>
                <w:szCs w:val="20"/>
              </w:rPr>
            </w:pPr>
            <w:r w:rsidRPr="00FA117E">
              <w:rPr>
                <w:szCs w:val="20"/>
              </w:rPr>
              <w:t>Electronic Communications Committee</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ECS</w:t>
            </w:r>
          </w:p>
        </w:tc>
        <w:tc>
          <w:tcPr>
            <w:tcW w:w="7245" w:type="dxa"/>
          </w:tcPr>
          <w:p w:rsidR="00EB426D" w:rsidRPr="00FA117E" w:rsidRDefault="00D166DE" w:rsidP="009940E8">
            <w:pPr>
              <w:pStyle w:val="ECCParagraph"/>
              <w:spacing w:after="0" w:line="288" w:lineRule="auto"/>
              <w:jc w:val="left"/>
              <w:rPr>
                <w:szCs w:val="20"/>
              </w:rPr>
            </w:pPr>
            <w:r w:rsidRPr="00FA117E">
              <w:rPr>
                <w:szCs w:val="20"/>
              </w:rPr>
              <w:t>Electronic Communications Services</w:t>
            </w:r>
          </w:p>
        </w:tc>
      </w:tr>
      <w:tr w:rsidR="00EB426D" w:rsidRPr="00FA117E" w:rsidTr="009940E8">
        <w:tc>
          <w:tcPr>
            <w:tcW w:w="2041" w:type="dxa"/>
          </w:tcPr>
          <w:p w:rsidR="00EB426D" w:rsidRPr="00FA117E" w:rsidRDefault="00EB426D" w:rsidP="009940E8">
            <w:pPr>
              <w:spacing w:line="288" w:lineRule="auto"/>
              <w:rPr>
                <w:b/>
                <w:lang w:val="en-GB"/>
              </w:rPr>
            </w:pPr>
            <w:proofErr w:type="spellStart"/>
            <w:r w:rsidRPr="00FA117E">
              <w:rPr>
                <w:b/>
                <w:lang w:val="en-GB"/>
              </w:rPr>
              <w:t>e.i.r.p</w:t>
            </w:r>
            <w:proofErr w:type="spellEnd"/>
            <w:r w:rsidRPr="00FA117E">
              <w:rPr>
                <w:b/>
                <w:lang w:val="en-GB"/>
              </w:rPr>
              <w:t>.</w:t>
            </w:r>
          </w:p>
        </w:tc>
        <w:tc>
          <w:tcPr>
            <w:tcW w:w="7245" w:type="dxa"/>
          </w:tcPr>
          <w:p w:rsidR="00EB426D" w:rsidRPr="00FA117E" w:rsidRDefault="00EB426D" w:rsidP="009940E8">
            <w:pPr>
              <w:pStyle w:val="ECCParagraph"/>
              <w:spacing w:after="0" w:line="288" w:lineRule="auto"/>
              <w:jc w:val="left"/>
              <w:rPr>
                <w:szCs w:val="20"/>
              </w:rPr>
            </w:pPr>
            <w:r w:rsidRPr="00FA117E">
              <w:rPr>
                <w:szCs w:val="20"/>
              </w:rPr>
              <w:t xml:space="preserve">equivalent </w:t>
            </w:r>
            <w:proofErr w:type="spellStart"/>
            <w:r w:rsidRPr="00FA117E">
              <w:rPr>
                <w:szCs w:val="20"/>
              </w:rPr>
              <w:t>isotropically</w:t>
            </w:r>
            <w:proofErr w:type="spellEnd"/>
            <w:r w:rsidRPr="00FA117E">
              <w:rPr>
                <w:szCs w:val="20"/>
              </w:rPr>
              <w:t xml:space="preserve"> radiated power</w:t>
            </w:r>
          </w:p>
        </w:tc>
      </w:tr>
      <w:tr w:rsidR="00EB426D" w:rsidRPr="00FA117E" w:rsidTr="00EB426D">
        <w:tc>
          <w:tcPr>
            <w:tcW w:w="2041" w:type="dxa"/>
          </w:tcPr>
          <w:p w:rsidR="00EB426D" w:rsidRPr="00FA117E" w:rsidRDefault="00EB426D" w:rsidP="009940E8">
            <w:pPr>
              <w:spacing w:line="288" w:lineRule="auto"/>
              <w:rPr>
                <w:b/>
                <w:lang w:val="en-GB"/>
              </w:rPr>
            </w:pPr>
            <w:r w:rsidRPr="00FA117E">
              <w:rPr>
                <w:b/>
                <w:lang w:val="en-GB"/>
              </w:rPr>
              <w:t>ETSI</w:t>
            </w:r>
          </w:p>
        </w:tc>
        <w:tc>
          <w:tcPr>
            <w:tcW w:w="7245" w:type="dxa"/>
            <w:shd w:val="clear" w:color="auto" w:fill="auto"/>
          </w:tcPr>
          <w:p w:rsidR="00EB426D" w:rsidRPr="00FA117E" w:rsidRDefault="00EB426D" w:rsidP="009940E8">
            <w:pPr>
              <w:pStyle w:val="ECCParagraph"/>
              <w:spacing w:after="0" w:line="288" w:lineRule="auto"/>
              <w:jc w:val="left"/>
              <w:rPr>
                <w:szCs w:val="20"/>
              </w:rPr>
            </w:pPr>
            <w:r w:rsidRPr="00FA117E">
              <w:rPr>
                <w:szCs w:val="20"/>
              </w:rPr>
              <w:t>European Telecommunication Standard Institute</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FDD</w:t>
            </w:r>
          </w:p>
        </w:tc>
        <w:tc>
          <w:tcPr>
            <w:tcW w:w="7245" w:type="dxa"/>
          </w:tcPr>
          <w:p w:rsidR="00EB426D" w:rsidRPr="00FA117E" w:rsidRDefault="00D166DE" w:rsidP="009940E8">
            <w:pPr>
              <w:pStyle w:val="ECCParagraph"/>
              <w:spacing w:after="0" w:line="288" w:lineRule="auto"/>
              <w:jc w:val="left"/>
              <w:rPr>
                <w:szCs w:val="20"/>
              </w:rPr>
            </w:pPr>
            <w:r w:rsidRPr="00FA117E">
              <w:rPr>
                <w:szCs w:val="20"/>
              </w:rPr>
              <w:t>Frequency Division Duplex</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IMT</w:t>
            </w:r>
          </w:p>
        </w:tc>
        <w:tc>
          <w:tcPr>
            <w:tcW w:w="7245" w:type="dxa"/>
          </w:tcPr>
          <w:p w:rsidR="00EB426D" w:rsidRPr="00FA117E" w:rsidRDefault="00EB426D" w:rsidP="009940E8">
            <w:pPr>
              <w:pStyle w:val="ECCParagraph"/>
              <w:spacing w:after="0" w:line="288" w:lineRule="auto"/>
              <w:jc w:val="left"/>
              <w:rPr>
                <w:szCs w:val="20"/>
              </w:rPr>
            </w:pPr>
            <w:r w:rsidRPr="00FA117E">
              <w:rPr>
                <w:szCs w:val="20"/>
              </w:rPr>
              <w:t>International Mobile Telecommunications</w:t>
            </w:r>
          </w:p>
        </w:tc>
      </w:tr>
      <w:tr w:rsidR="00BE04FB" w:rsidRPr="00FA117E" w:rsidTr="009940E8">
        <w:tc>
          <w:tcPr>
            <w:tcW w:w="2041" w:type="dxa"/>
          </w:tcPr>
          <w:p w:rsidR="00BE04FB" w:rsidRPr="00FA117E" w:rsidRDefault="00BE04FB" w:rsidP="009940E8">
            <w:pPr>
              <w:spacing w:line="288" w:lineRule="auto"/>
              <w:rPr>
                <w:b/>
                <w:lang w:val="en-GB"/>
              </w:rPr>
            </w:pPr>
            <w:r w:rsidRPr="00FA117E">
              <w:rPr>
                <w:b/>
                <w:lang w:val="en-GB"/>
              </w:rPr>
              <w:t>ITU</w:t>
            </w:r>
          </w:p>
        </w:tc>
        <w:tc>
          <w:tcPr>
            <w:tcW w:w="7245" w:type="dxa"/>
          </w:tcPr>
          <w:p w:rsidR="00BE04FB" w:rsidRPr="00FA117E" w:rsidRDefault="00BE04FB" w:rsidP="009940E8">
            <w:pPr>
              <w:pStyle w:val="ECCParagraph"/>
              <w:spacing w:after="0" w:line="288" w:lineRule="auto"/>
              <w:jc w:val="left"/>
              <w:rPr>
                <w:szCs w:val="20"/>
              </w:rPr>
            </w:pPr>
            <w:r w:rsidRPr="00FA117E">
              <w:rPr>
                <w:szCs w:val="20"/>
              </w:rPr>
              <w:t>International Telecommunication Union</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LRTC</w:t>
            </w:r>
          </w:p>
        </w:tc>
        <w:tc>
          <w:tcPr>
            <w:tcW w:w="7245" w:type="dxa"/>
          </w:tcPr>
          <w:p w:rsidR="00EB426D" w:rsidRPr="00FA117E" w:rsidRDefault="00EB426D" w:rsidP="009940E8">
            <w:pPr>
              <w:pStyle w:val="ECCParagraph"/>
              <w:spacing w:after="0" w:line="288" w:lineRule="auto"/>
              <w:jc w:val="left"/>
              <w:rPr>
                <w:szCs w:val="20"/>
              </w:rPr>
            </w:pPr>
            <w:r w:rsidRPr="00FA117E">
              <w:rPr>
                <w:szCs w:val="20"/>
              </w:rPr>
              <w:t>Least Restrictive Technical Conditions</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LTE</w:t>
            </w:r>
          </w:p>
        </w:tc>
        <w:tc>
          <w:tcPr>
            <w:tcW w:w="7245" w:type="dxa"/>
          </w:tcPr>
          <w:p w:rsidR="00EB426D" w:rsidRPr="00FA117E" w:rsidRDefault="00EB426D" w:rsidP="009940E8">
            <w:pPr>
              <w:pStyle w:val="ECCParagraph"/>
              <w:spacing w:after="0" w:line="288" w:lineRule="auto"/>
              <w:jc w:val="left"/>
              <w:rPr>
                <w:szCs w:val="20"/>
              </w:rPr>
            </w:pPr>
            <w:r w:rsidRPr="00FA117E">
              <w:rPr>
                <w:szCs w:val="20"/>
              </w:rPr>
              <w:t>Long Term Evolution</w:t>
            </w:r>
          </w:p>
        </w:tc>
      </w:tr>
      <w:tr w:rsidR="00BC3F60" w:rsidRPr="00FA117E" w:rsidTr="009940E8">
        <w:tc>
          <w:tcPr>
            <w:tcW w:w="2041" w:type="dxa"/>
          </w:tcPr>
          <w:p w:rsidR="00BC3F60" w:rsidRPr="00FA117E" w:rsidRDefault="00BC3F60" w:rsidP="009940E8">
            <w:pPr>
              <w:spacing w:line="288" w:lineRule="auto"/>
              <w:rPr>
                <w:b/>
                <w:lang w:val="en-GB"/>
              </w:rPr>
            </w:pPr>
            <w:r w:rsidRPr="00FA117E">
              <w:rPr>
                <w:b/>
                <w:lang w:val="en-GB"/>
              </w:rPr>
              <w:t>MCL</w:t>
            </w:r>
          </w:p>
        </w:tc>
        <w:tc>
          <w:tcPr>
            <w:tcW w:w="7245" w:type="dxa"/>
          </w:tcPr>
          <w:p w:rsidR="00BC3F60" w:rsidRPr="00FA117E" w:rsidRDefault="00BC3F60" w:rsidP="009940E8">
            <w:pPr>
              <w:pStyle w:val="ECCParagraph"/>
              <w:spacing w:after="0" w:line="288" w:lineRule="auto"/>
              <w:jc w:val="left"/>
              <w:rPr>
                <w:szCs w:val="20"/>
              </w:rPr>
            </w:pPr>
            <w:r w:rsidRPr="00FA117E">
              <w:rPr>
                <w:szCs w:val="20"/>
              </w:rPr>
              <w:t>Minimum Coupling Loss</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MFCN</w:t>
            </w:r>
          </w:p>
        </w:tc>
        <w:tc>
          <w:tcPr>
            <w:tcW w:w="7245" w:type="dxa"/>
          </w:tcPr>
          <w:p w:rsidR="00EB426D" w:rsidRPr="00FA117E" w:rsidRDefault="00D166DE" w:rsidP="009940E8">
            <w:pPr>
              <w:pStyle w:val="ECCParagraph"/>
              <w:spacing w:after="0" w:line="288" w:lineRule="auto"/>
              <w:jc w:val="left"/>
              <w:rPr>
                <w:szCs w:val="20"/>
              </w:rPr>
            </w:pPr>
            <w:r w:rsidRPr="00FA117E">
              <w:rPr>
                <w:szCs w:val="20"/>
              </w:rPr>
              <w:t>Mobile/Fixed Communications Networks</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M2M</w:t>
            </w:r>
          </w:p>
        </w:tc>
        <w:tc>
          <w:tcPr>
            <w:tcW w:w="7245" w:type="dxa"/>
          </w:tcPr>
          <w:p w:rsidR="00EB426D" w:rsidRPr="00FA117E" w:rsidRDefault="00EB426D" w:rsidP="006035D3">
            <w:pPr>
              <w:pStyle w:val="ECCParagraph"/>
              <w:spacing w:after="0" w:line="288" w:lineRule="auto"/>
              <w:jc w:val="left"/>
              <w:rPr>
                <w:szCs w:val="20"/>
              </w:rPr>
            </w:pPr>
            <w:r w:rsidRPr="00FA117E">
              <w:rPr>
                <w:szCs w:val="20"/>
              </w:rPr>
              <w:t>Machine-to-</w:t>
            </w:r>
            <w:r w:rsidR="006035D3" w:rsidRPr="00FA117E">
              <w:rPr>
                <w:szCs w:val="20"/>
              </w:rPr>
              <w:t>M</w:t>
            </w:r>
            <w:r w:rsidRPr="00FA117E">
              <w:rPr>
                <w:szCs w:val="20"/>
              </w:rPr>
              <w:t>achine</w:t>
            </w:r>
          </w:p>
        </w:tc>
      </w:tr>
      <w:tr w:rsidR="00715938" w:rsidRPr="00FA117E" w:rsidTr="009940E8">
        <w:tc>
          <w:tcPr>
            <w:tcW w:w="2041" w:type="dxa"/>
          </w:tcPr>
          <w:p w:rsidR="00715938" w:rsidRPr="00FA117E" w:rsidRDefault="00801FBB" w:rsidP="009940E8">
            <w:pPr>
              <w:spacing w:line="288" w:lineRule="auto"/>
              <w:rPr>
                <w:b/>
                <w:lang w:val="en-GB"/>
              </w:rPr>
            </w:pPr>
            <w:r w:rsidRPr="00FA117E">
              <w:rPr>
                <w:b/>
                <w:lang w:val="en-GB"/>
              </w:rPr>
              <w:t>OOB</w:t>
            </w:r>
            <w:r w:rsidR="002653B9" w:rsidRPr="00FA117E">
              <w:rPr>
                <w:b/>
                <w:lang w:val="en-GB"/>
              </w:rPr>
              <w:t xml:space="preserve"> (OOBE)</w:t>
            </w:r>
          </w:p>
        </w:tc>
        <w:tc>
          <w:tcPr>
            <w:tcW w:w="7245" w:type="dxa"/>
          </w:tcPr>
          <w:p w:rsidR="00715938" w:rsidRPr="00FA117E" w:rsidRDefault="00801FBB" w:rsidP="009940E8">
            <w:pPr>
              <w:pStyle w:val="ECCParagraph"/>
              <w:spacing w:after="0" w:line="288" w:lineRule="auto"/>
              <w:jc w:val="left"/>
              <w:rPr>
                <w:szCs w:val="20"/>
              </w:rPr>
            </w:pPr>
            <w:r w:rsidRPr="00FA117E">
              <w:rPr>
                <w:szCs w:val="20"/>
              </w:rPr>
              <w:t>Out-of-band</w:t>
            </w:r>
            <w:r w:rsidR="002653B9" w:rsidRPr="00FA117E">
              <w:rPr>
                <w:szCs w:val="20"/>
              </w:rPr>
              <w:t xml:space="preserve"> (Out of band emission)</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PMSE</w:t>
            </w:r>
          </w:p>
        </w:tc>
        <w:tc>
          <w:tcPr>
            <w:tcW w:w="7245" w:type="dxa"/>
          </w:tcPr>
          <w:p w:rsidR="00EB426D" w:rsidRPr="00FA117E" w:rsidRDefault="00EB426D" w:rsidP="009940E8">
            <w:pPr>
              <w:pStyle w:val="ECCParagraph"/>
              <w:spacing w:after="0" w:line="288" w:lineRule="auto"/>
              <w:jc w:val="left"/>
              <w:rPr>
                <w:szCs w:val="20"/>
              </w:rPr>
            </w:pPr>
            <w:r w:rsidRPr="00FA117E">
              <w:rPr>
                <w:szCs w:val="20"/>
              </w:rPr>
              <w:t>Programme Making and Special Events</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PPDR</w:t>
            </w:r>
          </w:p>
        </w:tc>
        <w:tc>
          <w:tcPr>
            <w:tcW w:w="7245" w:type="dxa"/>
          </w:tcPr>
          <w:p w:rsidR="00EB426D" w:rsidRPr="00FA117E" w:rsidRDefault="00EB426D" w:rsidP="009940E8">
            <w:pPr>
              <w:pStyle w:val="ECCParagraph"/>
              <w:spacing w:after="0" w:line="288" w:lineRule="auto"/>
              <w:jc w:val="left"/>
              <w:rPr>
                <w:szCs w:val="20"/>
              </w:rPr>
            </w:pPr>
            <w:r w:rsidRPr="00FA117E">
              <w:rPr>
                <w:szCs w:val="20"/>
              </w:rPr>
              <w:t>Public Protection and Disaster Relief</w:t>
            </w:r>
          </w:p>
        </w:tc>
      </w:tr>
      <w:tr w:rsidR="00EB426D" w:rsidRPr="00FA117E" w:rsidTr="009940E8">
        <w:tc>
          <w:tcPr>
            <w:tcW w:w="2041" w:type="dxa"/>
          </w:tcPr>
          <w:p w:rsidR="00EB426D" w:rsidRPr="00FA117E" w:rsidRDefault="00EB426D" w:rsidP="009940E8">
            <w:pPr>
              <w:spacing w:line="288" w:lineRule="auto"/>
              <w:rPr>
                <w:b/>
                <w:lang w:val="en-GB"/>
              </w:rPr>
            </w:pPr>
            <w:proofErr w:type="spellStart"/>
            <w:r w:rsidRPr="00FA117E">
              <w:rPr>
                <w:b/>
                <w:lang w:val="en-GB"/>
              </w:rPr>
              <w:t>QoS</w:t>
            </w:r>
            <w:proofErr w:type="spellEnd"/>
          </w:p>
        </w:tc>
        <w:tc>
          <w:tcPr>
            <w:tcW w:w="7245" w:type="dxa"/>
          </w:tcPr>
          <w:p w:rsidR="00EB426D" w:rsidRPr="00FA117E" w:rsidRDefault="00EB426D" w:rsidP="009940E8">
            <w:pPr>
              <w:pStyle w:val="ECCParagraph"/>
              <w:spacing w:after="0" w:line="288" w:lineRule="auto"/>
              <w:jc w:val="left"/>
              <w:rPr>
                <w:szCs w:val="20"/>
              </w:rPr>
            </w:pPr>
            <w:r w:rsidRPr="00FA117E">
              <w:rPr>
                <w:szCs w:val="20"/>
              </w:rPr>
              <w:t>Quality of Service</w:t>
            </w:r>
          </w:p>
        </w:tc>
      </w:tr>
      <w:tr w:rsidR="00CC3B39" w:rsidRPr="00FA117E" w:rsidTr="009940E8">
        <w:tc>
          <w:tcPr>
            <w:tcW w:w="2041" w:type="dxa"/>
          </w:tcPr>
          <w:p w:rsidR="00CC3B39" w:rsidRPr="00FA117E" w:rsidRDefault="00CC3B39" w:rsidP="009940E8">
            <w:pPr>
              <w:spacing w:line="288" w:lineRule="auto"/>
              <w:rPr>
                <w:b/>
                <w:lang w:val="en-GB"/>
              </w:rPr>
            </w:pPr>
            <w:r w:rsidRPr="00FA117E">
              <w:rPr>
                <w:b/>
                <w:lang w:val="en-GB"/>
              </w:rPr>
              <w:t>SEAMCAT</w:t>
            </w:r>
          </w:p>
        </w:tc>
        <w:tc>
          <w:tcPr>
            <w:tcW w:w="7245" w:type="dxa"/>
          </w:tcPr>
          <w:p w:rsidR="00CC3B39" w:rsidRPr="00FA117E" w:rsidRDefault="00CC3B39" w:rsidP="009940E8">
            <w:pPr>
              <w:pStyle w:val="ECCParagraph"/>
              <w:spacing w:after="0" w:line="288" w:lineRule="auto"/>
              <w:jc w:val="left"/>
              <w:rPr>
                <w:szCs w:val="20"/>
              </w:rPr>
            </w:pPr>
            <w:r w:rsidRPr="00FA117E">
              <w:rPr>
                <w:szCs w:val="20"/>
              </w:rPr>
              <w:t>Spectrum Engineering Advanced Monte Carlo Analysis Tool</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SEM</w:t>
            </w:r>
          </w:p>
        </w:tc>
        <w:tc>
          <w:tcPr>
            <w:tcW w:w="7245" w:type="dxa"/>
          </w:tcPr>
          <w:p w:rsidR="00EB426D" w:rsidRPr="00FA117E" w:rsidRDefault="00EB426D" w:rsidP="009940E8">
            <w:pPr>
              <w:pStyle w:val="ECCParagraph"/>
              <w:spacing w:after="0" w:line="288" w:lineRule="auto"/>
              <w:jc w:val="left"/>
              <w:rPr>
                <w:szCs w:val="20"/>
              </w:rPr>
            </w:pPr>
            <w:r w:rsidRPr="00FA117E">
              <w:rPr>
                <w:szCs w:val="20"/>
              </w:rPr>
              <w:t>Spectrum Emission Mask</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SDL</w:t>
            </w:r>
          </w:p>
        </w:tc>
        <w:tc>
          <w:tcPr>
            <w:tcW w:w="7245" w:type="dxa"/>
          </w:tcPr>
          <w:p w:rsidR="00EB426D" w:rsidRPr="00FA117E" w:rsidRDefault="00EB426D" w:rsidP="009940E8">
            <w:pPr>
              <w:pStyle w:val="ECCParagraph"/>
              <w:spacing w:after="0" w:line="288" w:lineRule="auto"/>
              <w:jc w:val="left"/>
              <w:rPr>
                <w:szCs w:val="20"/>
              </w:rPr>
            </w:pPr>
            <w:r w:rsidRPr="00FA117E">
              <w:rPr>
                <w:szCs w:val="20"/>
              </w:rPr>
              <w:t>Supplemental Downlink</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TRP</w:t>
            </w:r>
          </w:p>
        </w:tc>
        <w:tc>
          <w:tcPr>
            <w:tcW w:w="7245" w:type="dxa"/>
          </w:tcPr>
          <w:p w:rsidR="00EB426D" w:rsidRPr="00FA117E" w:rsidRDefault="00EB426D" w:rsidP="009940E8">
            <w:pPr>
              <w:pStyle w:val="ECCParagraph"/>
              <w:spacing w:after="0" w:line="288" w:lineRule="auto"/>
              <w:jc w:val="left"/>
              <w:rPr>
                <w:szCs w:val="20"/>
              </w:rPr>
            </w:pPr>
            <w:r w:rsidRPr="00FA117E">
              <w:rPr>
                <w:szCs w:val="20"/>
              </w:rPr>
              <w:t>Total Radiated Power</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TS</w:t>
            </w:r>
          </w:p>
        </w:tc>
        <w:tc>
          <w:tcPr>
            <w:tcW w:w="7245" w:type="dxa"/>
          </w:tcPr>
          <w:p w:rsidR="00EB426D" w:rsidRPr="00FA117E" w:rsidRDefault="00EB426D" w:rsidP="009940E8">
            <w:pPr>
              <w:pStyle w:val="ECCParagraph"/>
              <w:spacing w:after="0" w:line="288" w:lineRule="auto"/>
              <w:jc w:val="left"/>
              <w:rPr>
                <w:szCs w:val="20"/>
              </w:rPr>
            </w:pPr>
            <w:r w:rsidRPr="00FA117E">
              <w:rPr>
                <w:szCs w:val="20"/>
              </w:rPr>
              <w:t>Terminal Station</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UL</w:t>
            </w:r>
          </w:p>
        </w:tc>
        <w:tc>
          <w:tcPr>
            <w:tcW w:w="7245" w:type="dxa"/>
          </w:tcPr>
          <w:p w:rsidR="00EB426D" w:rsidRPr="00FA117E" w:rsidRDefault="00EB426D" w:rsidP="009940E8">
            <w:pPr>
              <w:pStyle w:val="ECCParagraph"/>
              <w:spacing w:after="0" w:line="288" w:lineRule="auto"/>
              <w:jc w:val="left"/>
              <w:rPr>
                <w:szCs w:val="20"/>
              </w:rPr>
            </w:pPr>
            <w:r w:rsidRPr="00FA117E">
              <w:rPr>
                <w:szCs w:val="20"/>
              </w:rPr>
              <w:t>Uplink</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WBB</w:t>
            </w:r>
          </w:p>
        </w:tc>
        <w:tc>
          <w:tcPr>
            <w:tcW w:w="7245" w:type="dxa"/>
          </w:tcPr>
          <w:p w:rsidR="00EB426D" w:rsidRPr="00FA117E" w:rsidRDefault="00EB426D" w:rsidP="009940E8">
            <w:pPr>
              <w:pStyle w:val="ECCParagraph"/>
              <w:spacing w:after="0" w:line="288" w:lineRule="auto"/>
              <w:jc w:val="left"/>
              <w:rPr>
                <w:szCs w:val="20"/>
              </w:rPr>
            </w:pPr>
            <w:r w:rsidRPr="00FA117E">
              <w:rPr>
                <w:szCs w:val="20"/>
              </w:rPr>
              <w:t>Wireless broadband</w:t>
            </w:r>
          </w:p>
        </w:tc>
      </w:tr>
      <w:tr w:rsidR="00EB426D" w:rsidRPr="00FA117E" w:rsidTr="009940E8">
        <w:tc>
          <w:tcPr>
            <w:tcW w:w="2041" w:type="dxa"/>
          </w:tcPr>
          <w:p w:rsidR="00EB426D" w:rsidRPr="00FA117E" w:rsidRDefault="00EB426D" w:rsidP="009940E8">
            <w:pPr>
              <w:spacing w:line="288" w:lineRule="auto"/>
              <w:rPr>
                <w:b/>
                <w:lang w:val="en-GB"/>
              </w:rPr>
            </w:pPr>
            <w:r w:rsidRPr="00FA117E">
              <w:rPr>
                <w:b/>
                <w:lang w:val="en-GB"/>
              </w:rPr>
              <w:t>WRC-15</w:t>
            </w:r>
          </w:p>
        </w:tc>
        <w:tc>
          <w:tcPr>
            <w:tcW w:w="7245" w:type="dxa"/>
          </w:tcPr>
          <w:p w:rsidR="00EB426D" w:rsidRPr="00FA117E" w:rsidRDefault="00D166DE" w:rsidP="009940E8">
            <w:pPr>
              <w:pStyle w:val="ECCParagraph"/>
              <w:spacing w:after="0" w:line="288" w:lineRule="auto"/>
              <w:jc w:val="left"/>
              <w:rPr>
                <w:szCs w:val="20"/>
              </w:rPr>
            </w:pPr>
            <w:r w:rsidRPr="00FA117E">
              <w:rPr>
                <w:szCs w:val="20"/>
              </w:rPr>
              <w:t xml:space="preserve">World </w:t>
            </w:r>
            <w:proofErr w:type="spellStart"/>
            <w:r w:rsidRPr="00FA117E">
              <w:rPr>
                <w:szCs w:val="20"/>
              </w:rPr>
              <w:t>Radiocommunication</w:t>
            </w:r>
            <w:proofErr w:type="spellEnd"/>
            <w:r w:rsidRPr="00FA117E">
              <w:rPr>
                <w:szCs w:val="20"/>
              </w:rPr>
              <w:t xml:space="preserve"> Conference 2015</w:t>
            </w:r>
          </w:p>
        </w:tc>
      </w:tr>
      <w:tr w:rsidR="00EB426D" w:rsidRPr="00FA117E" w:rsidTr="009940E8">
        <w:tc>
          <w:tcPr>
            <w:tcW w:w="2041" w:type="dxa"/>
          </w:tcPr>
          <w:p w:rsidR="00EB426D" w:rsidRPr="00FA117E" w:rsidRDefault="00EB426D" w:rsidP="009940E8">
            <w:pPr>
              <w:spacing w:line="288" w:lineRule="auto"/>
              <w:rPr>
                <w:b/>
                <w:lang w:val="en-GB"/>
              </w:rPr>
            </w:pPr>
          </w:p>
        </w:tc>
        <w:tc>
          <w:tcPr>
            <w:tcW w:w="7245" w:type="dxa"/>
          </w:tcPr>
          <w:p w:rsidR="00EB426D" w:rsidRPr="00FA117E" w:rsidRDefault="00EB426D" w:rsidP="009940E8">
            <w:pPr>
              <w:pStyle w:val="ECCParagraph"/>
              <w:spacing w:after="0" w:line="288" w:lineRule="auto"/>
              <w:jc w:val="left"/>
              <w:rPr>
                <w:szCs w:val="20"/>
              </w:rPr>
            </w:pPr>
          </w:p>
        </w:tc>
      </w:tr>
    </w:tbl>
    <w:p w:rsidR="00AB46DF" w:rsidRPr="00FA117E" w:rsidRDefault="00AB46DF" w:rsidP="00AB46DF">
      <w:pPr>
        <w:rPr>
          <w:lang w:val="en-GB"/>
        </w:rPr>
      </w:pPr>
    </w:p>
    <w:p w:rsidR="00AB46DF" w:rsidRPr="00FA117E" w:rsidRDefault="003C3EE4" w:rsidP="00AB46DF">
      <w:pPr>
        <w:pStyle w:val="Heading1"/>
      </w:pPr>
      <w:bookmarkStart w:id="3" w:name="_Toc441229617"/>
      <w:r w:rsidRPr="00FA117E">
        <w:lastRenderedPageBreak/>
        <w:t>Introduction</w:t>
      </w:r>
      <w:bookmarkEnd w:id="3"/>
    </w:p>
    <w:p w:rsidR="00ED413D" w:rsidRPr="00FA117E" w:rsidRDefault="00D166DE" w:rsidP="00216BE1">
      <w:pPr>
        <w:pStyle w:val="ECCParagraph"/>
      </w:pPr>
      <w:r w:rsidRPr="00FA117E">
        <w:t xml:space="preserve">This CEPT Report responds to task 3 of the EC mandate 700 MHz (see </w:t>
      </w:r>
      <w:r w:rsidRPr="00FA117E">
        <w:fldChar w:fldCharType="begin"/>
      </w:r>
      <w:r w:rsidRPr="00FA117E">
        <w:instrText xml:space="preserve"> REF _Ref422930461 \n \h </w:instrText>
      </w:r>
      <w:r w:rsidR="002044AA" w:rsidRPr="00FA117E">
        <w:instrText xml:space="preserve"> \* MERGEFORMAT </w:instrText>
      </w:r>
      <w:r w:rsidRPr="00FA117E">
        <w:fldChar w:fldCharType="separate"/>
      </w:r>
      <w:r w:rsidR="005C651F" w:rsidRPr="00FA117E">
        <w:t>ANNEX 1:</w:t>
      </w:r>
      <w:r w:rsidRPr="00FA117E">
        <w:fldChar w:fldCharType="end"/>
      </w:r>
      <w:r w:rsidRPr="00FA117E">
        <w:t>).</w:t>
      </w:r>
      <w:r w:rsidR="004665DC" w:rsidRPr="00FA117E">
        <w:t xml:space="preserve"> </w:t>
      </w:r>
      <w:r w:rsidR="00EB426D" w:rsidRPr="00FA117E">
        <w:t>Based on the information contained in CEPT Report 53</w:t>
      </w:r>
      <w:r w:rsidR="00E63FB1" w:rsidRPr="00FA117E">
        <w:t xml:space="preserve"> </w:t>
      </w:r>
      <w:r w:rsidR="00E63FB1" w:rsidRPr="00FA117E">
        <w:fldChar w:fldCharType="begin"/>
      </w:r>
      <w:r w:rsidR="00E63FB1" w:rsidRPr="00FA117E">
        <w:instrText xml:space="preserve"> REF _Ref420684125 \r \h </w:instrText>
      </w:r>
      <w:r w:rsidR="00532417" w:rsidRPr="00FA117E">
        <w:instrText xml:space="preserve"> \* MERGEFORMAT </w:instrText>
      </w:r>
      <w:r w:rsidR="00E63FB1" w:rsidRPr="00FA117E">
        <w:fldChar w:fldCharType="separate"/>
      </w:r>
      <w:r w:rsidR="005C651F" w:rsidRPr="00FA117E">
        <w:t>[1]</w:t>
      </w:r>
      <w:r w:rsidR="00E63FB1" w:rsidRPr="00FA117E">
        <w:fldChar w:fldCharType="end"/>
      </w:r>
      <w:r w:rsidR="00EB426D" w:rsidRPr="00FA117E">
        <w:t>, t</w:t>
      </w:r>
      <w:r w:rsidR="004665DC" w:rsidRPr="00FA117E">
        <w:t>he results delivered in this report address the following topics:</w:t>
      </w:r>
    </w:p>
    <w:p w:rsidR="004665DC" w:rsidRPr="00FA117E" w:rsidRDefault="00EB426D" w:rsidP="004665DC">
      <w:pPr>
        <w:pStyle w:val="ECCParagraph"/>
        <w:numPr>
          <w:ilvl w:val="0"/>
          <w:numId w:val="25"/>
        </w:numPr>
      </w:pPr>
      <w:r w:rsidRPr="00FA117E">
        <w:t xml:space="preserve">Review of the </w:t>
      </w:r>
      <w:r w:rsidR="006B577D" w:rsidRPr="00FA117E">
        <w:rPr>
          <w:szCs w:val="20"/>
        </w:rPr>
        <w:t>Mobile/</w:t>
      </w:r>
      <w:r w:rsidR="00D166DE" w:rsidRPr="00FA117E">
        <w:rPr>
          <w:szCs w:val="20"/>
        </w:rPr>
        <w:t xml:space="preserve"> Fixed Communications Networks</w:t>
      </w:r>
      <w:r w:rsidR="00D166DE" w:rsidRPr="00FA117E">
        <w:t xml:space="preserve"> (MFCN) </w:t>
      </w:r>
      <w:r w:rsidRPr="00FA117E">
        <w:t>channelling arrangement</w:t>
      </w:r>
      <w:r w:rsidR="004665DC" w:rsidRPr="00FA117E">
        <w:t xml:space="preserve">; </w:t>
      </w:r>
    </w:p>
    <w:p w:rsidR="004665DC" w:rsidRPr="00FA117E" w:rsidRDefault="00EB426D" w:rsidP="004665DC">
      <w:pPr>
        <w:pStyle w:val="ECCParagraph"/>
        <w:numPr>
          <w:ilvl w:val="0"/>
          <w:numId w:val="25"/>
        </w:numPr>
      </w:pPr>
      <w:r w:rsidRPr="00FA117E">
        <w:t xml:space="preserve">Review of </w:t>
      </w:r>
      <w:r w:rsidR="00845B56" w:rsidRPr="00FA117E">
        <w:t xml:space="preserve">the </w:t>
      </w:r>
      <w:r w:rsidR="00986C38" w:rsidRPr="00FA117E">
        <w:t xml:space="preserve">national </w:t>
      </w:r>
      <w:r w:rsidR="004665DC" w:rsidRPr="00FA117E">
        <w:t xml:space="preserve">options </w:t>
      </w:r>
      <w:r w:rsidR="00986C38" w:rsidRPr="00FA117E">
        <w:t xml:space="preserve">for </w:t>
      </w:r>
      <w:r w:rsidR="00D166DE" w:rsidRPr="00FA117E">
        <w:t xml:space="preserve">SDL, </w:t>
      </w:r>
      <w:r w:rsidR="004665DC" w:rsidRPr="00FA117E">
        <w:t>PMSE, PPD</w:t>
      </w:r>
      <w:r w:rsidR="002653B9" w:rsidRPr="00FA117E">
        <w:t>R and</w:t>
      </w:r>
      <w:r w:rsidR="00845B56" w:rsidRPr="00FA117E">
        <w:t xml:space="preserve"> M2M</w:t>
      </w:r>
      <w:r w:rsidR="004665DC" w:rsidRPr="00FA117E">
        <w:t>;</w:t>
      </w:r>
    </w:p>
    <w:p w:rsidR="004665DC" w:rsidRPr="00FA117E" w:rsidRDefault="00EB426D" w:rsidP="004665DC">
      <w:pPr>
        <w:pStyle w:val="ECCParagraph"/>
        <w:numPr>
          <w:ilvl w:val="0"/>
          <w:numId w:val="25"/>
        </w:numPr>
      </w:pPr>
      <w:r w:rsidRPr="00FA117E">
        <w:t xml:space="preserve">Review of the </w:t>
      </w:r>
      <w:r w:rsidR="004665DC" w:rsidRPr="00FA117E">
        <w:t>L</w:t>
      </w:r>
      <w:r w:rsidR="00845B56" w:rsidRPr="00FA117E">
        <w:t xml:space="preserve">east </w:t>
      </w:r>
      <w:r w:rsidR="004665DC" w:rsidRPr="00FA117E">
        <w:t>R</w:t>
      </w:r>
      <w:r w:rsidR="00845B56" w:rsidRPr="00FA117E">
        <w:t xml:space="preserve">estrictive </w:t>
      </w:r>
      <w:r w:rsidR="004665DC" w:rsidRPr="00FA117E">
        <w:t>T</w:t>
      </w:r>
      <w:r w:rsidR="00845B56" w:rsidRPr="00FA117E">
        <w:t xml:space="preserve">echnical </w:t>
      </w:r>
      <w:r w:rsidR="004665DC" w:rsidRPr="00FA117E">
        <w:t>C</w:t>
      </w:r>
      <w:r w:rsidR="00845B56" w:rsidRPr="00FA117E">
        <w:t>onditions</w:t>
      </w:r>
      <w:r w:rsidR="004665DC" w:rsidRPr="00FA117E">
        <w:t xml:space="preserve"> (based on the BEM approach) for commercial MFCN, as well as for PPDR if used in the frequency bands identified for MFCN;</w:t>
      </w:r>
    </w:p>
    <w:p w:rsidR="004665DC" w:rsidRPr="00FA117E" w:rsidRDefault="00EB426D" w:rsidP="00EB426D">
      <w:pPr>
        <w:pStyle w:val="ECCParagraph"/>
        <w:numPr>
          <w:ilvl w:val="0"/>
          <w:numId w:val="25"/>
        </w:numPr>
      </w:pPr>
      <w:r w:rsidRPr="00FA117E">
        <w:t xml:space="preserve">Review of </w:t>
      </w:r>
      <w:r w:rsidR="00845B56" w:rsidRPr="00FA117E">
        <w:t xml:space="preserve">the </w:t>
      </w:r>
      <w:r w:rsidRPr="00FA117E">
        <w:t xml:space="preserve">technical conditions </w:t>
      </w:r>
      <w:r w:rsidR="008A19E6" w:rsidRPr="00FA117E">
        <w:t xml:space="preserve">for </w:t>
      </w:r>
      <w:r w:rsidRPr="00FA117E">
        <w:t>PMSE</w:t>
      </w:r>
      <w:r w:rsidR="008A19E6" w:rsidRPr="00FA117E">
        <w:t>.</w:t>
      </w:r>
    </w:p>
    <w:p w:rsidR="00AB46DF" w:rsidRPr="00FA117E" w:rsidRDefault="00F216A6" w:rsidP="00F216A6">
      <w:pPr>
        <w:pStyle w:val="Heading1"/>
      </w:pPr>
      <w:bookmarkStart w:id="4" w:name="_Toc422932154"/>
      <w:bookmarkStart w:id="5" w:name="_Toc422932155"/>
      <w:bookmarkStart w:id="6" w:name="_Toc422932156"/>
      <w:bookmarkStart w:id="7" w:name="_Toc422932157"/>
      <w:bookmarkStart w:id="8" w:name="_Toc422932167"/>
      <w:bookmarkStart w:id="9" w:name="_Toc422932170"/>
      <w:bookmarkStart w:id="10" w:name="_Toc441229618"/>
      <w:bookmarkStart w:id="11" w:name="_Ref274743743"/>
      <w:bookmarkEnd w:id="4"/>
      <w:bookmarkEnd w:id="5"/>
      <w:bookmarkEnd w:id="6"/>
      <w:bookmarkEnd w:id="7"/>
      <w:bookmarkEnd w:id="8"/>
      <w:bookmarkEnd w:id="9"/>
      <w:r w:rsidRPr="00FA117E">
        <w:lastRenderedPageBreak/>
        <w:t>Review of the technical conditions for MFCN</w:t>
      </w:r>
      <w:bookmarkEnd w:id="10"/>
      <w:r w:rsidRPr="00FA117E">
        <w:t xml:space="preserve"> </w:t>
      </w:r>
    </w:p>
    <w:p w:rsidR="00544B2D" w:rsidRPr="00FA117E" w:rsidRDefault="0064147E" w:rsidP="000226FB">
      <w:pPr>
        <w:pStyle w:val="ECCParagraph"/>
        <w:rPr>
          <w:bCs/>
        </w:rPr>
      </w:pPr>
      <w:r w:rsidRPr="00FA117E">
        <w:t>Further to the review of</w:t>
      </w:r>
      <w:r w:rsidR="000226FB" w:rsidRPr="00FA117E">
        <w:rPr>
          <w:bCs/>
        </w:rPr>
        <w:t xml:space="preserve"> technical conditions for MFCN</w:t>
      </w:r>
      <w:r w:rsidR="008C4E4C" w:rsidRPr="00FA117E">
        <w:rPr>
          <w:bCs/>
        </w:rPr>
        <w:t>, CEPT confirmed that they</w:t>
      </w:r>
      <w:r w:rsidR="000226FB" w:rsidRPr="00FA117E">
        <w:rPr>
          <w:bCs/>
        </w:rPr>
        <w:t xml:space="preserve"> are in the form of </w:t>
      </w:r>
    </w:p>
    <w:p w:rsidR="008C4E4C" w:rsidRPr="00FA117E" w:rsidRDefault="00733F5C" w:rsidP="0064147E">
      <w:pPr>
        <w:pStyle w:val="ECCParagraph"/>
        <w:numPr>
          <w:ilvl w:val="0"/>
          <w:numId w:val="21"/>
        </w:numPr>
      </w:pPr>
      <w:r w:rsidRPr="00FA117E">
        <w:rPr>
          <w:bCs/>
        </w:rPr>
        <w:t xml:space="preserve">a </w:t>
      </w:r>
      <w:r w:rsidR="00A55E5A" w:rsidRPr="00FA117E">
        <w:rPr>
          <w:bCs/>
        </w:rPr>
        <w:t xml:space="preserve">paired (2x30 MHz) </w:t>
      </w:r>
      <w:r w:rsidR="00842E21" w:rsidRPr="00FA117E">
        <w:t xml:space="preserve">channelling </w:t>
      </w:r>
      <w:r w:rsidRPr="00FA117E">
        <w:t xml:space="preserve">arrangement that also contains an optional element to allow administrations to implement zero or up to four block(s) of 5 MHz for SDL, </w:t>
      </w:r>
      <w:r w:rsidR="00842E21" w:rsidRPr="00FA117E">
        <w:t>and</w:t>
      </w:r>
    </w:p>
    <w:p w:rsidR="00842E21" w:rsidRPr="00FA117E" w:rsidRDefault="009D68C3" w:rsidP="0064147E">
      <w:pPr>
        <w:pStyle w:val="ECCParagraph"/>
        <w:numPr>
          <w:ilvl w:val="0"/>
          <w:numId w:val="21"/>
        </w:numPr>
      </w:pPr>
      <w:proofErr w:type="gramStart"/>
      <w:r w:rsidRPr="00FA117E">
        <w:rPr>
          <w:bCs/>
        </w:rPr>
        <w:t>common</w:t>
      </w:r>
      <w:proofErr w:type="gramEnd"/>
      <w:r w:rsidRPr="00FA117E">
        <w:rPr>
          <w:bCs/>
        </w:rPr>
        <w:t xml:space="preserve"> </w:t>
      </w:r>
      <w:r w:rsidR="00842E21" w:rsidRPr="00FA117E">
        <w:rPr>
          <w:bCs/>
        </w:rPr>
        <w:t xml:space="preserve">least restrictive technical conditions (LRTC) </w:t>
      </w:r>
      <w:r w:rsidR="002653B9" w:rsidRPr="00FA117E">
        <w:rPr>
          <w:bCs/>
        </w:rPr>
        <w:t xml:space="preserve">defined </w:t>
      </w:r>
      <w:r w:rsidR="00842E21" w:rsidRPr="00FA117E">
        <w:rPr>
          <w:bCs/>
        </w:rPr>
        <w:t xml:space="preserve">as block-edge masks (BEMs). </w:t>
      </w:r>
      <w:r w:rsidR="00842E21" w:rsidRPr="00FA117E">
        <w:t>BEMs are related to spectrum licensing and the avoidance of interference between users of spectrum.</w:t>
      </w:r>
    </w:p>
    <w:p w:rsidR="00842E21" w:rsidRPr="00FA117E" w:rsidRDefault="00842E21" w:rsidP="0064147E">
      <w:pPr>
        <w:pStyle w:val="ECCParagraph"/>
      </w:pPr>
      <w:r w:rsidRPr="00FA117E">
        <w:rPr>
          <w:rFonts w:cs="Arial"/>
          <w:b/>
          <w:color w:val="000000"/>
          <w:szCs w:val="20"/>
          <w:lang w:eastAsia="de-DE"/>
        </w:rPr>
        <w:t xml:space="preserve">MFCN channelling arrangement </w:t>
      </w:r>
    </w:p>
    <w:p w:rsidR="008C4E4C" w:rsidRPr="00FA117E" w:rsidRDefault="00842E21">
      <w:pPr>
        <w:pStyle w:val="ECCParagraph"/>
      </w:pPr>
      <w:r w:rsidRPr="00FA117E">
        <w:t>The channelling arrangement for MFCN as contained in CEPT Report 53</w:t>
      </w:r>
      <w:r w:rsidR="00E63FB1" w:rsidRPr="00FA117E">
        <w:t xml:space="preserve"> </w:t>
      </w:r>
      <w:r w:rsidR="00E63FB1" w:rsidRPr="00FA117E">
        <w:fldChar w:fldCharType="begin"/>
      </w:r>
      <w:r w:rsidR="00E63FB1" w:rsidRPr="00FA117E">
        <w:instrText xml:space="preserve"> REF _Ref420684125 \r \h </w:instrText>
      </w:r>
      <w:r w:rsidR="00532417" w:rsidRPr="00FA117E">
        <w:instrText xml:space="preserve"> \* MERGEFORMAT </w:instrText>
      </w:r>
      <w:r w:rsidR="00E63FB1" w:rsidRPr="00FA117E">
        <w:fldChar w:fldCharType="separate"/>
      </w:r>
      <w:r w:rsidR="005C651F" w:rsidRPr="00FA117E">
        <w:t>[1]</w:t>
      </w:r>
      <w:r w:rsidR="00E63FB1" w:rsidRPr="00FA117E">
        <w:fldChar w:fldCharType="end"/>
      </w:r>
      <w:r w:rsidRPr="00FA117E">
        <w:t xml:space="preserve"> was reviewed and no need to revise this arrangement was identified. The channelling arrangement for MFCN was therefore confirmed</w:t>
      </w:r>
      <w:r w:rsidR="008C4E4C" w:rsidRPr="00FA117E">
        <w:rPr>
          <w:rFonts w:cs="Arial"/>
          <w:szCs w:val="20"/>
          <w:lang w:eastAsia="ar-SA"/>
        </w:rPr>
        <w:t xml:space="preserve"> as follows:</w:t>
      </w:r>
    </w:p>
    <w:p w:rsidR="00842E21" w:rsidRPr="00FA117E" w:rsidRDefault="00842E21" w:rsidP="00842E21">
      <w:pPr>
        <w:pStyle w:val="ECCParBulleted"/>
      </w:pPr>
      <w:r w:rsidRPr="00FA117E">
        <w:t>The block sizes shall be in multiples of 5 MHz, which does not preclude smaller channel bandwidths within a block;</w:t>
      </w:r>
    </w:p>
    <w:p w:rsidR="00842E21" w:rsidRPr="00FA117E" w:rsidRDefault="00842E21" w:rsidP="00842E21">
      <w:pPr>
        <w:pStyle w:val="ECCParBulleted"/>
      </w:pPr>
      <w:r w:rsidRPr="00FA117E">
        <w:t>A paired frequency arrangement (FDD);</w:t>
      </w:r>
    </w:p>
    <w:p w:rsidR="00842E21" w:rsidRPr="00FA117E" w:rsidRDefault="00842E21" w:rsidP="00842E21">
      <w:pPr>
        <w:pStyle w:val="ListParagraph"/>
        <w:numPr>
          <w:ilvl w:val="0"/>
          <w:numId w:val="22"/>
        </w:numPr>
        <w:spacing w:after="240"/>
        <w:ind w:left="851" w:hanging="284"/>
        <w:jc w:val="both"/>
        <w:rPr>
          <w:rFonts w:cs="Arial"/>
          <w:lang w:val="en-GB"/>
        </w:rPr>
      </w:pPr>
      <w:r w:rsidRPr="00FA117E">
        <w:rPr>
          <w:rFonts w:cs="Arial"/>
          <w:lang w:val="en-GB"/>
        </w:rPr>
        <w:t>terminal station transmitter: 703-733 MHz;</w:t>
      </w:r>
    </w:p>
    <w:p w:rsidR="00842E21" w:rsidRPr="00FA117E" w:rsidRDefault="00842E21" w:rsidP="00842E21">
      <w:pPr>
        <w:pStyle w:val="ListParagraph"/>
        <w:numPr>
          <w:ilvl w:val="0"/>
          <w:numId w:val="22"/>
        </w:numPr>
        <w:spacing w:after="240"/>
        <w:ind w:left="851" w:hanging="284"/>
        <w:jc w:val="both"/>
        <w:rPr>
          <w:rFonts w:cs="Arial"/>
          <w:lang w:val="en-GB"/>
        </w:rPr>
      </w:pPr>
      <w:r w:rsidRPr="00FA117E">
        <w:rPr>
          <w:rFonts w:cs="Arial"/>
          <w:lang w:val="en-GB"/>
        </w:rPr>
        <w:t>base station transmitter: 758-788 MHz;</w:t>
      </w:r>
    </w:p>
    <w:p w:rsidR="00842E21" w:rsidRPr="00FA117E" w:rsidRDefault="00842E21" w:rsidP="00842E21">
      <w:pPr>
        <w:pStyle w:val="ECCParBulleted"/>
      </w:pPr>
      <w:r w:rsidRPr="00FA117E">
        <w:t>An unpaired frequency arrangement (SDL) on optional basis;</w:t>
      </w:r>
    </w:p>
    <w:p w:rsidR="00842E21" w:rsidRPr="00FA117E" w:rsidRDefault="00842E21" w:rsidP="00842E21">
      <w:pPr>
        <w:pStyle w:val="ListParagraph"/>
        <w:numPr>
          <w:ilvl w:val="0"/>
          <w:numId w:val="22"/>
        </w:numPr>
        <w:spacing w:after="240"/>
        <w:ind w:left="851" w:hanging="284"/>
        <w:jc w:val="both"/>
        <w:rPr>
          <w:rFonts w:cs="Arial"/>
          <w:lang w:val="en-GB"/>
        </w:rPr>
      </w:pPr>
      <w:r w:rsidRPr="00FA117E">
        <w:rPr>
          <w:rFonts w:cs="Arial"/>
          <w:lang w:val="en-GB"/>
        </w:rPr>
        <w:t xml:space="preserve">SDL using ‘zero or up to four’ of the following frequency blocks: 738-743 MHz, 743-748 MHz, 748-753 MHz and 753-758 </w:t>
      </w:r>
      <w:proofErr w:type="spellStart"/>
      <w:r w:rsidRPr="00FA117E">
        <w:rPr>
          <w:rFonts w:cs="Arial"/>
          <w:lang w:val="en-GB"/>
        </w:rPr>
        <w:t>MHz.</w:t>
      </w:r>
      <w:proofErr w:type="spellEnd"/>
      <w:r w:rsidRPr="00FA117E">
        <w:rPr>
          <w:rFonts w:cs="Arial"/>
          <w:lang w:val="en-GB"/>
        </w:rPr>
        <w:t xml:space="preserve"> The decision on the number of contiguous blocks would be taken at national level. This approach ensures flexibility for combination with other options </w:t>
      </w:r>
      <w:r w:rsidR="00804CC2" w:rsidRPr="00FA117E">
        <w:rPr>
          <w:szCs w:val="20"/>
          <w:lang w:val="en-GB"/>
        </w:rPr>
        <w:t>described hereafter</w:t>
      </w:r>
      <w:r w:rsidRPr="00FA117E">
        <w:rPr>
          <w:rFonts w:cs="Arial"/>
          <w:lang w:val="en-GB"/>
        </w:rPr>
        <w:t>.</w:t>
      </w:r>
    </w:p>
    <w:tbl>
      <w:tblPr>
        <w:tblW w:w="9773" w:type="dxa"/>
        <w:tblInd w:w="55" w:type="dxa"/>
        <w:tblLayout w:type="fixed"/>
        <w:tblCellMar>
          <w:left w:w="70" w:type="dxa"/>
          <w:right w:w="70" w:type="dxa"/>
        </w:tblCellMar>
        <w:tblLook w:val="0000" w:firstRow="0" w:lastRow="0" w:firstColumn="0" w:lastColumn="0" w:noHBand="0" w:noVBand="0"/>
      </w:tblPr>
      <w:tblGrid>
        <w:gridCol w:w="514"/>
        <w:gridCol w:w="514"/>
        <w:gridCol w:w="514"/>
        <w:gridCol w:w="514"/>
        <w:gridCol w:w="514"/>
        <w:gridCol w:w="514"/>
        <w:gridCol w:w="516"/>
        <w:gridCol w:w="514"/>
        <w:gridCol w:w="514"/>
        <w:gridCol w:w="514"/>
        <w:gridCol w:w="514"/>
        <w:gridCol w:w="515"/>
        <w:gridCol w:w="514"/>
        <w:gridCol w:w="514"/>
        <w:gridCol w:w="514"/>
        <w:gridCol w:w="514"/>
        <w:gridCol w:w="514"/>
        <w:gridCol w:w="516"/>
        <w:gridCol w:w="516"/>
      </w:tblGrid>
      <w:tr w:rsidR="008C4E4C" w:rsidRPr="00FA117E" w:rsidTr="00842E21">
        <w:trPr>
          <w:trHeight w:val="610"/>
        </w:trPr>
        <w:tc>
          <w:tcPr>
            <w:tcW w:w="514" w:type="dxa"/>
            <w:tcBorders>
              <w:top w:val="single" w:sz="4" w:space="0" w:color="auto"/>
              <w:left w:val="single" w:sz="4" w:space="0" w:color="auto"/>
              <w:bottom w:val="single" w:sz="4" w:space="0" w:color="auto"/>
              <w:right w:val="single" w:sz="4" w:space="0" w:color="auto"/>
            </w:tcBorders>
            <w:vAlign w:val="bottom"/>
          </w:tcPr>
          <w:p w:rsidR="008C4E4C" w:rsidRPr="00FA117E" w:rsidRDefault="008C4E4C" w:rsidP="008C4E4C">
            <w:pPr>
              <w:rPr>
                <w:rFonts w:ascii="Calibri" w:hAnsi="Calibri"/>
                <w:color w:val="000000"/>
                <w:sz w:val="18"/>
                <w:lang w:val="en-GB"/>
              </w:rPr>
            </w:pPr>
            <w:bookmarkStart w:id="12" w:name="_Ref387157618"/>
            <w:r w:rsidRPr="00FA117E">
              <w:rPr>
                <w:rFonts w:ascii="Calibri" w:hAnsi="Calibri"/>
                <w:color w:val="000000"/>
                <w:sz w:val="18"/>
                <w:lang w:val="en-GB"/>
              </w:rPr>
              <w:t>694-703</w:t>
            </w:r>
          </w:p>
        </w:tc>
        <w:tc>
          <w:tcPr>
            <w:tcW w:w="514" w:type="dxa"/>
            <w:tcBorders>
              <w:top w:val="single" w:sz="4" w:space="0" w:color="auto"/>
              <w:left w:val="nil"/>
              <w:bottom w:val="single" w:sz="4" w:space="0" w:color="auto"/>
              <w:right w:val="single" w:sz="4" w:space="0" w:color="auto"/>
            </w:tcBorders>
            <w:vAlign w:val="bottom"/>
          </w:tcPr>
          <w:p w:rsidR="008C4E4C" w:rsidRPr="00FA117E" w:rsidRDefault="008C4E4C" w:rsidP="008C4E4C">
            <w:pPr>
              <w:rPr>
                <w:rFonts w:ascii="Calibri" w:hAnsi="Calibri"/>
                <w:color w:val="000000"/>
                <w:sz w:val="18"/>
                <w:lang w:val="en-GB"/>
              </w:rPr>
            </w:pPr>
            <w:r w:rsidRPr="00FA117E">
              <w:rPr>
                <w:rFonts w:ascii="Calibri" w:hAnsi="Calibri"/>
                <w:color w:val="000000"/>
                <w:sz w:val="18"/>
                <w:lang w:val="en-GB"/>
              </w:rPr>
              <w:t>703-708</w:t>
            </w:r>
          </w:p>
        </w:tc>
        <w:tc>
          <w:tcPr>
            <w:tcW w:w="514" w:type="dxa"/>
            <w:tcBorders>
              <w:top w:val="single" w:sz="4" w:space="0" w:color="auto"/>
              <w:left w:val="nil"/>
              <w:bottom w:val="single" w:sz="4" w:space="0" w:color="auto"/>
              <w:right w:val="single" w:sz="4" w:space="0" w:color="auto"/>
            </w:tcBorders>
            <w:vAlign w:val="bottom"/>
          </w:tcPr>
          <w:p w:rsidR="008C4E4C" w:rsidRPr="00FA117E" w:rsidRDefault="008C4E4C" w:rsidP="008C4E4C">
            <w:pPr>
              <w:rPr>
                <w:rFonts w:ascii="Calibri" w:hAnsi="Calibri"/>
                <w:color w:val="000000"/>
                <w:sz w:val="18"/>
                <w:lang w:val="en-GB"/>
              </w:rPr>
            </w:pPr>
            <w:r w:rsidRPr="00FA117E">
              <w:rPr>
                <w:rFonts w:ascii="Calibri" w:hAnsi="Calibri"/>
                <w:color w:val="000000"/>
                <w:sz w:val="18"/>
                <w:lang w:val="en-GB"/>
              </w:rPr>
              <w:t>708-713</w:t>
            </w:r>
          </w:p>
        </w:tc>
        <w:tc>
          <w:tcPr>
            <w:tcW w:w="514" w:type="dxa"/>
            <w:tcBorders>
              <w:top w:val="single" w:sz="4" w:space="0" w:color="auto"/>
              <w:left w:val="nil"/>
              <w:bottom w:val="single" w:sz="4" w:space="0" w:color="auto"/>
              <w:right w:val="single" w:sz="4" w:space="0" w:color="auto"/>
            </w:tcBorders>
            <w:vAlign w:val="bottom"/>
          </w:tcPr>
          <w:p w:rsidR="008C4E4C" w:rsidRPr="00FA117E" w:rsidRDefault="008C4E4C" w:rsidP="008C4E4C">
            <w:pPr>
              <w:rPr>
                <w:rFonts w:ascii="Calibri" w:hAnsi="Calibri"/>
                <w:color w:val="000000"/>
                <w:sz w:val="18"/>
                <w:lang w:val="en-GB"/>
              </w:rPr>
            </w:pPr>
            <w:r w:rsidRPr="00FA117E">
              <w:rPr>
                <w:rFonts w:ascii="Calibri" w:hAnsi="Calibri"/>
                <w:color w:val="000000"/>
                <w:sz w:val="18"/>
                <w:lang w:val="en-GB"/>
              </w:rPr>
              <w:t>713-718</w:t>
            </w:r>
          </w:p>
        </w:tc>
        <w:tc>
          <w:tcPr>
            <w:tcW w:w="514" w:type="dxa"/>
            <w:tcBorders>
              <w:top w:val="single" w:sz="4" w:space="0" w:color="auto"/>
              <w:left w:val="nil"/>
              <w:bottom w:val="single" w:sz="4" w:space="0" w:color="auto"/>
              <w:right w:val="single" w:sz="4" w:space="0" w:color="auto"/>
            </w:tcBorders>
            <w:vAlign w:val="bottom"/>
          </w:tcPr>
          <w:p w:rsidR="008C4E4C" w:rsidRPr="00FA117E" w:rsidRDefault="008C4E4C" w:rsidP="008C4E4C">
            <w:pPr>
              <w:rPr>
                <w:rFonts w:ascii="Calibri" w:hAnsi="Calibri"/>
                <w:color w:val="000000"/>
                <w:sz w:val="18"/>
                <w:lang w:val="en-GB"/>
              </w:rPr>
            </w:pPr>
            <w:r w:rsidRPr="00FA117E">
              <w:rPr>
                <w:rFonts w:ascii="Calibri" w:hAnsi="Calibri"/>
                <w:color w:val="000000"/>
                <w:sz w:val="18"/>
                <w:lang w:val="en-GB"/>
              </w:rPr>
              <w:t>718-723</w:t>
            </w:r>
          </w:p>
        </w:tc>
        <w:tc>
          <w:tcPr>
            <w:tcW w:w="514" w:type="dxa"/>
            <w:tcBorders>
              <w:top w:val="single" w:sz="4" w:space="0" w:color="auto"/>
              <w:left w:val="nil"/>
              <w:bottom w:val="single" w:sz="4" w:space="0" w:color="auto"/>
              <w:right w:val="single" w:sz="4" w:space="0" w:color="auto"/>
            </w:tcBorders>
            <w:vAlign w:val="bottom"/>
          </w:tcPr>
          <w:p w:rsidR="008C4E4C" w:rsidRPr="00FA117E" w:rsidRDefault="008C4E4C" w:rsidP="008C4E4C">
            <w:pPr>
              <w:rPr>
                <w:rFonts w:ascii="Calibri" w:hAnsi="Calibri"/>
                <w:color w:val="000000"/>
                <w:sz w:val="18"/>
                <w:lang w:val="en-GB"/>
              </w:rPr>
            </w:pPr>
            <w:r w:rsidRPr="00FA117E">
              <w:rPr>
                <w:rFonts w:ascii="Calibri" w:hAnsi="Calibri"/>
                <w:color w:val="000000"/>
                <w:sz w:val="18"/>
                <w:lang w:val="en-GB"/>
              </w:rPr>
              <w:t>723-728</w:t>
            </w:r>
          </w:p>
        </w:tc>
        <w:tc>
          <w:tcPr>
            <w:tcW w:w="516" w:type="dxa"/>
            <w:tcBorders>
              <w:top w:val="single" w:sz="4" w:space="0" w:color="auto"/>
              <w:left w:val="nil"/>
              <w:bottom w:val="single" w:sz="4" w:space="0" w:color="auto"/>
              <w:right w:val="single" w:sz="4" w:space="0" w:color="auto"/>
            </w:tcBorders>
            <w:vAlign w:val="bottom"/>
          </w:tcPr>
          <w:p w:rsidR="008C4E4C" w:rsidRPr="00FA117E" w:rsidRDefault="008C4E4C" w:rsidP="008C4E4C">
            <w:pPr>
              <w:rPr>
                <w:rFonts w:ascii="Calibri" w:hAnsi="Calibri"/>
                <w:color w:val="000000"/>
                <w:sz w:val="18"/>
                <w:lang w:val="en-GB"/>
              </w:rPr>
            </w:pPr>
            <w:r w:rsidRPr="00FA117E">
              <w:rPr>
                <w:rFonts w:ascii="Calibri" w:hAnsi="Calibri"/>
                <w:color w:val="000000"/>
                <w:sz w:val="18"/>
                <w:lang w:val="en-GB"/>
              </w:rPr>
              <w:t>728-733</w:t>
            </w:r>
          </w:p>
        </w:tc>
        <w:tc>
          <w:tcPr>
            <w:tcW w:w="514" w:type="dxa"/>
            <w:tcBorders>
              <w:top w:val="single" w:sz="4" w:space="0" w:color="auto"/>
              <w:left w:val="nil"/>
              <w:bottom w:val="single" w:sz="4" w:space="0" w:color="auto"/>
              <w:right w:val="single" w:sz="4" w:space="0" w:color="auto"/>
            </w:tcBorders>
            <w:vAlign w:val="bottom"/>
          </w:tcPr>
          <w:p w:rsidR="008C4E4C" w:rsidRPr="00FA117E" w:rsidRDefault="008C4E4C" w:rsidP="008C4E4C">
            <w:pPr>
              <w:rPr>
                <w:rFonts w:ascii="Calibri" w:hAnsi="Calibri"/>
                <w:color w:val="000000"/>
                <w:sz w:val="18"/>
                <w:lang w:val="en-GB"/>
              </w:rPr>
            </w:pPr>
            <w:r w:rsidRPr="00FA117E">
              <w:rPr>
                <w:rFonts w:ascii="Calibri" w:hAnsi="Calibri"/>
                <w:color w:val="000000"/>
                <w:sz w:val="18"/>
                <w:lang w:val="en-GB"/>
              </w:rPr>
              <w:t>733-738</w:t>
            </w:r>
          </w:p>
        </w:tc>
        <w:tc>
          <w:tcPr>
            <w:tcW w:w="514" w:type="dxa"/>
            <w:tcBorders>
              <w:top w:val="single" w:sz="4" w:space="0" w:color="auto"/>
              <w:left w:val="nil"/>
              <w:bottom w:val="single" w:sz="4" w:space="0" w:color="auto"/>
              <w:right w:val="single" w:sz="4" w:space="0" w:color="auto"/>
            </w:tcBorders>
            <w:vAlign w:val="bottom"/>
          </w:tcPr>
          <w:p w:rsidR="008C4E4C" w:rsidRPr="00FA117E" w:rsidRDefault="008C4E4C" w:rsidP="008C4E4C">
            <w:pPr>
              <w:rPr>
                <w:rFonts w:ascii="Calibri" w:hAnsi="Calibri"/>
                <w:color w:val="000000"/>
                <w:sz w:val="18"/>
                <w:lang w:val="en-GB"/>
              </w:rPr>
            </w:pPr>
            <w:r w:rsidRPr="00FA117E">
              <w:rPr>
                <w:rFonts w:ascii="Calibri" w:hAnsi="Calibri"/>
                <w:color w:val="000000"/>
                <w:sz w:val="18"/>
                <w:lang w:val="en-GB"/>
              </w:rPr>
              <w:t>738-743</w:t>
            </w:r>
          </w:p>
        </w:tc>
        <w:tc>
          <w:tcPr>
            <w:tcW w:w="514" w:type="dxa"/>
            <w:tcBorders>
              <w:top w:val="single" w:sz="4" w:space="0" w:color="auto"/>
              <w:left w:val="nil"/>
              <w:bottom w:val="single" w:sz="4" w:space="0" w:color="auto"/>
              <w:right w:val="single" w:sz="4" w:space="0" w:color="auto"/>
            </w:tcBorders>
            <w:vAlign w:val="bottom"/>
          </w:tcPr>
          <w:p w:rsidR="008C4E4C" w:rsidRPr="00FA117E" w:rsidRDefault="008C4E4C" w:rsidP="008C4E4C">
            <w:pPr>
              <w:rPr>
                <w:rFonts w:ascii="Calibri" w:hAnsi="Calibri"/>
                <w:color w:val="000000"/>
                <w:sz w:val="18"/>
                <w:lang w:val="en-GB"/>
              </w:rPr>
            </w:pPr>
            <w:r w:rsidRPr="00FA117E">
              <w:rPr>
                <w:rFonts w:ascii="Calibri" w:hAnsi="Calibri"/>
                <w:color w:val="000000"/>
                <w:sz w:val="18"/>
                <w:lang w:val="en-GB"/>
              </w:rPr>
              <w:t>743-748</w:t>
            </w:r>
          </w:p>
        </w:tc>
        <w:tc>
          <w:tcPr>
            <w:tcW w:w="514" w:type="dxa"/>
            <w:tcBorders>
              <w:top w:val="single" w:sz="4" w:space="0" w:color="auto"/>
              <w:left w:val="nil"/>
              <w:bottom w:val="single" w:sz="4" w:space="0" w:color="auto"/>
              <w:right w:val="single" w:sz="4" w:space="0" w:color="auto"/>
            </w:tcBorders>
            <w:vAlign w:val="bottom"/>
          </w:tcPr>
          <w:p w:rsidR="008C4E4C" w:rsidRPr="00FA117E" w:rsidRDefault="008C4E4C" w:rsidP="008C4E4C">
            <w:pPr>
              <w:rPr>
                <w:rFonts w:ascii="Calibri" w:hAnsi="Calibri"/>
                <w:color w:val="000000"/>
                <w:sz w:val="18"/>
                <w:lang w:val="en-GB"/>
              </w:rPr>
            </w:pPr>
            <w:r w:rsidRPr="00FA117E">
              <w:rPr>
                <w:rFonts w:ascii="Calibri" w:hAnsi="Calibri"/>
                <w:color w:val="000000"/>
                <w:sz w:val="18"/>
                <w:lang w:val="en-GB"/>
              </w:rPr>
              <w:t>748-753</w:t>
            </w:r>
          </w:p>
        </w:tc>
        <w:tc>
          <w:tcPr>
            <w:tcW w:w="515" w:type="dxa"/>
            <w:tcBorders>
              <w:top w:val="single" w:sz="4" w:space="0" w:color="auto"/>
              <w:left w:val="nil"/>
              <w:bottom w:val="single" w:sz="4" w:space="0" w:color="auto"/>
              <w:right w:val="single" w:sz="4" w:space="0" w:color="auto"/>
            </w:tcBorders>
            <w:vAlign w:val="bottom"/>
          </w:tcPr>
          <w:p w:rsidR="008C4E4C" w:rsidRPr="00FA117E" w:rsidRDefault="008C4E4C" w:rsidP="008C4E4C">
            <w:pPr>
              <w:rPr>
                <w:rFonts w:ascii="Calibri" w:hAnsi="Calibri"/>
                <w:color w:val="000000"/>
                <w:sz w:val="18"/>
                <w:lang w:val="en-GB"/>
              </w:rPr>
            </w:pPr>
            <w:r w:rsidRPr="00FA117E">
              <w:rPr>
                <w:rFonts w:ascii="Calibri" w:hAnsi="Calibri"/>
                <w:color w:val="000000"/>
                <w:sz w:val="18"/>
                <w:lang w:val="en-GB"/>
              </w:rPr>
              <w:t>753-758</w:t>
            </w:r>
          </w:p>
        </w:tc>
        <w:tc>
          <w:tcPr>
            <w:tcW w:w="514" w:type="dxa"/>
            <w:tcBorders>
              <w:top w:val="single" w:sz="4" w:space="0" w:color="auto"/>
              <w:left w:val="nil"/>
              <w:bottom w:val="single" w:sz="4" w:space="0" w:color="auto"/>
              <w:right w:val="single" w:sz="4" w:space="0" w:color="auto"/>
            </w:tcBorders>
            <w:vAlign w:val="bottom"/>
          </w:tcPr>
          <w:p w:rsidR="008C4E4C" w:rsidRPr="00FA117E" w:rsidRDefault="008C4E4C" w:rsidP="008C4E4C">
            <w:pPr>
              <w:rPr>
                <w:rFonts w:ascii="Calibri" w:hAnsi="Calibri"/>
                <w:color w:val="000000"/>
                <w:sz w:val="18"/>
                <w:lang w:val="en-GB"/>
              </w:rPr>
            </w:pPr>
            <w:r w:rsidRPr="00FA117E">
              <w:rPr>
                <w:rFonts w:ascii="Calibri" w:hAnsi="Calibri"/>
                <w:color w:val="000000"/>
                <w:sz w:val="18"/>
                <w:lang w:val="en-GB"/>
              </w:rPr>
              <w:t>758-763</w:t>
            </w:r>
          </w:p>
        </w:tc>
        <w:tc>
          <w:tcPr>
            <w:tcW w:w="514" w:type="dxa"/>
            <w:tcBorders>
              <w:top w:val="single" w:sz="4" w:space="0" w:color="auto"/>
              <w:left w:val="nil"/>
              <w:bottom w:val="single" w:sz="4" w:space="0" w:color="auto"/>
              <w:right w:val="single" w:sz="4" w:space="0" w:color="auto"/>
            </w:tcBorders>
            <w:vAlign w:val="bottom"/>
          </w:tcPr>
          <w:p w:rsidR="008C4E4C" w:rsidRPr="00FA117E" w:rsidRDefault="008C4E4C" w:rsidP="008C4E4C">
            <w:pPr>
              <w:rPr>
                <w:rFonts w:ascii="Calibri" w:hAnsi="Calibri"/>
                <w:color w:val="000000"/>
                <w:sz w:val="18"/>
                <w:lang w:val="en-GB"/>
              </w:rPr>
            </w:pPr>
            <w:r w:rsidRPr="00FA117E">
              <w:rPr>
                <w:rFonts w:ascii="Calibri" w:hAnsi="Calibri"/>
                <w:color w:val="000000"/>
                <w:sz w:val="18"/>
                <w:lang w:val="en-GB"/>
              </w:rPr>
              <w:t>763-768</w:t>
            </w:r>
          </w:p>
        </w:tc>
        <w:tc>
          <w:tcPr>
            <w:tcW w:w="514" w:type="dxa"/>
            <w:tcBorders>
              <w:top w:val="single" w:sz="4" w:space="0" w:color="auto"/>
              <w:left w:val="nil"/>
              <w:bottom w:val="single" w:sz="4" w:space="0" w:color="auto"/>
              <w:right w:val="single" w:sz="4" w:space="0" w:color="auto"/>
            </w:tcBorders>
            <w:vAlign w:val="bottom"/>
          </w:tcPr>
          <w:p w:rsidR="008C4E4C" w:rsidRPr="00FA117E" w:rsidRDefault="008C4E4C" w:rsidP="008C4E4C">
            <w:pPr>
              <w:rPr>
                <w:rFonts w:ascii="Calibri" w:hAnsi="Calibri"/>
                <w:color w:val="000000"/>
                <w:sz w:val="18"/>
                <w:lang w:val="en-GB"/>
              </w:rPr>
            </w:pPr>
            <w:r w:rsidRPr="00FA117E">
              <w:rPr>
                <w:rFonts w:ascii="Calibri" w:hAnsi="Calibri"/>
                <w:color w:val="000000"/>
                <w:sz w:val="18"/>
                <w:lang w:val="en-GB"/>
              </w:rPr>
              <w:t>768-773</w:t>
            </w:r>
          </w:p>
        </w:tc>
        <w:tc>
          <w:tcPr>
            <w:tcW w:w="514" w:type="dxa"/>
            <w:tcBorders>
              <w:top w:val="single" w:sz="4" w:space="0" w:color="auto"/>
              <w:left w:val="nil"/>
              <w:bottom w:val="single" w:sz="4" w:space="0" w:color="auto"/>
              <w:right w:val="single" w:sz="4" w:space="0" w:color="auto"/>
            </w:tcBorders>
            <w:vAlign w:val="bottom"/>
          </w:tcPr>
          <w:p w:rsidR="008C4E4C" w:rsidRPr="00FA117E" w:rsidRDefault="008C4E4C" w:rsidP="008C4E4C">
            <w:pPr>
              <w:rPr>
                <w:rFonts w:ascii="Calibri" w:hAnsi="Calibri"/>
                <w:color w:val="000000"/>
                <w:sz w:val="18"/>
                <w:lang w:val="en-GB"/>
              </w:rPr>
            </w:pPr>
            <w:r w:rsidRPr="00FA117E">
              <w:rPr>
                <w:rFonts w:ascii="Calibri" w:hAnsi="Calibri"/>
                <w:color w:val="000000"/>
                <w:sz w:val="18"/>
                <w:lang w:val="en-GB"/>
              </w:rPr>
              <w:t>773-778</w:t>
            </w:r>
          </w:p>
        </w:tc>
        <w:tc>
          <w:tcPr>
            <w:tcW w:w="514" w:type="dxa"/>
            <w:tcBorders>
              <w:top w:val="single" w:sz="4" w:space="0" w:color="auto"/>
              <w:left w:val="nil"/>
              <w:bottom w:val="single" w:sz="4" w:space="0" w:color="auto"/>
              <w:right w:val="single" w:sz="4" w:space="0" w:color="auto"/>
            </w:tcBorders>
            <w:vAlign w:val="bottom"/>
          </w:tcPr>
          <w:p w:rsidR="008C4E4C" w:rsidRPr="00FA117E" w:rsidRDefault="008C4E4C" w:rsidP="008C4E4C">
            <w:pPr>
              <w:rPr>
                <w:rFonts w:ascii="Calibri" w:hAnsi="Calibri"/>
                <w:color w:val="000000"/>
                <w:sz w:val="18"/>
                <w:lang w:val="en-GB"/>
              </w:rPr>
            </w:pPr>
            <w:r w:rsidRPr="00FA117E">
              <w:rPr>
                <w:rFonts w:ascii="Calibri" w:hAnsi="Calibri"/>
                <w:color w:val="000000"/>
                <w:sz w:val="18"/>
                <w:lang w:val="en-GB"/>
              </w:rPr>
              <w:t>778-783</w:t>
            </w:r>
          </w:p>
        </w:tc>
        <w:tc>
          <w:tcPr>
            <w:tcW w:w="516" w:type="dxa"/>
            <w:tcBorders>
              <w:top w:val="single" w:sz="4" w:space="0" w:color="auto"/>
              <w:left w:val="nil"/>
              <w:bottom w:val="single" w:sz="4" w:space="0" w:color="auto"/>
              <w:right w:val="single" w:sz="4" w:space="0" w:color="auto"/>
            </w:tcBorders>
            <w:vAlign w:val="bottom"/>
          </w:tcPr>
          <w:p w:rsidR="008C4E4C" w:rsidRPr="00FA117E" w:rsidRDefault="008C4E4C" w:rsidP="008C4E4C">
            <w:pPr>
              <w:rPr>
                <w:rFonts w:ascii="Calibri" w:hAnsi="Calibri"/>
                <w:color w:val="000000"/>
                <w:sz w:val="18"/>
                <w:lang w:val="en-GB"/>
              </w:rPr>
            </w:pPr>
            <w:r w:rsidRPr="00FA117E">
              <w:rPr>
                <w:rFonts w:ascii="Calibri" w:hAnsi="Calibri"/>
                <w:color w:val="000000"/>
                <w:sz w:val="18"/>
                <w:lang w:val="en-GB"/>
              </w:rPr>
              <w:t>783-788</w:t>
            </w:r>
          </w:p>
        </w:tc>
        <w:tc>
          <w:tcPr>
            <w:tcW w:w="516" w:type="dxa"/>
            <w:tcBorders>
              <w:top w:val="single" w:sz="4" w:space="0" w:color="auto"/>
              <w:left w:val="nil"/>
              <w:bottom w:val="single" w:sz="4" w:space="0" w:color="auto"/>
              <w:right w:val="single" w:sz="4" w:space="0" w:color="auto"/>
            </w:tcBorders>
          </w:tcPr>
          <w:p w:rsidR="008C4E4C" w:rsidRPr="00FA117E" w:rsidRDefault="008C4E4C" w:rsidP="008C4E4C">
            <w:pPr>
              <w:rPr>
                <w:rFonts w:ascii="Calibri" w:hAnsi="Calibri"/>
                <w:color w:val="000000"/>
                <w:sz w:val="18"/>
                <w:lang w:val="en-GB"/>
              </w:rPr>
            </w:pPr>
          </w:p>
          <w:p w:rsidR="008C4E4C" w:rsidRPr="00FA117E" w:rsidRDefault="008C4E4C" w:rsidP="008C4E4C">
            <w:pPr>
              <w:rPr>
                <w:rFonts w:ascii="Calibri" w:hAnsi="Calibri"/>
                <w:color w:val="000000"/>
                <w:sz w:val="18"/>
                <w:lang w:val="en-GB"/>
              </w:rPr>
            </w:pPr>
            <w:r w:rsidRPr="00FA117E">
              <w:rPr>
                <w:rFonts w:ascii="Calibri" w:hAnsi="Calibri"/>
                <w:color w:val="000000"/>
                <w:sz w:val="18"/>
                <w:lang w:val="en-GB"/>
              </w:rPr>
              <w:t>788-791</w:t>
            </w:r>
          </w:p>
        </w:tc>
      </w:tr>
      <w:tr w:rsidR="008C4E4C" w:rsidRPr="00FA117E" w:rsidTr="00842E21">
        <w:trPr>
          <w:trHeight w:val="724"/>
        </w:trPr>
        <w:tc>
          <w:tcPr>
            <w:tcW w:w="514" w:type="dxa"/>
            <w:tcBorders>
              <w:top w:val="nil"/>
              <w:left w:val="single" w:sz="4" w:space="0" w:color="auto"/>
              <w:bottom w:val="single" w:sz="4" w:space="0" w:color="auto"/>
              <w:right w:val="single" w:sz="4" w:space="0" w:color="auto"/>
            </w:tcBorders>
            <w:shd w:val="clear" w:color="auto" w:fill="FFFF00"/>
            <w:vAlign w:val="center"/>
          </w:tcPr>
          <w:p w:rsidR="008C4E4C" w:rsidRPr="00FA117E" w:rsidRDefault="008C4E4C" w:rsidP="008C4E4C">
            <w:pPr>
              <w:jc w:val="center"/>
              <w:rPr>
                <w:rFonts w:ascii="Calibri" w:hAnsi="Calibri"/>
                <w:color w:val="000000"/>
                <w:sz w:val="14"/>
                <w:lang w:val="en-GB"/>
              </w:rPr>
            </w:pPr>
            <w:r w:rsidRPr="00FA117E">
              <w:rPr>
                <w:rFonts w:ascii="Calibri" w:hAnsi="Calibri"/>
                <w:color w:val="000000"/>
                <w:sz w:val="14"/>
                <w:lang w:val="en-GB"/>
              </w:rPr>
              <w:t xml:space="preserve">Guard band </w:t>
            </w:r>
          </w:p>
          <w:p w:rsidR="008C4E4C" w:rsidRPr="00FA117E" w:rsidRDefault="008C4E4C" w:rsidP="008C4E4C">
            <w:pPr>
              <w:jc w:val="center"/>
              <w:rPr>
                <w:rFonts w:ascii="Calibri" w:hAnsi="Calibri"/>
                <w:color w:val="000000"/>
                <w:sz w:val="14"/>
                <w:lang w:val="en-GB"/>
              </w:rPr>
            </w:pPr>
          </w:p>
        </w:tc>
        <w:tc>
          <w:tcPr>
            <w:tcW w:w="3086" w:type="dxa"/>
            <w:gridSpan w:val="6"/>
            <w:tcBorders>
              <w:top w:val="single" w:sz="4" w:space="0" w:color="auto"/>
              <w:left w:val="nil"/>
              <w:bottom w:val="single" w:sz="4" w:space="0" w:color="auto"/>
              <w:right w:val="single" w:sz="4" w:space="0" w:color="auto"/>
            </w:tcBorders>
            <w:shd w:val="clear" w:color="auto" w:fill="00B0F0"/>
            <w:noWrap/>
            <w:vAlign w:val="center"/>
          </w:tcPr>
          <w:p w:rsidR="008C4E4C" w:rsidRPr="00FA117E" w:rsidRDefault="008C4E4C" w:rsidP="008C4E4C">
            <w:pPr>
              <w:jc w:val="center"/>
              <w:rPr>
                <w:rFonts w:ascii="Calibri" w:hAnsi="Calibri"/>
                <w:color w:val="000000"/>
                <w:lang w:val="en-GB"/>
              </w:rPr>
            </w:pPr>
            <w:r w:rsidRPr="00FA117E">
              <w:rPr>
                <w:rFonts w:ascii="Calibri" w:hAnsi="Calibri"/>
                <w:color w:val="000000"/>
                <w:lang w:val="en-GB"/>
              </w:rPr>
              <w:t>Uplink</w:t>
            </w:r>
          </w:p>
          <w:p w:rsidR="008C4E4C" w:rsidRPr="00FA117E" w:rsidRDefault="008C4E4C" w:rsidP="008C4E4C">
            <w:pPr>
              <w:rPr>
                <w:rFonts w:ascii="Calibri" w:hAnsi="Calibri"/>
                <w:color w:val="000000"/>
                <w:lang w:val="en-GB"/>
              </w:rPr>
            </w:pPr>
          </w:p>
        </w:tc>
        <w:tc>
          <w:tcPr>
            <w:tcW w:w="514" w:type="dxa"/>
            <w:tcBorders>
              <w:top w:val="nil"/>
              <w:left w:val="nil"/>
              <w:bottom w:val="single" w:sz="4" w:space="0" w:color="auto"/>
              <w:right w:val="single" w:sz="4" w:space="0" w:color="auto"/>
            </w:tcBorders>
            <w:shd w:val="clear" w:color="auto" w:fill="008000"/>
            <w:vAlign w:val="center"/>
          </w:tcPr>
          <w:p w:rsidR="008C4E4C" w:rsidRPr="00FA117E" w:rsidRDefault="008C4E4C" w:rsidP="008C4E4C">
            <w:pPr>
              <w:jc w:val="center"/>
              <w:rPr>
                <w:rFonts w:ascii="Calibri" w:hAnsi="Calibri"/>
                <w:color w:val="000000"/>
                <w:lang w:val="en-GB"/>
              </w:rPr>
            </w:pPr>
            <w:r w:rsidRPr="00FA117E">
              <w:rPr>
                <w:rFonts w:ascii="Calibri" w:hAnsi="Calibri"/>
                <w:color w:val="000000"/>
                <w:lang w:val="en-GB"/>
              </w:rPr>
              <w:t>Gap</w:t>
            </w:r>
          </w:p>
        </w:tc>
        <w:tc>
          <w:tcPr>
            <w:tcW w:w="2057" w:type="dxa"/>
            <w:gridSpan w:val="4"/>
            <w:tcBorders>
              <w:top w:val="single" w:sz="4" w:space="0" w:color="auto"/>
              <w:left w:val="nil"/>
              <w:bottom w:val="single" w:sz="4" w:space="0" w:color="auto"/>
              <w:right w:val="single" w:sz="4" w:space="0" w:color="auto"/>
            </w:tcBorders>
            <w:shd w:val="clear" w:color="auto" w:fill="0066CC"/>
            <w:noWrap/>
            <w:vAlign w:val="center"/>
          </w:tcPr>
          <w:p w:rsidR="008C4E4C" w:rsidRPr="00FA117E" w:rsidRDefault="008C4E4C" w:rsidP="008C4E4C">
            <w:pPr>
              <w:jc w:val="center"/>
              <w:rPr>
                <w:rFonts w:ascii="Calibri" w:hAnsi="Calibri"/>
                <w:color w:val="000000"/>
                <w:lang w:val="en-GB"/>
              </w:rPr>
            </w:pPr>
            <w:r w:rsidRPr="00FA117E">
              <w:rPr>
                <w:rFonts w:ascii="Calibri" w:hAnsi="Calibri"/>
                <w:color w:val="000000"/>
                <w:lang w:val="en-GB"/>
              </w:rPr>
              <w:t>SDL</w:t>
            </w:r>
          </w:p>
          <w:p w:rsidR="008C4E4C" w:rsidRPr="00FA117E" w:rsidRDefault="008C4E4C" w:rsidP="008C4E4C">
            <w:pPr>
              <w:jc w:val="center"/>
              <w:rPr>
                <w:rFonts w:ascii="Calibri" w:hAnsi="Calibri"/>
                <w:color w:val="000000"/>
                <w:lang w:val="en-GB"/>
              </w:rPr>
            </w:pPr>
            <w:r w:rsidRPr="00FA117E">
              <w:rPr>
                <w:rFonts w:ascii="Calibri" w:hAnsi="Calibri"/>
                <w:color w:val="000000"/>
                <w:lang w:val="en-GB"/>
              </w:rPr>
              <w:t>(A)</w:t>
            </w:r>
          </w:p>
        </w:tc>
        <w:tc>
          <w:tcPr>
            <w:tcW w:w="3086" w:type="dxa"/>
            <w:gridSpan w:val="6"/>
            <w:tcBorders>
              <w:top w:val="single" w:sz="4" w:space="0" w:color="auto"/>
              <w:left w:val="nil"/>
              <w:bottom w:val="single" w:sz="4" w:space="0" w:color="auto"/>
              <w:right w:val="single" w:sz="4" w:space="0" w:color="auto"/>
            </w:tcBorders>
            <w:shd w:val="clear" w:color="auto" w:fill="00CCFF"/>
            <w:noWrap/>
            <w:vAlign w:val="center"/>
          </w:tcPr>
          <w:p w:rsidR="008C4E4C" w:rsidRPr="00FA117E" w:rsidRDefault="008C4E4C" w:rsidP="008C4E4C">
            <w:pPr>
              <w:jc w:val="center"/>
              <w:rPr>
                <w:rFonts w:ascii="Calibri" w:hAnsi="Calibri"/>
                <w:color w:val="000000"/>
                <w:lang w:val="en-GB"/>
              </w:rPr>
            </w:pPr>
            <w:r w:rsidRPr="00FA117E">
              <w:rPr>
                <w:rFonts w:ascii="Calibri" w:hAnsi="Calibri"/>
                <w:color w:val="000000"/>
                <w:lang w:val="en-GB"/>
              </w:rPr>
              <w:t>Downlink</w:t>
            </w:r>
          </w:p>
          <w:p w:rsidR="008C4E4C" w:rsidRPr="00FA117E" w:rsidRDefault="008C4E4C" w:rsidP="008C4E4C">
            <w:pPr>
              <w:jc w:val="center"/>
              <w:rPr>
                <w:rFonts w:ascii="Calibri" w:hAnsi="Calibri"/>
                <w:color w:val="000000"/>
                <w:lang w:val="en-GB"/>
              </w:rPr>
            </w:pPr>
          </w:p>
        </w:tc>
        <w:tc>
          <w:tcPr>
            <w:tcW w:w="516" w:type="dxa"/>
            <w:tcBorders>
              <w:top w:val="single" w:sz="4" w:space="0" w:color="auto"/>
              <w:left w:val="nil"/>
              <w:bottom w:val="single" w:sz="4" w:space="0" w:color="auto"/>
              <w:right w:val="single" w:sz="4" w:space="0" w:color="auto"/>
            </w:tcBorders>
            <w:shd w:val="clear" w:color="auto" w:fill="FFFF00"/>
          </w:tcPr>
          <w:p w:rsidR="008C4E4C" w:rsidRPr="00FA117E" w:rsidRDefault="008C4E4C" w:rsidP="008C4E4C">
            <w:pPr>
              <w:jc w:val="center"/>
              <w:rPr>
                <w:rFonts w:ascii="Calibri" w:hAnsi="Calibri"/>
                <w:color w:val="000000"/>
                <w:sz w:val="14"/>
                <w:lang w:val="en-GB"/>
              </w:rPr>
            </w:pPr>
          </w:p>
          <w:p w:rsidR="008C4E4C" w:rsidRPr="00FA117E" w:rsidRDefault="008C4E4C" w:rsidP="008C4E4C">
            <w:pPr>
              <w:jc w:val="center"/>
              <w:rPr>
                <w:rFonts w:ascii="Calibri" w:hAnsi="Calibri"/>
                <w:color w:val="000000"/>
                <w:sz w:val="14"/>
                <w:lang w:val="en-GB"/>
              </w:rPr>
            </w:pPr>
            <w:r w:rsidRPr="00FA117E">
              <w:rPr>
                <w:rFonts w:ascii="Calibri" w:hAnsi="Calibri"/>
                <w:color w:val="000000"/>
                <w:sz w:val="14"/>
                <w:lang w:val="en-GB"/>
              </w:rPr>
              <w:t>Guard band</w:t>
            </w:r>
          </w:p>
          <w:p w:rsidR="008C4E4C" w:rsidRPr="00FA117E" w:rsidRDefault="008C4E4C" w:rsidP="008C4E4C">
            <w:pPr>
              <w:jc w:val="center"/>
              <w:rPr>
                <w:rFonts w:ascii="Calibri" w:hAnsi="Calibri"/>
                <w:color w:val="000000"/>
                <w:lang w:val="en-GB"/>
              </w:rPr>
            </w:pPr>
          </w:p>
        </w:tc>
      </w:tr>
      <w:tr w:rsidR="008C4E4C" w:rsidRPr="00FA117E" w:rsidTr="00842E21">
        <w:trPr>
          <w:trHeight w:val="381"/>
        </w:trPr>
        <w:tc>
          <w:tcPr>
            <w:tcW w:w="514" w:type="dxa"/>
            <w:tcBorders>
              <w:top w:val="nil"/>
              <w:left w:val="single" w:sz="4" w:space="0" w:color="auto"/>
              <w:bottom w:val="single" w:sz="4" w:space="0" w:color="auto"/>
              <w:right w:val="single" w:sz="4" w:space="0" w:color="auto"/>
            </w:tcBorders>
            <w:noWrap/>
            <w:tcMar>
              <w:left w:w="0" w:type="dxa"/>
              <w:right w:w="0" w:type="dxa"/>
            </w:tcMar>
            <w:vAlign w:val="bottom"/>
          </w:tcPr>
          <w:p w:rsidR="008C4E4C" w:rsidRPr="00FA117E" w:rsidRDefault="008C4E4C" w:rsidP="008C4E4C">
            <w:pPr>
              <w:jc w:val="center"/>
              <w:rPr>
                <w:rFonts w:ascii="Calibri" w:hAnsi="Calibri"/>
                <w:color w:val="000000"/>
                <w:lang w:val="en-GB"/>
              </w:rPr>
            </w:pPr>
            <w:r w:rsidRPr="00FA117E">
              <w:rPr>
                <w:rFonts w:ascii="Calibri" w:hAnsi="Calibri"/>
                <w:color w:val="000000"/>
                <w:lang w:val="en-GB"/>
              </w:rPr>
              <w:t>9 MHz</w:t>
            </w:r>
          </w:p>
        </w:tc>
        <w:tc>
          <w:tcPr>
            <w:tcW w:w="3086" w:type="dxa"/>
            <w:gridSpan w:val="6"/>
            <w:tcBorders>
              <w:top w:val="single" w:sz="4" w:space="0" w:color="auto"/>
              <w:left w:val="nil"/>
              <w:bottom w:val="single" w:sz="4" w:space="0" w:color="auto"/>
              <w:right w:val="single" w:sz="4" w:space="0" w:color="auto"/>
            </w:tcBorders>
            <w:noWrap/>
            <w:tcMar>
              <w:left w:w="0" w:type="dxa"/>
              <w:right w:w="0" w:type="dxa"/>
            </w:tcMar>
            <w:vAlign w:val="bottom"/>
          </w:tcPr>
          <w:p w:rsidR="008C4E4C" w:rsidRPr="00FA117E" w:rsidRDefault="008C4E4C" w:rsidP="008C4E4C">
            <w:pPr>
              <w:jc w:val="center"/>
              <w:rPr>
                <w:rFonts w:ascii="Calibri" w:hAnsi="Calibri"/>
                <w:color w:val="000000"/>
                <w:lang w:val="en-GB"/>
              </w:rPr>
            </w:pPr>
            <w:r w:rsidRPr="00FA117E">
              <w:rPr>
                <w:rFonts w:ascii="Calibri" w:hAnsi="Calibri"/>
                <w:color w:val="000000"/>
                <w:lang w:val="en-GB"/>
              </w:rPr>
              <w:t xml:space="preserve">30 MHz </w:t>
            </w:r>
            <w:r w:rsidR="00484421" w:rsidRPr="00FA117E">
              <w:rPr>
                <w:rFonts w:ascii="Calibri" w:hAnsi="Calibri"/>
                <w:color w:val="000000"/>
                <w:lang w:val="en-GB"/>
              </w:rPr>
              <w:br/>
            </w:r>
            <w:r w:rsidRPr="00FA117E">
              <w:rPr>
                <w:rFonts w:ascii="Calibri" w:hAnsi="Calibri"/>
                <w:color w:val="000000"/>
                <w:lang w:val="en-GB"/>
              </w:rPr>
              <w:t>(6 blocks of 5 MHz)</w:t>
            </w:r>
          </w:p>
        </w:tc>
        <w:tc>
          <w:tcPr>
            <w:tcW w:w="514" w:type="dxa"/>
            <w:tcBorders>
              <w:top w:val="nil"/>
              <w:left w:val="nil"/>
              <w:bottom w:val="single" w:sz="4" w:space="0" w:color="auto"/>
              <w:right w:val="single" w:sz="4" w:space="0" w:color="auto"/>
            </w:tcBorders>
            <w:noWrap/>
            <w:tcMar>
              <w:left w:w="0" w:type="dxa"/>
              <w:right w:w="0" w:type="dxa"/>
            </w:tcMar>
            <w:vAlign w:val="bottom"/>
          </w:tcPr>
          <w:p w:rsidR="008C4E4C" w:rsidRPr="00FA117E" w:rsidRDefault="008C4E4C" w:rsidP="008C4E4C">
            <w:pPr>
              <w:jc w:val="center"/>
              <w:rPr>
                <w:rFonts w:ascii="Calibri" w:hAnsi="Calibri"/>
                <w:color w:val="000000"/>
                <w:lang w:val="en-GB"/>
              </w:rPr>
            </w:pPr>
            <w:r w:rsidRPr="00FA117E">
              <w:rPr>
                <w:rFonts w:ascii="Calibri" w:hAnsi="Calibri"/>
                <w:color w:val="000000"/>
                <w:lang w:val="en-GB"/>
              </w:rPr>
              <w:t>5 MHz</w:t>
            </w:r>
          </w:p>
        </w:tc>
        <w:tc>
          <w:tcPr>
            <w:tcW w:w="2057" w:type="dxa"/>
            <w:gridSpan w:val="4"/>
            <w:tcBorders>
              <w:top w:val="single" w:sz="4" w:space="0" w:color="auto"/>
              <w:left w:val="nil"/>
              <w:bottom w:val="single" w:sz="4" w:space="0" w:color="auto"/>
              <w:right w:val="single" w:sz="4" w:space="0" w:color="auto"/>
            </w:tcBorders>
            <w:noWrap/>
            <w:tcMar>
              <w:left w:w="0" w:type="dxa"/>
              <w:right w:w="0" w:type="dxa"/>
            </w:tcMar>
            <w:vAlign w:val="bottom"/>
          </w:tcPr>
          <w:p w:rsidR="008C4E4C" w:rsidRPr="00FA117E" w:rsidRDefault="008C4E4C" w:rsidP="008C4E4C">
            <w:pPr>
              <w:jc w:val="center"/>
              <w:rPr>
                <w:rFonts w:ascii="Calibri" w:hAnsi="Calibri"/>
                <w:color w:val="000000"/>
                <w:lang w:val="en-GB"/>
              </w:rPr>
            </w:pPr>
            <w:r w:rsidRPr="00FA117E">
              <w:rPr>
                <w:rFonts w:ascii="Calibri" w:hAnsi="Calibri"/>
                <w:color w:val="000000"/>
                <w:lang w:val="en-GB"/>
              </w:rPr>
              <w:t xml:space="preserve">20 MHz (zero up to </w:t>
            </w:r>
            <w:r w:rsidR="00AB6022" w:rsidRPr="00FA117E">
              <w:rPr>
                <w:rFonts w:ascii="Calibri" w:hAnsi="Calibri"/>
                <w:color w:val="000000"/>
                <w:lang w:val="en-GB"/>
              </w:rPr>
              <w:br/>
            </w:r>
            <w:r w:rsidRPr="00FA117E">
              <w:rPr>
                <w:rFonts w:ascii="Calibri" w:hAnsi="Calibri"/>
                <w:color w:val="000000"/>
                <w:lang w:val="en-GB"/>
              </w:rPr>
              <w:t>4 blocks of 5 MHz)</w:t>
            </w:r>
          </w:p>
        </w:tc>
        <w:tc>
          <w:tcPr>
            <w:tcW w:w="3086" w:type="dxa"/>
            <w:gridSpan w:val="6"/>
            <w:tcBorders>
              <w:top w:val="single" w:sz="4" w:space="0" w:color="auto"/>
              <w:left w:val="nil"/>
              <w:bottom w:val="single" w:sz="4" w:space="0" w:color="auto"/>
              <w:right w:val="single" w:sz="4" w:space="0" w:color="auto"/>
            </w:tcBorders>
            <w:noWrap/>
            <w:tcMar>
              <w:left w:w="0" w:type="dxa"/>
              <w:right w:w="0" w:type="dxa"/>
            </w:tcMar>
            <w:vAlign w:val="bottom"/>
          </w:tcPr>
          <w:p w:rsidR="008C4E4C" w:rsidRPr="00FA117E" w:rsidRDefault="008C4E4C" w:rsidP="008C4E4C">
            <w:pPr>
              <w:jc w:val="center"/>
              <w:rPr>
                <w:rFonts w:ascii="Calibri" w:hAnsi="Calibri"/>
                <w:color w:val="000000"/>
                <w:lang w:val="en-GB"/>
              </w:rPr>
            </w:pPr>
            <w:r w:rsidRPr="00FA117E">
              <w:rPr>
                <w:rFonts w:ascii="Calibri" w:hAnsi="Calibri"/>
                <w:color w:val="000000"/>
                <w:lang w:val="en-GB"/>
              </w:rPr>
              <w:t xml:space="preserve">30 MHz </w:t>
            </w:r>
            <w:r w:rsidR="00484421" w:rsidRPr="00FA117E">
              <w:rPr>
                <w:rFonts w:ascii="Calibri" w:hAnsi="Calibri"/>
                <w:color w:val="000000"/>
                <w:lang w:val="en-GB"/>
              </w:rPr>
              <w:br/>
            </w:r>
            <w:r w:rsidRPr="00FA117E">
              <w:rPr>
                <w:rFonts w:ascii="Calibri" w:hAnsi="Calibri"/>
                <w:color w:val="000000"/>
                <w:lang w:val="en-GB"/>
              </w:rPr>
              <w:t>(6 blocks of 5 MHz)</w:t>
            </w:r>
          </w:p>
        </w:tc>
        <w:tc>
          <w:tcPr>
            <w:tcW w:w="516" w:type="dxa"/>
            <w:tcBorders>
              <w:top w:val="single" w:sz="4" w:space="0" w:color="auto"/>
              <w:left w:val="nil"/>
              <w:bottom w:val="single" w:sz="4" w:space="0" w:color="auto"/>
              <w:right w:val="single" w:sz="4" w:space="0" w:color="auto"/>
            </w:tcBorders>
          </w:tcPr>
          <w:p w:rsidR="008C4E4C" w:rsidRPr="00FA117E" w:rsidRDefault="008C4E4C" w:rsidP="008C4E4C">
            <w:pPr>
              <w:jc w:val="center"/>
              <w:rPr>
                <w:rFonts w:ascii="Calibri" w:hAnsi="Calibri"/>
                <w:color w:val="000000"/>
                <w:lang w:val="en-GB"/>
              </w:rPr>
            </w:pPr>
            <w:r w:rsidRPr="00FA117E">
              <w:rPr>
                <w:rFonts w:ascii="Calibri" w:hAnsi="Calibri"/>
                <w:color w:val="000000"/>
                <w:lang w:val="en-GB"/>
              </w:rPr>
              <w:t>3 MHz</w:t>
            </w:r>
          </w:p>
        </w:tc>
      </w:tr>
    </w:tbl>
    <w:p w:rsidR="008C4E4C" w:rsidRPr="00FA117E" w:rsidRDefault="008C4E4C" w:rsidP="008C4E4C">
      <w:pPr>
        <w:ind w:left="720"/>
        <w:rPr>
          <w:sz w:val="16"/>
          <w:lang w:val="en-GB"/>
        </w:rPr>
      </w:pPr>
    </w:p>
    <w:p w:rsidR="008C4E4C" w:rsidRPr="00FA117E" w:rsidRDefault="008C4E4C" w:rsidP="008C4E4C">
      <w:pPr>
        <w:numPr>
          <w:ilvl w:val="0"/>
          <w:numId w:val="23"/>
        </w:numPr>
        <w:rPr>
          <w:sz w:val="16"/>
          <w:szCs w:val="16"/>
          <w:lang w:val="en-GB"/>
        </w:rPr>
      </w:pPr>
      <w:r w:rsidRPr="00FA117E">
        <w:rPr>
          <w:sz w:val="16"/>
          <w:szCs w:val="16"/>
          <w:lang w:val="en-GB"/>
        </w:rPr>
        <w:t>SDL Option: “The zero or up to 4 blocks of 5 MHz approach” provides flexibility for combination with other options being considered in CEPT</w:t>
      </w:r>
      <w:bookmarkEnd w:id="12"/>
    </w:p>
    <w:p w:rsidR="00BC3F60" w:rsidRPr="00FA117E" w:rsidRDefault="00BC3F60" w:rsidP="00BC3F60">
      <w:pPr>
        <w:rPr>
          <w:sz w:val="16"/>
          <w:szCs w:val="16"/>
          <w:lang w:val="en-GB"/>
        </w:rPr>
      </w:pPr>
    </w:p>
    <w:p w:rsidR="00D166DE" w:rsidRPr="00FA117E" w:rsidRDefault="00D166DE" w:rsidP="00D166DE">
      <w:pPr>
        <w:pStyle w:val="ECCParagraph"/>
      </w:pPr>
      <w:r w:rsidRPr="00FA117E">
        <w:t>As alternative</w:t>
      </w:r>
      <w:r w:rsidR="00986C38" w:rsidRPr="00FA117E">
        <w:t>s</w:t>
      </w:r>
      <w:r w:rsidRPr="00FA117E">
        <w:t xml:space="preserve"> to the optional unpaired frequency arrangement (SDL), administrations could choose other options such as Programme Making and Special Events (PMSE), Public Protection and Disaster Relief (PPDR), Machine to Machine (M2M) or combinations thereof that could respond to demands by using all or part of the duplex gap of the paired band plan (733-758 MHz) and, if appropriate, the guard bands.</w:t>
      </w:r>
    </w:p>
    <w:p w:rsidR="002653B9" w:rsidRPr="00FA117E" w:rsidRDefault="00D166DE" w:rsidP="008C4E4C">
      <w:pPr>
        <w:pStyle w:val="ECCParagraph"/>
      </w:pPr>
      <w:r w:rsidRPr="00FA117E">
        <w:t xml:space="preserve">These national options may result in several scenarios of cross-border coexistence between CEPT administrations. A conventional duplex approach ensures that cross-border coordination between PPDR networks and MFCN SDL systems </w:t>
      </w:r>
      <w:r w:rsidR="00932574" w:rsidRPr="00FA117E">
        <w:t>is</w:t>
      </w:r>
      <w:r w:rsidRPr="00FA117E">
        <w:t xml:space="preserve"> manageable with appropriate field-strength levels to be defined later by CEPT</w:t>
      </w:r>
      <w:r w:rsidR="00F52957" w:rsidRPr="00FA117E">
        <w:t xml:space="preserve"> in relevant ECC</w:t>
      </w:r>
      <w:r w:rsidR="00BC3F60" w:rsidRPr="00FA117E">
        <w:t xml:space="preserve"> </w:t>
      </w:r>
      <w:r w:rsidR="00F52957" w:rsidRPr="00FA117E">
        <w:t>Recommendations for cross-border coordination</w:t>
      </w:r>
      <w:r w:rsidRPr="00FA117E">
        <w:t xml:space="preserve">. </w:t>
      </w:r>
      <w:r w:rsidR="00F52957" w:rsidRPr="00FA117E">
        <w:t>B</w:t>
      </w:r>
      <w:r w:rsidRPr="00FA117E">
        <w:t>ilateral cross-border coordination agreements signed by national administrations in that regard will not impact those technical conditions as described below.</w:t>
      </w:r>
    </w:p>
    <w:p w:rsidR="00DF43C7" w:rsidRPr="00FA117E" w:rsidRDefault="00DF43C7" w:rsidP="008C4E4C">
      <w:pPr>
        <w:pStyle w:val="ECCParagraph"/>
      </w:pPr>
      <w:r w:rsidRPr="00FA117E">
        <w:t xml:space="preserve">The cross-border coordination issues between MFCN and other services in the band 694-790 MHz were addressed by WRC-15 and are covered in Resolution 760 (WRC-15) </w:t>
      </w:r>
      <w:r w:rsidR="00BC3F60" w:rsidRPr="00FA117E">
        <w:t>“</w:t>
      </w:r>
      <w:r w:rsidRPr="00FA117E">
        <w:t>Provisions relating to the use of the frequency band 694-790 MHz in Region 1 by the mobile, except aeronautical mobile, service and by other services</w:t>
      </w:r>
      <w:r w:rsidR="00BC3F60" w:rsidRPr="00FA117E">
        <w:t>”</w:t>
      </w:r>
      <w:r w:rsidRPr="00FA117E">
        <w:t>.</w:t>
      </w:r>
    </w:p>
    <w:p w:rsidR="00804CC2" w:rsidRPr="00FA117E" w:rsidRDefault="00804CC2" w:rsidP="00804CC2">
      <w:pPr>
        <w:pStyle w:val="ECCParagraph"/>
        <w:rPr>
          <w:rFonts w:cs="Arial"/>
          <w:b/>
          <w:color w:val="000000"/>
          <w:szCs w:val="20"/>
          <w:lang w:eastAsia="de-DE"/>
        </w:rPr>
      </w:pPr>
      <w:r w:rsidRPr="00FA117E">
        <w:rPr>
          <w:rFonts w:cs="Arial"/>
          <w:b/>
          <w:color w:val="000000"/>
          <w:szCs w:val="20"/>
          <w:lang w:eastAsia="de-DE"/>
        </w:rPr>
        <w:lastRenderedPageBreak/>
        <w:t xml:space="preserve">Least restrictive technical conditions (LRTC) </w:t>
      </w:r>
    </w:p>
    <w:p w:rsidR="009B2012" w:rsidRPr="00FA117E" w:rsidRDefault="009B2012" w:rsidP="009B2012">
      <w:pPr>
        <w:pStyle w:val="ECCParagraph"/>
      </w:pPr>
      <w:r w:rsidRPr="00FA117E">
        <w:t xml:space="preserve">During the review process, CEPT identified the need to update the MFCN Base Station BEM including </w:t>
      </w:r>
      <w:r w:rsidRPr="00FA117E">
        <w:fldChar w:fldCharType="begin"/>
      </w:r>
      <w:r w:rsidRPr="00FA117E">
        <w:instrText xml:space="preserve"> REF _Ref433204062 \n \h </w:instrText>
      </w:r>
      <w:r w:rsidR="0049028A" w:rsidRPr="00FA117E">
        <w:instrText xml:space="preserve"> \* MERGEFORMAT </w:instrText>
      </w:r>
      <w:r w:rsidRPr="00FA117E">
        <w:fldChar w:fldCharType="separate"/>
      </w:r>
      <w:r w:rsidR="005C651F" w:rsidRPr="00FA117E">
        <w:t>Table 1:</w:t>
      </w:r>
      <w:r w:rsidRPr="00FA117E">
        <w:fldChar w:fldCharType="end"/>
      </w:r>
      <w:r w:rsidRPr="00FA117E">
        <w:t xml:space="preserve">, </w:t>
      </w:r>
      <w:r w:rsidRPr="00FA117E">
        <w:fldChar w:fldCharType="begin"/>
      </w:r>
      <w:r w:rsidRPr="00FA117E">
        <w:instrText xml:space="preserve"> REF _Ref433364138 \n \h </w:instrText>
      </w:r>
      <w:r w:rsidR="0049028A" w:rsidRPr="00FA117E">
        <w:instrText xml:space="preserve"> \* MERGEFORMAT </w:instrText>
      </w:r>
      <w:r w:rsidRPr="00FA117E">
        <w:fldChar w:fldCharType="separate"/>
      </w:r>
      <w:r w:rsidR="005C651F" w:rsidRPr="00FA117E">
        <w:t>Table 3:</w:t>
      </w:r>
      <w:r w:rsidRPr="00FA117E">
        <w:fldChar w:fldCharType="end"/>
      </w:r>
      <w:r w:rsidRPr="00FA117E">
        <w:t xml:space="preserve"> and </w:t>
      </w:r>
      <w:r w:rsidRPr="00FA117E">
        <w:fldChar w:fldCharType="begin"/>
      </w:r>
      <w:r w:rsidRPr="00FA117E">
        <w:instrText xml:space="preserve"> REF _Ref433364152 \n \h </w:instrText>
      </w:r>
      <w:r w:rsidR="0049028A" w:rsidRPr="00FA117E">
        <w:instrText xml:space="preserve"> \* MERGEFORMAT </w:instrText>
      </w:r>
      <w:r w:rsidRPr="00FA117E">
        <w:fldChar w:fldCharType="separate"/>
      </w:r>
      <w:r w:rsidR="005C651F" w:rsidRPr="00FA117E">
        <w:t>Table 5:</w:t>
      </w:r>
      <w:r w:rsidRPr="00FA117E">
        <w:fldChar w:fldCharType="end"/>
      </w:r>
      <w:r w:rsidRPr="00FA117E">
        <w:t xml:space="preserve"> and the titles of </w:t>
      </w:r>
      <w:r w:rsidRPr="00FA117E">
        <w:fldChar w:fldCharType="begin"/>
      </w:r>
      <w:r w:rsidRPr="00FA117E">
        <w:instrText xml:space="preserve"> REF _Ref433364162 \n \h </w:instrText>
      </w:r>
      <w:r w:rsidR="0049028A" w:rsidRPr="00FA117E">
        <w:instrText xml:space="preserve"> \* MERGEFORMAT </w:instrText>
      </w:r>
      <w:r w:rsidRPr="00FA117E">
        <w:fldChar w:fldCharType="separate"/>
      </w:r>
      <w:r w:rsidR="005C651F" w:rsidRPr="00FA117E">
        <w:t>Table 4:</w:t>
      </w:r>
      <w:r w:rsidRPr="00FA117E">
        <w:fldChar w:fldCharType="end"/>
      </w:r>
      <w:r w:rsidRPr="00FA117E">
        <w:t xml:space="preserve">, </w:t>
      </w:r>
      <w:r w:rsidRPr="00FA117E">
        <w:fldChar w:fldCharType="begin"/>
      </w:r>
      <w:r w:rsidRPr="00FA117E">
        <w:instrText xml:space="preserve"> REF _Ref433364170 \n \h </w:instrText>
      </w:r>
      <w:r w:rsidR="0049028A" w:rsidRPr="00FA117E">
        <w:instrText xml:space="preserve"> \* MERGEFORMAT </w:instrText>
      </w:r>
      <w:r w:rsidRPr="00FA117E">
        <w:fldChar w:fldCharType="separate"/>
      </w:r>
      <w:r w:rsidR="005C651F" w:rsidRPr="00FA117E">
        <w:t>Table 6:</w:t>
      </w:r>
      <w:r w:rsidRPr="00FA117E">
        <w:fldChar w:fldCharType="end"/>
      </w:r>
      <w:r w:rsidRPr="00FA117E">
        <w:t xml:space="preserve">, </w:t>
      </w:r>
      <w:r w:rsidRPr="00FA117E">
        <w:fldChar w:fldCharType="begin"/>
      </w:r>
      <w:r w:rsidRPr="00FA117E">
        <w:instrText xml:space="preserve"> REF _Ref433364191 \n \h </w:instrText>
      </w:r>
      <w:r w:rsidR="0049028A" w:rsidRPr="00FA117E">
        <w:instrText xml:space="preserve"> \* MERGEFORMAT </w:instrText>
      </w:r>
      <w:r w:rsidRPr="00FA117E">
        <w:fldChar w:fldCharType="separate"/>
      </w:r>
      <w:r w:rsidR="005C651F" w:rsidRPr="00FA117E">
        <w:t>Table 7:</w:t>
      </w:r>
      <w:r w:rsidRPr="00FA117E">
        <w:fldChar w:fldCharType="end"/>
      </w:r>
      <w:r w:rsidRPr="00FA117E">
        <w:t xml:space="preserve">, </w:t>
      </w:r>
      <w:r w:rsidRPr="00FA117E">
        <w:fldChar w:fldCharType="begin"/>
      </w:r>
      <w:r w:rsidRPr="00FA117E">
        <w:instrText xml:space="preserve"> REF _Ref433204074 \n \h </w:instrText>
      </w:r>
      <w:r w:rsidR="0049028A" w:rsidRPr="00FA117E">
        <w:instrText xml:space="preserve"> \* MERGEFORMAT </w:instrText>
      </w:r>
      <w:r w:rsidRPr="00FA117E">
        <w:fldChar w:fldCharType="separate"/>
      </w:r>
      <w:r w:rsidR="005C651F" w:rsidRPr="00FA117E">
        <w:t>Table 8:</w:t>
      </w:r>
      <w:r w:rsidRPr="00FA117E">
        <w:fldChar w:fldCharType="end"/>
      </w:r>
      <w:r w:rsidRPr="00FA117E">
        <w:t xml:space="preserve"> and relevant similar tables included in the CEPT Report 53 </w:t>
      </w:r>
      <w:r w:rsidRPr="00FA117E">
        <w:fldChar w:fldCharType="begin"/>
      </w:r>
      <w:r w:rsidRPr="00FA117E">
        <w:instrText xml:space="preserve"> REF _Ref420684125 \n \h </w:instrText>
      </w:r>
      <w:r w:rsidR="0049028A" w:rsidRPr="00FA117E">
        <w:instrText xml:space="preserve"> \* MERGEFORMAT </w:instrText>
      </w:r>
      <w:r w:rsidRPr="00FA117E">
        <w:fldChar w:fldCharType="separate"/>
      </w:r>
      <w:r w:rsidR="005C651F" w:rsidRPr="00FA117E">
        <w:t>[1]</w:t>
      </w:r>
      <w:r w:rsidRPr="00FA117E">
        <w:fldChar w:fldCharType="end"/>
      </w:r>
      <w:r w:rsidRPr="00FA117E">
        <w:t xml:space="preserve">. CEPT reviewed </w:t>
      </w:r>
      <w:r w:rsidR="00264738" w:rsidRPr="00FA117E">
        <w:t xml:space="preserve">and confirmed </w:t>
      </w:r>
      <w:r w:rsidRPr="00FA117E">
        <w:t>the MFCN Terminal Station BEM</w:t>
      </w:r>
      <w:r w:rsidR="00095BD5" w:rsidRPr="00FA117E">
        <w:t>.</w:t>
      </w:r>
      <w:r w:rsidR="007E0F36" w:rsidRPr="00FA117E">
        <w:t xml:space="preserve"> </w:t>
      </w:r>
      <w:r w:rsidRPr="00FA117E">
        <w:t xml:space="preserve">The technical conditions applicable to MFCN Base Stations were updated to incorporate relevant conditions regarding protection of possible national options </w:t>
      </w:r>
      <w:r w:rsidR="00993E18">
        <w:t xml:space="preserve">for </w:t>
      </w:r>
      <w:r w:rsidRPr="00FA117E">
        <w:t xml:space="preserve">PPDR and M2M in guard bands and </w:t>
      </w:r>
      <w:r w:rsidR="00BC3F60" w:rsidRPr="00FA117E">
        <w:t xml:space="preserve">the </w:t>
      </w:r>
      <w:r w:rsidRPr="00FA117E">
        <w:t xml:space="preserve">duplex gap outside the 2x30MHz MFCN channelling arrangements. </w:t>
      </w:r>
    </w:p>
    <w:p w:rsidR="00544B2D" w:rsidRPr="00FA117E" w:rsidRDefault="00D166DE" w:rsidP="000226FB">
      <w:pPr>
        <w:pStyle w:val="ECCParagraph"/>
      </w:pPr>
      <w:r w:rsidRPr="00FA117E">
        <w:t>CEPT recommends the technical conditions hereafter as the basis for the LRTC to be included in the future EC framework on Electronic Communications Services (ECS).</w:t>
      </w:r>
    </w:p>
    <w:p w:rsidR="000226FB" w:rsidRPr="00FA117E" w:rsidRDefault="000226FB" w:rsidP="000226FB">
      <w:pPr>
        <w:pStyle w:val="ECCParagraph"/>
        <w:rPr>
          <w:bCs/>
        </w:rPr>
      </w:pPr>
      <w:r w:rsidRPr="00FA117E">
        <w:t xml:space="preserve">A BEM is an emission mask that is defined, as a function of frequency, relative to the edge of a block of spectrum that is licensed to an operator. </w:t>
      </w:r>
      <w:r w:rsidRPr="00FA117E">
        <w:rPr>
          <w:bCs/>
        </w:rPr>
        <w:t xml:space="preserve">It consists of in-block and out-of-block components which specify the permitted emission levels over frequencies inside and outside the licensed block of spectrum respectively. The out-of-block component of the BEM itself consists of a baseline level and, where applicable, intermediate (transition) levels which describe the transition from the in-block level to the baseline level as a function of frequency. </w:t>
      </w:r>
    </w:p>
    <w:p w:rsidR="009B2012" w:rsidRPr="00FA117E" w:rsidRDefault="00CB6AC4" w:rsidP="00CB6AC4">
      <w:pPr>
        <w:pStyle w:val="ECCParagraph"/>
      </w:pPr>
      <w:r w:rsidRPr="00FA117E">
        <w:t>The technical conditions derived in this Report for the frequency range 694-790 MHz are optimised for, but not limited to, fixed/mobile communications networks (two-way). Therefore, they are derived both for base stations (BS), applicable also to SDL blocks, and terminal stations (TS). The BEMs have been developed to ensure coexistence with other MFCN blocks (including the option for SDL), as well as other services and applications in the band and in</w:t>
      </w:r>
      <w:r w:rsidRPr="00FA117E">
        <w:rPr>
          <w:sz w:val="16"/>
          <w:szCs w:val="16"/>
        </w:rPr>
        <w:t xml:space="preserve"> </w:t>
      </w:r>
      <w:r w:rsidRPr="00FA117E">
        <w:t xml:space="preserve">adjacent bands. Additional measures may be required at a national level to achieve coexistence with other services and applications using the guard bands or the duplex gap. BEMs for BS and TS are applicable to equipment used in commercial mobile networks, as well as for PPDR applications operating in the </w:t>
      </w:r>
      <w:r w:rsidR="002653B9" w:rsidRPr="00FA117E">
        <w:t xml:space="preserve">MFCN </w:t>
      </w:r>
      <w:r w:rsidRPr="00FA117E">
        <w:t>paired channelling arrangement (703-733 and 758-788 MHz</w:t>
      </w:r>
      <w:r w:rsidR="00EB497B" w:rsidRPr="00FA117E">
        <w:t>) based on the assumption that the BB-PPDR network has the same performance requirements and similar topology as commercial networks.</w:t>
      </w:r>
    </w:p>
    <w:p w:rsidR="000226FB" w:rsidRPr="00FA117E" w:rsidRDefault="00CB6AC4" w:rsidP="00CB6AC4">
      <w:pPr>
        <w:pStyle w:val="ECCParagraph"/>
        <w:rPr>
          <w:rFonts w:cs="Arial"/>
        </w:rPr>
      </w:pPr>
      <w:r w:rsidRPr="00FA117E">
        <w:t xml:space="preserve">In the derivation of the BEM elements for protection of PPDR and M2M frequency blocks, it has been assumed that the same protection requirements as for MFCN should be applied. These requirements are applicable when PPDR and M2M options are implemented in the guard bands or the duplex gap at a national level. </w:t>
      </w:r>
      <w:r w:rsidRPr="00FA117E">
        <w:rPr>
          <w:color w:val="000000"/>
        </w:rPr>
        <w:t xml:space="preserve">Those options for PPDR and M2M are being studied in CEPT. </w:t>
      </w:r>
      <w:r w:rsidRPr="00FA117E">
        <w:t xml:space="preserve">For PPDR, it is assumed that the bandwidth used is either 3 MHz or 5 </w:t>
      </w:r>
      <w:proofErr w:type="spellStart"/>
      <w:r w:rsidRPr="00FA117E">
        <w:t>MHz.</w:t>
      </w:r>
      <w:proofErr w:type="spellEnd"/>
      <w:r w:rsidRPr="00FA117E">
        <w:t xml:space="preserve"> For M2M it is assumed that the bandwidth is between 200 kHz and 3 </w:t>
      </w:r>
      <w:proofErr w:type="spellStart"/>
      <w:r w:rsidRPr="00FA117E">
        <w:t>MHz.</w:t>
      </w:r>
      <w:proofErr w:type="spellEnd"/>
      <w:r w:rsidRPr="00FA117E">
        <w:t xml:space="preserve"> </w:t>
      </w:r>
      <w:r w:rsidRPr="00FA117E">
        <w:rPr>
          <w:rFonts w:cs="Arial"/>
        </w:rPr>
        <w:t>BEM requirements for TSs and BSs to protect broadcasting below 694 MHz are also sufficient for the protection of PMSE operating below 694 </w:t>
      </w:r>
      <w:proofErr w:type="spellStart"/>
      <w:r w:rsidRPr="00FA117E">
        <w:rPr>
          <w:rFonts w:cs="Arial"/>
        </w:rPr>
        <w:t>MHz.</w:t>
      </w:r>
      <w:proofErr w:type="spellEnd"/>
      <w:r w:rsidR="002653B9" w:rsidRPr="00FA117E">
        <w:rPr>
          <w:rFonts w:cs="Arial"/>
        </w:rPr>
        <w:t xml:space="preserve"> Technical conditions applicable to either PPDR or M2M national options are not covered by this report and are outside the scope of the mandate.</w:t>
      </w:r>
    </w:p>
    <w:p w:rsidR="005032D6" w:rsidRPr="00FA117E" w:rsidRDefault="005032D6" w:rsidP="005032D6">
      <w:pPr>
        <w:pStyle w:val="Heading2"/>
        <w:rPr>
          <w:lang w:val="en-GB"/>
        </w:rPr>
      </w:pPr>
      <w:bookmarkStart w:id="13" w:name="_Toc441229619"/>
      <w:r w:rsidRPr="00FA117E">
        <w:rPr>
          <w:lang w:val="en-GB"/>
        </w:rPr>
        <w:t>Base station</w:t>
      </w:r>
      <w:bookmarkEnd w:id="13"/>
    </w:p>
    <w:p w:rsidR="000226FB" w:rsidRPr="00FA117E" w:rsidRDefault="000226FB" w:rsidP="000226FB">
      <w:pPr>
        <w:pStyle w:val="ECCParagraph"/>
      </w:pPr>
      <w:r w:rsidRPr="00FA117E">
        <w:t>The MFCN Base Station (BS) BEM consists of several elements. The in-block power limit is applied to a block licensed to an operator. The out-of-block elements consist of a baseline level, designed to protect the spectrum of other MFCN operators as well as adjacent services, and transitional levels enabling filter roll-off from in-block to baseline levels. Additionally, elements are provided for guard bands between MFCN and other services and between the MFCN uplink (UL) and downlink (DL). The BEM is based on minimum coupling loss (MCL) analysis and simulations.</w:t>
      </w:r>
    </w:p>
    <w:p w:rsidR="000226FB" w:rsidRPr="00FA117E" w:rsidRDefault="008F5B6A" w:rsidP="000226FB">
      <w:pPr>
        <w:pStyle w:val="ECCParagraph"/>
      </w:pPr>
      <w:r w:rsidRPr="00FA117E">
        <w:fldChar w:fldCharType="begin"/>
      </w:r>
      <w:r w:rsidRPr="00FA117E">
        <w:instrText xml:space="preserve"> REF _Ref433204062 \r \h </w:instrText>
      </w:r>
      <w:r w:rsidR="00532417" w:rsidRPr="00FA117E">
        <w:instrText xml:space="preserve"> \* MERGEFORMAT </w:instrText>
      </w:r>
      <w:r w:rsidRPr="00FA117E">
        <w:fldChar w:fldCharType="separate"/>
      </w:r>
      <w:r w:rsidR="005C651F" w:rsidRPr="00FA117E">
        <w:t>Table 1:</w:t>
      </w:r>
      <w:r w:rsidRPr="00FA117E">
        <w:fldChar w:fldCharType="end"/>
      </w:r>
      <w:r w:rsidRPr="00FA117E">
        <w:t xml:space="preserve"> </w:t>
      </w:r>
      <w:r w:rsidR="000226FB" w:rsidRPr="00FA117E">
        <w:t xml:space="preserve">contains the different elements of the BS BEM, and </w:t>
      </w:r>
      <w:r w:rsidRPr="00FA117E">
        <w:fldChar w:fldCharType="begin"/>
      </w:r>
      <w:r w:rsidRPr="00FA117E">
        <w:instrText xml:space="preserve"> REF _Ref395005368 \r \h </w:instrText>
      </w:r>
      <w:r w:rsidR="00532417" w:rsidRPr="00FA117E">
        <w:instrText xml:space="preserve"> \* MERGEFORMAT </w:instrText>
      </w:r>
      <w:r w:rsidRPr="00FA117E">
        <w:fldChar w:fldCharType="separate"/>
      </w:r>
      <w:r w:rsidR="005C651F" w:rsidRPr="00FA117E">
        <w:t>Table 2:</w:t>
      </w:r>
      <w:r w:rsidRPr="00FA117E">
        <w:fldChar w:fldCharType="end"/>
      </w:r>
      <w:r w:rsidR="000226FB" w:rsidRPr="00FA117E">
        <w:t xml:space="preserve"> to </w:t>
      </w:r>
      <w:r w:rsidRPr="00FA117E">
        <w:fldChar w:fldCharType="begin"/>
      </w:r>
      <w:r w:rsidRPr="00FA117E">
        <w:instrText xml:space="preserve"> REF _Ref433204074 \r \h </w:instrText>
      </w:r>
      <w:r w:rsidR="00532417" w:rsidRPr="00FA117E">
        <w:instrText xml:space="preserve"> \* MERGEFORMAT </w:instrText>
      </w:r>
      <w:r w:rsidRPr="00FA117E">
        <w:fldChar w:fldCharType="separate"/>
      </w:r>
      <w:r w:rsidR="005C651F" w:rsidRPr="00FA117E">
        <w:t>Table 8:</w:t>
      </w:r>
      <w:r w:rsidRPr="00FA117E">
        <w:fldChar w:fldCharType="end"/>
      </w:r>
      <w:r w:rsidR="000226FB" w:rsidRPr="00FA117E">
        <w:t xml:space="preserve"> contain the power limits for the different BEM elements.</w:t>
      </w:r>
    </w:p>
    <w:p w:rsidR="000226FB" w:rsidRPr="00FA117E" w:rsidRDefault="000226FB" w:rsidP="000226FB">
      <w:pPr>
        <w:pStyle w:val="ECCParagraph"/>
      </w:pPr>
      <w:r w:rsidRPr="00FA117E">
        <w:t xml:space="preserve">To obtain a BS BEM for a specific block in the paired FDD or the optional unpaired spectrum, the BEM elements that are defined in </w:t>
      </w:r>
      <w:r w:rsidR="008F5B6A" w:rsidRPr="00FA117E">
        <w:fldChar w:fldCharType="begin"/>
      </w:r>
      <w:r w:rsidR="008F5B6A" w:rsidRPr="00FA117E">
        <w:instrText xml:space="preserve"> REF _Ref433204062 \r \h </w:instrText>
      </w:r>
      <w:r w:rsidR="00532417" w:rsidRPr="00FA117E">
        <w:instrText xml:space="preserve"> \* MERGEFORMAT </w:instrText>
      </w:r>
      <w:r w:rsidR="008F5B6A" w:rsidRPr="00FA117E">
        <w:fldChar w:fldCharType="separate"/>
      </w:r>
      <w:r w:rsidR="005C651F" w:rsidRPr="00FA117E">
        <w:t>Table 1:</w:t>
      </w:r>
      <w:r w:rsidR="008F5B6A" w:rsidRPr="00FA117E">
        <w:fldChar w:fldCharType="end"/>
      </w:r>
      <w:r w:rsidRPr="00FA117E">
        <w:t xml:space="preserve"> are used as follows:</w:t>
      </w:r>
    </w:p>
    <w:p w:rsidR="000226FB" w:rsidRPr="00FA117E" w:rsidRDefault="000226FB" w:rsidP="000226FB">
      <w:pPr>
        <w:pStyle w:val="ECCParBulleted"/>
        <w:jc w:val="left"/>
      </w:pPr>
      <w:r w:rsidRPr="00FA117E">
        <w:t>In-block power limit is used for the block assigned to the operator.</w:t>
      </w:r>
    </w:p>
    <w:p w:rsidR="000226FB" w:rsidRPr="00FA117E" w:rsidRDefault="009B2012" w:rsidP="000226FB">
      <w:pPr>
        <w:pStyle w:val="ECCParBulleted"/>
        <w:jc w:val="left"/>
      </w:pPr>
      <w:r w:rsidRPr="00FA117E">
        <w:t>Transitional regions are determined, and corresponding power limits are used. The transitional regions may overlap with guard bands,</w:t>
      </w:r>
      <w:r w:rsidR="00BC3F60" w:rsidRPr="00FA117E">
        <w:t xml:space="preserve"> </w:t>
      </w:r>
      <w:r w:rsidRPr="00FA117E">
        <w:t xml:space="preserve">adjacent bands and </w:t>
      </w:r>
      <w:r w:rsidR="00BC3F60" w:rsidRPr="00FA117E">
        <w:t xml:space="preserve">the </w:t>
      </w:r>
      <w:r w:rsidRPr="00FA117E">
        <w:t>duplex gap, in which case transitional power limits are used</w:t>
      </w:r>
      <w:r w:rsidR="000226FB" w:rsidRPr="00FA117E">
        <w:t>.</w:t>
      </w:r>
    </w:p>
    <w:p w:rsidR="000226FB" w:rsidRPr="00FA117E" w:rsidRDefault="000226FB" w:rsidP="000226FB">
      <w:pPr>
        <w:pStyle w:val="ECCParBulleted"/>
        <w:jc w:val="left"/>
      </w:pPr>
      <w:r w:rsidRPr="00FA117E">
        <w:lastRenderedPageBreak/>
        <w:t xml:space="preserve">For remaining spectrum assigned to MFCN UL and DL (including SDL spectrum, if applicable), for DTT spectrum below 694 MHz, for spectrum used for MFCN above 790 MHz or used for PPDR or M2M </w:t>
      </w:r>
      <w:r w:rsidR="00533B3C">
        <w:t>(</w:t>
      </w:r>
      <w:r w:rsidRPr="00FA117E">
        <w:t>UL or DL</w:t>
      </w:r>
      <w:r w:rsidR="00533B3C">
        <w:t>)</w:t>
      </w:r>
      <w:r w:rsidRPr="00FA117E">
        <w:t>, baseline power limits are used.</w:t>
      </w:r>
    </w:p>
    <w:p w:rsidR="000226FB" w:rsidRPr="00FA117E" w:rsidRDefault="000226FB" w:rsidP="000226FB">
      <w:pPr>
        <w:pStyle w:val="ECCParBulleted"/>
        <w:jc w:val="left"/>
      </w:pPr>
      <w:r w:rsidRPr="00FA117E">
        <w:t xml:space="preserve">For remaining guard band spectrum (i.e. not covered by transitional regions or used by PPDR or M2M) guard band power limits are used. </w:t>
      </w:r>
    </w:p>
    <w:p w:rsidR="000226FB" w:rsidRPr="00FA117E" w:rsidRDefault="000226FB" w:rsidP="000226FB">
      <w:pPr>
        <w:pStyle w:val="ECCParBulleted"/>
      </w:pPr>
      <w:r w:rsidRPr="00FA117E">
        <w:t>For spectrum between 733 and 758 MHz not used by MFCN (including SDL)</w:t>
      </w:r>
      <w:r w:rsidR="002653B9" w:rsidRPr="00FA117E">
        <w:t xml:space="preserve"> or by</w:t>
      </w:r>
      <w:r w:rsidRPr="00FA117E">
        <w:t xml:space="preserve"> PPDR or M2M</w:t>
      </w:r>
      <w:r w:rsidR="002653B9" w:rsidRPr="00FA117E">
        <w:t xml:space="preserve"> national options</w:t>
      </w:r>
      <w:r w:rsidRPr="00FA117E">
        <w:t>, FDD duplex gap requirements apply.</w:t>
      </w:r>
    </w:p>
    <w:p w:rsidR="000226FB" w:rsidRPr="00FA117E" w:rsidRDefault="000226FB" w:rsidP="000226FB">
      <w:pPr>
        <w:jc w:val="both"/>
        <w:rPr>
          <w:lang w:val="en-GB"/>
        </w:rPr>
      </w:pPr>
      <w:r w:rsidRPr="00FA117E">
        <w:rPr>
          <w:lang w:val="en-GB"/>
        </w:rPr>
        <w:t>Operators of mobile/fixed communications networks in the 694-790 MHz band may agree, on a bilateral or multilateral basis, less stringent technical parameters provided that they continue to comply with the technical conditions applicable for the protection of other services, applications or networks and with their cross-border obligations. Administrations should ensure that these less stringent technical parameters can be used, if agreed among all affected parties.</w:t>
      </w:r>
    </w:p>
    <w:p w:rsidR="00533B3C" w:rsidRPr="00533B3C" w:rsidRDefault="000226FB" w:rsidP="00533B3C">
      <w:pPr>
        <w:pStyle w:val="ECCTabletitle"/>
      </w:pPr>
      <w:bookmarkStart w:id="14" w:name="_Ref433204062"/>
      <w:r w:rsidRPr="00FA117E">
        <w:t>MFCN BS BEM elements</w:t>
      </w:r>
      <w:bookmarkEnd w:id="14"/>
      <w:r w:rsidR="0039379F" w:rsidRPr="00FA117E">
        <w:t xml:space="preserve"> for blocks in the paired </w:t>
      </w:r>
      <w:r w:rsidR="009D68C3" w:rsidRPr="00FA117E">
        <w:br/>
      </w:r>
      <w:r w:rsidR="0039379F" w:rsidRPr="00FA117E">
        <w:t>frequency arrangement (2</w:t>
      </w:r>
      <w:r w:rsidR="00BC3F60" w:rsidRPr="00FA117E">
        <w:t>x</w:t>
      </w:r>
      <w:r w:rsidR="0039379F" w:rsidRPr="00FA117E">
        <w:t xml:space="preserve">30 MHz) and SDL blocks </w:t>
      </w:r>
    </w:p>
    <w:tbl>
      <w:tblPr>
        <w:tblW w:w="10212" w:type="dxa"/>
        <w:tblInd w:w="25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36"/>
        <w:gridCol w:w="1265"/>
        <w:gridCol w:w="436"/>
        <w:gridCol w:w="7644"/>
        <w:gridCol w:w="431"/>
      </w:tblGrid>
      <w:tr w:rsidR="00533B3C" w:rsidRPr="00FA117E" w:rsidTr="00814850">
        <w:trPr>
          <w:gridAfter w:val="1"/>
          <w:wAfter w:w="431" w:type="dxa"/>
          <w:tblHeader/>
        </w:trPr>
        <w:tc>
          <w:tcPr>
            <w:tcW w:w="1701" w:type="dxa"/>
            <w:gridSpan w:val="2"/>
            <w:tcBorders>
              <w:top w:val="single" w:sz="4" w:space="0" w:color="D2232A"/>
              <w:left w:val="single" w:sz="4" w:space="0" w:color="D2232A"/>
              <w:bottom w:val="single" w:sz="4" w:space="0" w:color="D2232A"/>
              <w:right w:val="single" w:sz="8" w:space="0" w:color="FFFFFF"/>
            </w:tcBorders>
            <w:shd w:val="clear" w:color="auto" w:fill="D2232A"/>
            <w:vAlign w:val="center"/>
          </w:tcPr>
          <w:p w:rsidR="00533B3C" w:rsidRPr="00FA117E" w:rsidRDefault="00533B3C" w:rsidP="009813D8">
            <w:pPr>
              <w:keepNext/>
              <w:spacing w:line="288" w:lineRule="auto"/>
              <w:jc w:val="center"/>
              <w:rPr>
                <w:b/>
                <w:color w:val="FFFFFF"/>
                <w:lang w:val="en-GB"/>
              </w:rPr>
            </w:pPr>
            <w:r w:rsidRPr="00533B3C">
              <w:rPr>
                <w:b/>
                <w:color w:val="FFFFFF"/>
                <w:lang w:val="en-GB"/>
              </w:rPr>
              <w:t>BEM Element</w:t>
            </w:r>
          </w:p>
        </w:tc>
        <w:tc>
          <w:tcPr>
            <w:tcW w:w="8080" w:type="dxa"/>
            <w:gridSpan w:val="2"/>
            <w:tcBorders>
              <w:top w:val="single" w:sz="4" w:space="0" w:color="D2232A"/>
              <w:left w:val="single" w:sz="8" w:space="0" w:color="FFFFFF"/>
              <w:bottom w:val="single" w:sz="4" w:space="0" w:color="D2232A"/>
              <w:right w:val="single" w:sz="4" w:space="0" w:color="D2232A"/>
            </w:tcBorders>
            <w:shd w:val="clear" w:color="auto" w:fill="D2232A"/>
            <w:vAlign w:val="center"/>
          </w:tcPr>
          <w:p w:rsidR="00533B3C" w:rsidRPr="00FA117E" w:rsidRDefault="00533B3C" w:rsidP="009813D8">
            <w:pPr>
              <w:keepNext/>
              <w:spacing w:line="288" w:lineRule="auto"/>
              <w:jc w:val="center"/>
              <w:rPr>
                <w:b/>
                <w:color w:val="FFFFFF"/>
                <w:lang w:val="en-GB"/>
              </w:rPr>
            </w:pPr>
            <w:proofErr w:type="spellStart"/>
            <w:r w:rsidRPr="00533B3C">
              <w:rPr>
                <w:b/>
                <w:color w:val="FFFFFF"/>
                <w:lang w:val="en-GB"/>
              </w:rPr>
              <w:t>Defintion</w:t>
            </w:r>
            <w:proofErr w:type="spellEnd"/>
          </w:p>
        </w:tc>
      </w:tr>
      <w:tr w:rsidR="000226FB" w:rsidRPr="00FA117E" w:rsidTr="00814850">
        <w:tblPrEx>
          <w:jc w:val="center"/>
        </w:tblPrEx>
        <w:trPr>
          <w:gridBefore w:val="1"/>
          <w:wBefore w:w="436" w:type="dxa"/>
          <w:jc w:val="center"/>
        </w:trPr>
        <w:tc>
          <w:tcPr>
            <w:tcW w:w="1701" w:type="dxa"/>
            <w:gridSpan w:val="2"/>
            <w:tcBorders>
              <w:top w:val="single" w:sz="4" w:space="0" w:color="C00000"/>
            </w:tcBorders>
            <w:vAlign w:val="center"/>
          </w:tcPr>
          <w:p w:rsidR="000226FB" w:rsidRPr="00FA117E" w:rsidRDefault="000226FB" w:rsidP="00BE3422">
            <w:pPr>
              <w:keepNext/>
              <w:spacing w:before="60" w:after="60"/>
              <w:rPr>
                <w:rFonts w:eastAsia="MS Mincho" w:cs="Arial"/>
                <w:lang w:val="en-GB" w:eastAsia="ja-JP"/>
              </w:rPr>
            </w:pPr>
            <w:r w:rsidRPr="00FA117E">
              <w:rPr>
                <w:rFonts w:eastAsia="MS Mincho" w:cs="Arial"/>
                <w:lang w:val="en-GB" w:eastAsia="ja-JP"/>
              </w:rPr>
              <w:t>In-block</w:t>
            </w:r>
          </w:p>
        </w:tc>
        <w:tc>
          <w:tcPr>
            <w:tcW w:w="8075" w:type="dxa"/>
            <w:gridSpan w:val="2"/>
            <w:tcBorders>
              <w:top w:val="single" w:sz="4" w:space="0" w:color="C00000"/>
            </w:tcBorders>
            <w:vAlign w:val="center"/>
          </w:tcPr>
          <w:p w:rsidR="000226FB" w:rsidRPr="00FA117E" w:rsidRDefault="000226FB" w:rsidP="00BE3422">
            <w:pPr>
              <w:keepNext/>
              <w:rPr>
                <w:rFonts w:eastAsia="MS Mincho" w:cs="Arial"/>
                <w:lang w:val="en-GB" w:eastAsia="ja-JP"/>
              </w:rPr>
            </w:pPr>
            <w:r w:rsidRPr="00FA117E">
              <w:rPr>
                <w:rFonts w:eastAsia="MS Mincho" w:cs="Arial"/>
                <w:lang w:val="en-GB" w:eastAsia="ja-JP"/>
              </w:rPr>
              <w:t>Block for which the BEM is derived.</w:t>
            </w:r>
          </w:p>
        </w:tc>
      </w:tr>
      <w:tr w:rsidR="000226FB" w:rsidRPr="00FA117E" w:rsidTr="00814850">
        <w:tblPrEx>
          <w:jc w:val="center"/>
        </w:tblPrEx>
        <w:trPr>
          <w:gridBefore w:val="1"/>
          <w:wBefore w:w="436" w:type="dxa"/>
          <w:trHeight w:val="654"/>
          <w:jc w:val="center"/>
        </w:trPr>
        <w:tc>
          <w:tcPr>
            <w:tcW w:w="1701" w:type="dxa"/>
            <w:gridSpan w:val="2"/>
            <w:vAlign w:val="center"/>
          </w:tcPr>
          <w:p w:rsidR="000226FB" w:rsidRPr="00FA117E" w:rsidRDefault="000226FB" w:rsidP="00BE3422">
            <w:pPr>
              <w:keepNext/>
              <w:spacing w:before="60" w:after="60"/>
              <w:rPr>
                <w:rFonts w:eastAsia="MS Mincho" w:cs="Arial"/>
                <w:lang w:val="en-GB" w:eastAsia="ja-JP"/>
              </w:rPr>
            </w:pPr>
            <w:r w:rsidRPr="00FA117E">
              <w:rPr>
                <w:rFonts w:eastAsia="MS Mincho" w:cs="Arial"/>
                <w:lang w:val="en-GB" w:eastAsia="ja-JP"/>
              </w:rPr>
              <w:t>Baseline</w:t>
            </w:r>
          </w:p>
        </w:tc>
        <w:tc>
          <w:tcPr>
            <w:tcW w:w="8075" w:type="dxa"/>
            <w:gridSpan w:val="2"/>
            <w:vAlign w:val="center"/>
          </w:tcPr>
          <w:p w:rsidR="000226FB" w:rsidRPr="00FA117E" w:rsidRDefault="000226FB" w:rsidP="00D940A6">
            <w:pPr>
              <w:keepNext/>
              <w:rPr>
                <w:rFonts w:eastAsia="MS Mincho" w:cs="Arial"/>
                <w:lang w:val="en-GB" w:eastAsia="ja-JP"/>
              </w:rPr>
            </w:pPr>
            <w:r w:rsidRPr="00FA117E">
              <w:rPr>
                <w:rFonts w:eastAsia="MS Mincho" w:cs="Arial"/>
                <w:lang w:val="en-GB" w:eastAsia="ja-JP"/>
              </w:rPr>
              <w:t>Spectrum used for MFCN UL and DL (including SDL, if applicable), for DTT, for MFCN above 790 MHz (UL and DL), for PPDR or M2M UL or DL</w:t>
            </w:r>
            <w:r w:rsidR="00BC3F60" w:rsidRPr="00FA117E">
              <w:rPr>
                <w:rFonts w:eastAsia="MS Mincho" w:cs="Arial"/>
                <w:lang w:val="en-GB" w:eastAsia="ja-JP"/>
              </w:rPr>
              <w:t xml:space="preserve">.  </w:t>
            </w:r>
          </w:p>
        </w:tc>
      </w:tr>
      <w:tr w:rsidR="000226FB" w:rsidRPr="00FA117E" w:rsidTr="00814850">
        <w:tblPrEx>
          <w:jc w:val="center"/>
        </w:tblPrEx>
        <w:trPr>
          <w:gridBefore w:val="1"/>
          <w:wBefore w:w="436" w:type="dxa"/>
          <w:jc w:val="center"/>
        </w:trPr>
        <w:tc>
          <w:tcPr>
            <w:tcW w:w="1701" w:type="dxa"/>
            <w:gridSpan w:val="2"/>
            <w:vAlign w:val="center"/>
          </w:tcPr>
          <w:p w:rsidR="000226FB" w:rsidRPr="00FA117E" w:rsidRDefault="000226FB" w:rsidP="00BE3422">
            <w:pPr>
              <w:spacing w:before="60" w:after="60"/>
              <w:rPr>
                <w:rFonts w:eastAsia="MS Mincho" w:cs="Arial"/>
                <w:lang w:val="en-GB" w:eastAsia="ja-JP"/>
              </w:rPr>
            </w:pPr>
            <w:r w:rsidRPr="00FA117E">
              <w:rPr>
                <w:rFonts w:eastAsia="MS Mincho" w:cs="Arial"/>
                <w:lang w:val="en-GB" w:eastAsia="ja-JP"/>
              </w:rPr>
              <w:t>Transitional region</w:t>
            </w:r>
          </w:p>
        </w:tc>
        <w:tc>
          <w:tcPr>
            <w:tcW w:w="8075" w:type="dxa"/>
            <w:gridSpan w:val="2"/>
            <w:vAlign w:val="center"/>
          </w:tcPr>
          <w:p w:rsidR="008F5B6A" w:rsidRPr="00FA117E" w:rsidRDefault="00EB497B" w:rsidP="00EB497B">
            <w:pPr>
              <w:rPr>
                <w:lang w:val="en-GB"/>
              </w:rPr>
            </w:pPr>
            <w:r w:rsidRPr="00FA117E">
              <w:rPr>
                <w:rFonts w:eastAsia="MS Mincho" w:cs="Arial"/>
                <w:lang w:val="en-GB" w:eastAsia="ja-JP"/>
              </w:rPr>
              <w:t>The transitional region applies from 0 to 10 MHz below and above the block assigned to the operator</w:t>
            </w:r>
            <w:r w:rsidR="00D1211C" w:rsidRPr="00FA117E">
              <w:rPr>
                <w:rFonts w:eastAsia="MS Mincho" w:cs="Arial"/>
                <w:lang w:val="en-GB" w:eastAsia="ja-JP"/>
              </w:rPr>
              <w:t xml:space="preserve">. In a frequency range where transitional regions and spectrum used by MFCN, PPDR or M2M uplinks </w:t>
            </w:r>
            <w:proofErr w:type="gramStart"/>
            <w:r w:rsidR="00D1211C" w:rsidRPr="00FA117E">
              <w:rPr>
                <w:rFonts w:eastAsia="MS Mincho" w:cs="Arial"/>
                <w:lang w:val="en-GB" w:eastAsia="ja-JP"/>
              </w:rPr>
              <w:t>overlap,</w:t>
            </w:r>
            <w:proofErr w:type="gramEnd"/>
            <w:r w:rsidR="00D1211C" w:rsidRPr="00FA117E">
              <w:rPr>
                <w:rFonts w:eastAsia="MS Mincho" w:cs="Arial"/>
                <w:lang w:val="en-GB" w:eastAsia="ja-JP"/>
              </w:rPr>
              <w:t xml:space="preserve"> transitional power limits do not apply. </w:t>
            </w:r>
          </w:p>
        </w:tc>
      </w:tr>
      <w:tr w:rsidR="000226FB" w:rsidRPr="00FA117E" w:rsidTr="00814850">
        <w:tblPrEx>
          <w:jc w:val="center"/>
        </w:tblPrEx>
        <w:trPr>
          <w:gridBefore w:val="1"/>
          <w:wBefore w:w="436" w:type="dxa"/>
          <w:jc w:val="center"/>
        </w:trPr>
        <w:tc>
          <w:tcPr>
            <w:tcW w:w="1701" w:type="dxa"/>
            <w:gridSpan w:val="2"/>
            <w:vAlign w:val="center"/>
          </w:tcPr>
          <w:p w:rsidR="000226FB" w:rsidRPr="00FA117E" w:rsidRDefault="000226FB" w:rsidP="00BE3422">
            <w:pPr>
              <w:spacing w:before="60" w:after="60"/>
              <w:rPr>
                <w:rFonts w:eastAsia="MS Mincho" w:cs="Arial"/>
                <w:lang w:val="en-GB" w:eastAsia="ja-JP"/>
              </w:rPr>
            </w:pPr>
            <w:r w:rsidRPr="00FA117E">
              <w:rPr>
                <w:rFonts w:eastAsia="MS Mincho" w:cs="Arial"/>
                <w:lang w:val="en-GB" w:eastAsia="ja-JP"/>
              </w:rPr>
              <w:t xml:space="preserve">Guard bands </w:t>
            </w:r>
          </w:p>
        </w:tc>
        <w:tc>
          <w:tcPr>
            <w:tcW w:w="8075" w:type="dxa"/>
            <w:gridSpan w:val="2"/>
            <w:vAlign w:val="center"/>
          </w:tcPr>
          <w:p w:rsidR="000226FB" w:rsidRPr="00FA117E" w:rsidRDefault="000226FB" w:rsidP="005273A4">
            <w:pPr>
              <w:pStyle w:val="ECCParBulleted"/>
              <w:numPr>
                <w:ilvl w:val="0"/>
                <w:numId w:val="14"/>
              </w:numPr>
              <w:tabs>
                <w:tab w:val="clear" w:pos="360"/>
                <w:tab w:val="num" w:pos="193"/>
              </w:tabs>
              <w:spacing w:after="0"/>
              <w:ind w:left="193" w:hanging="193"/>
              <w:jc w:val="left"/>
              <w:rPr>
                <w:rFonts w:eastAsia="MS Mincho"/>
                <w:lang w:eastAsia="ja-JP"/>
              </w:rPr>
            </w:pPr>
            <w:r w:rsidRPr="00FA117E">
              <w:rPr>
                <w:rFonts w:eastAsia="MS Mincho"/>
                <w:lang w:eastAsia="ja-JP"/>
              </w:rPr>
              <w:t>Spectrum between the DTT allocation below 694 MHz and the lower edge of the MFCN uplink (694-703 MHz)</w:t>
            </w:r>
            <w:r w:rsidR="00434E1F" w:rsidRPr="00FA117E">
              <w:rPr>
                <w:rFonts w:eastAsia="MS Mincho"/>
                <w:lang w:eastAsia="ja-JP"/>
              </w:rPr>
              <w:t>.</w:t>
            </w:r>
            <w:r w:rsidRPr="00FA117E">
              <w:rPr>
                <w:rFonts w:eastAsia="MS Mincho"/>
                <w:lang w:eastAsia="ja-JP"/>
              </w:rPr>
              <w:t xml:space="preserve"> </w:t>
            </w:r>
          </w:p>
          <w:p w:rsidR="000226FB" w:rsidRPr="00FA117E" w:rsidRDefault="000226FB" w:rsidP="005273A4">
            <w:pPr>
              <w:pStyle w:val="ECCParBulleted"/>
              <w:numPr>
                <w:ilvl w:val="0"/>
                <w:numId w:val="14"/>
              </w:numPr>
              <w:tabs>
                <w:tab w:val="clear" w:pos="360"/>
                <w:tab w:val="num" w:pos="193"/>
              </w:tabs>
              <w:spacing w:after="0"/>
              <w:ind w:left="193" w:hanging="193"/>
              <w:jc w:val="left"/>
              <w:rPr>
                <w:rFonts w:eastAsia="MS Mincho"/>
                <w:lang w:eastAsia="ja-JP"/>
              </w:rPr>
            </w:pPr>
            <w:r w:rsidRPr="00FA117E">
              <w:rPr>
                <w:rFonts w:eastAsia="MS Mincho"/>
                <w:lang w:eastAsia="ja-JP"/>
              </w:rPr>
              <w:t xml:space="preserve">Spectrum between the upper edge of MFCN downlink </w:t>
            </w:r>
            <w:r w:rsidR="0039379F" w:rsidRPr="00FA117E">
              <w:rPr>
                <w:rFonts w:eastAsia="MS Mincho"/>
                <w:lang w:eastAsia="ja-JP"/>
              </w:rPr>
              <w:t>(</w:t>
            </w:r>
            <w:r w:rsidRPr="00FA117E">
              <w:rPr>
                <w:rFonts w:eastAsia="MS Mincho"/>
                <w:lang w:eastAsia="ja-JP"/>
              </w:rPr>
              <w:t>788 MHz</w:t>
            </w:r>
            <w:r w:rsidR="0039379F" w:rsidRPr="00FA117E">
              <w:rPr>
                <w:rFonts w:eastAsia="MS Mincho"/>
                <w:lang w:eastAsia="ja-JP"/>
              </w:rPr>
              <w:t>)</w:t>
            </w:r>
            <w:r w:rsidRPr="00FA117E">
              <w:rPr>
                <w:rFonts w:eastAsia="MS Mincho"/>
                <w:lang w:eastAsia="ja-JP"/>
              </w:rPr>
              <w:t xml:space="preserve"> and the lower edge of </w:t>
            </w:r>
            <w:r w:rsidR="00891140" w:rsidRPr="00FA117E">
              <w:rPr>
                <w:rFonts w:eastAsia="MS Mincho"/>
                <w:lang w:eastAsia="ja-JP"/>
              </w:rPr>
              <w:t xml:space="preserve">the 800 MHz frequency band </w:t>
            </w:r>
            <w:r w:rsidRPr="00FA117E">
              <w:rPr>
                <w:rFonts w:eastAsia="MS Mincho"/>
                <w:lang w:eastAsia="ja-JP"/>
              </w:rPr>
              <w:t>MFCN downlink (</w:t>
            </w:r>
            <w:r w:rsidR="0039379F" w:rsidRPr="00FA117E">
              <w:rPr>
                <w:rFonts w:eastAsia="MS Mincho"/>
                <w:lang w:eastAsia="ja-JP"/>
              </w:rPr>
              <w:t>791 MHz</w:t>
            </w:r>
            <w:r w:rsidRPr="00FA117E">
              <w:rPr>
                <w:rFonts w:eastAsia="MS Mincho"/>
                <w:lang w:eastAsia="ja-JP"/>
              </w:rPr>
              <w:t xml:space="preserve">) </w:t>
            </w:r>
          </w:p>
          <w:p w:rsidR="000226FB" w:rsidRPr="00FA117E" w:rsidRDefault="000226FB" w:rsidP="00BE3422">
            <w:pPr>
              <w:rPr>
                <w:rFonts w:eastAsia="MS Mincho" w:cs="Arial"/>
                <w:lang w:val="en-GB" w:eastAsia="ja-JP"/>
              </w:rPr>
            </w:pPr>
            <w:r w:rsidRPr="00FA117E">
              <w:rPr>
                <w:rFonts w:eastAsia="MS Mincho" w:cs="Arial"/>
                <w:lang w:val="en-GB" w:eastAsia="ja-JP"/>
              </w:rPr>
              <w:t>In case of overlap between transitional regions and guard bands, transitional power limits are used. When spectrum is used by PPDR or M2M</w:t>
            </w:r>
            <w:r w:rsidR="002653B9" w:rsidRPr="00FA117E">
              <w:rPr>
                <w:rFonts w:eastAsia="MS Mincho" w:cs="Arial"/>
                <w:lang w:val="en-GB" w:eastAsia="ja-JP"/>
              </w:rPr>
              <w:t>,</w:t>
            </w:r>
            <w:r w:rsidRPr="00FA117E">
              <w:rPr>
                <w:rFonts w:eastAsia="MS Mincho" w:cs="Arial"/>
                <w:lang w:val="en-GB" w:eastAsia="ja-JP"/>
              </w:rPr>
              <w:t xml:space="preserve"> baseline or transitional power limits are used. </w:t>
            </w:r>
          </w:p>
        </w:tc>
      </w:tr>
      <w:tr w:rsidR="000226FB" w:rsidRPr="00FA117E" w:rsidTr="00814850">
        <w:tblPrEx>
          <w:jc w:val="center"/>
        </w:tblPrEx>
        <w:trPr>
          <w:gridBefore w:val="1"/>
          <w:wBefore w:w="436" w:type="dxa"/>
          <w:jc w:val="center"/>
        </w:trPr>
        <w:tc>
          <w:tcPr>
            <w:tcW w:w="1701" w:type="dxa"/>
            <w:gridSpan w:val="2"/>
            <w:vAlign w:val="center"/>
          </w:tcPr>
          <w:p w:rsidR="000226FB" w:rsidRPr="00FA117E" w:rsidRDefault="000226FB" w:rsidP="00BE3422">
            <w:pPr>
              <w:spacing w:before="60" w:after="60"/>
              <w:rPr>
                <w:rFonts w:eastAsia="MS Mincho" w:cs="Arial"/>
                <w:lang w:val="en-GB" w:eastAsia="ja-JP"/>
              </w:rPr>
            </w:pPr>
            <w:r w:rsidRPr="00FA117E">
              <w:rPr>
                <w:rFonts w:eastAsia="MS Mincho" w:cs="Arial"/>
                <w:lang w:val="en-GB" w:eastAsia="ja-JP"/>
              </w:rPr>
              <w:t xml:space="preserve">Duplex Gap </w:t>
            </w:r>
          </w:p>
        </w:tc>
        <w:tc>
          <w:tcPr>
            <w:tcW w:w="8075" w:type="dxa"/>
            <w:gridSpan w:val="2"/>
            <w:vAlign w:val="center"/>
          </w:tcPr>
          <w:p w:rsidR="000226FB" w:rsidRPr="00FA117E" w:rsidRDefault="000226FB" w:rsidP="00BE3422">
            <w:pPr>
              <w:rPr>
                <w:rFonts w:eastAsia="MS Mincho" w:cs="Arial"/>
                <w:lang w:val="en-GB" w:eastAsia="ja-JP"/>
              </w:rPr>
            </w:pPr>
            <w:r w:rsidRPr="00FA117E">
              <w:rPr>
                <w:rFonts w:eastAsia="MS Mincho" w:cs="Arial"/>
                <w:lang w:val="en-GB" w:eastAsia="ja-JP"/>
              </w:rPr>
              <w:t>Spectrum in the FDD duplex gap</w:t>
            </w:r>
            <w:r w:rsidR="003F565D" w:rsidRPr="00FA117E">
              <w:rPr>
                <w:rFonts w:eastAsia="MS Mincho" w:cs="Arial"/>
                <w:lang w:val="en-GB" w:eastAsia="ja-JP"/>
              </w:rPr>
              <w:t>, 733-</w:t>
            </w:r>
            <w:r w:rsidR="0039379F" w:rsidRPr="00FA117E">
              <w:rPr>
                <w:rFonts w:eastAsia="MS Mincho" w:cs="Arial"/>
                <w:lang w:val="en-GB" w:eastAsia="ja-JP"/>
              </w:rPr>
              <w:t xml:space="preserve">758 </w:t>
            </w:r>
            <w:proofErr w:type="spellStart"/>
            <w:r w:rsidR="0039379F" w:rsidRPr="00FA117E">
              <w:rPr>
                <w:rFonts w:eastAsia="MS Mincho" w:cs="Arial"/>
                <w:lang w:val="en-GB" w:eastAsia="ja-JP"/>
              </w:rPr>
              <w:t>MHz.</w:t>
            </w:r>
            <w:proofErr w:type="spellEnd"/>
          </w:p>
          <w:p w:rsidR="000226FB" w:rsidRPr="00FA117E" w:rsidRDefault="000226FB" w:rsidP="00BE3422">
            <w:pPr>
              <w:rPr>
                <w:rFonts w:eastAsia="MS Mincho" w:cs="Arial"/>
                <w:lang w:val="en-GB" w:eastAsia="ja-JP"/>
              </w:rPr>
            </w:pPr>
            <w:r w:rsidRPr="00FA117E">
              <w:rPr>
                <w:rFonts w:eastAsia="MS Mincho" w:cs="Arial"/>
                <w:lang w:val="en-GB" w:eastAsia="ja-JP"/>
              </w:rPr>
              <w:t>In case of overlap between transitional regions and the part of the FDD duplex gap not used by SDL, PPDR or M2M, transitional power limits are used.</w:t>
            </w:r>
          </w:p>
        </w:tc>
      </w:tr>
    </w:tbl>
    <w:p w:rsidR="009D68C3" w:rsidRPr="00FA117E" w:rsidRDefault="009D68C3" w:rsidP="009D68C3">
      <w:pPr>
        <w:rPr>
          <w:lang w:val="en-GB"/>
        </w:rPr>
      </w:pPr>
      <w:bookmarkStart w:id="15" w:name="_Ref395005368"/>
    </w:p>
    <w:p w:rsidR="000226FB" w:rsidRPr="00FA117E" w:rsidRDefault="000226FB" w:rsidP="009D68C3">
      <w:pPr>
        <w:pStyle w:val="ECCTabletitle"/>
      </w:pPr>
      <w:r w:rsidRPr="00FA117E">
        <w:t>MFCN BS in-block power limit</w:t>
      </w:r>
      <w:bookmarkEnd w:id="15"/>
    </w:p>
    <w:tbl>
      <w:tblPr>
        <w:tblW w:w="0" w:type="auto"/>
        <w:tblInd w:w="25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260"/>
        <w:gridCol w:w="4253"/>
        <w:gridCol w:w="1984"/>
      </w:tblGrid>
      <w:tr w:rsidR="000226FB" w:rsidRPr="00FA117E" w:rsidTr="009D68C3">
        <w:trPr>
          <w:tblHeader/>
        </w:trPr>
        <w:tc>
          <w:tcPr>
            <w:tcW w:w="3260"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0226FB" w:rsidRPr="00FA117E" w:rsidRDefault="000226FB" w:rsidP="00BE3422">
            <w:pPr>
              <w:spacing w:line="288" w:lineRule="auto"/>
              <w:jc w:val="center"/>
              <w:rPr>
                <w:b/>
                <w:color w:val="FFFFFF"/>
                <w:lang w:val="en-GB"/>
              </w:rPr>
            </w:pPr>
            <w:r w:rsidRPr="00FA117E">
              <w:rPr>
                <w:b/>
                <w:color w:val="FFFFFF"/>
                <w:lang w:val="en-GB"/>
              </w:rPr>
              <w:t xml:space="preserve">Frequency range </w:t>
            </w:r>
          </w:p>
        </w:tc>
        <w:tc>
          <w:tcPr>
            <w:tcW w:w="4253"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0226FB" w:rsidRPr="00FA117E" w:rsidRDefault="000226FB" w:rsidP="00BE3422">
            <w:pPr>
              <w:spacing w:line="288" w:lineRule="auto"/>
              <w:jc w:val="center"/>
              <w:rPr>
                <w:b/>
                <w:color w:val="FFFFFF"/>
                <w:lang w:val="en-GB"/>
              </w:rPr>
            </w:pPr>
            <w:r w:rsidRPr="00FA117E">
              <w:rPr>
                <w:b/>
                <w:color w:val="FFFFFF"/>
                <w:lang w:val="en-GB"/>
              </w:rPr>
              <w:t xml:space="preserve">Maximum mean </w:t>
            </w:r>
          </w:p>
          <w:p w:rsidR="000226FB" w:rsidRPr="00FA117E" w:rsidRDefault="000226FB" w:rsidP="00BE3422">
            <w:pPr>
              <w:spacing w:line="288" w:lineRule="auto"/>
              <w:jc w:val="center"/>
              <w:rPr>
                <w:b/>
                <w:color w:val="FFFFFF"/>
                <w:lang w:val="en-GB"/>
              </w:rPr>
            </w:pPr>
            <w:proofErr w:type="spellStart"/>
            <w:r w:rsidRPr="00FA117E">
              <w:rPr>
                <w:b/>
                <w:color w:val="FFFFFF"/>
                <w:lang w:val="en-GB"/>
              </w:rPr>
              <w:t>e.i.r.p</w:t>
            </w:r>
            <w:proofErr w:type="spellEnd"/>
            <w:r w:rsidRPr="00FA117E">
              <w:rPr>
                <w:b/>
                <w:color w:val="FFFFFF"/>
                <w:lang w:val="en-GB"/>
              </w:rPr>
              <w:t xml:space="preserve">. </w:t>
            </w:r>
          </w:p>
        </w:tc>
        <w:tc>
          <w:tcPr>
            <w:tcW w:w="1984"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0226FB" w:rsidRPr="00FA117E" w:rsidRDefault="000226FB" w:rsidP="00BE3422">
            <w:pPr>
              <w:spacing w:line="288" w:lineRule="auto"/>
              <w:jc w:val="center"/>
              <w:rPr>
                <w:b/>
                <w:color w:val="FFFFFF"/>
                <w:lang w:val="en-GB"/>
              </w:rPr>
            </w:pPr>
            <w:r w:rsidRPr="00FA117E">
              <w:rPr>
                <w:b/>
                <w:color w:val="FFFFFF"/>
                <w:lang w:val="en-GB"/>
              </w:rPr>
              <w:t xml:space="preserve">Measurement </w:t>
            </w:r>
          </w:p>
          <w:p w:rsidR="000226FB" w:rsidRPr="00FA117E" w:rsidRDefault="000226FB" w:rsidP="00BE3422">
            <w:pPr>
              <w:spacing w:line="288" w:lineRule="auto"/>
              <w:jc w:val="center"/>
              <w:rPr>
                <w:b/>
                <w:color w:val="FFFFFF"/>
                <w:lang w:val="en-GB"/>
              </w:rPr>
            </w:pPr>
            <w:r w:rsidRPr="00FA117E">
              <w:rPr>
                <w:b/>
                <w:color w:val="FFFFFF"/>
                <w:lang w:val="en-GB"/>
              </w:rPr>
              <w:t>Bandwidth</w:t>
            </w:r>
          </w:p>
        </w:tc>
      </w:tr>
      <w:tr w:rsidR="000226FB" w:rsidRPr="00FA117E" w:rsidTr="009D68C3">
        <w:tc>
          <w:tcPr>
            <w:tcW w:w="3260"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 xml:space="preserve">Block assigned to the operator </w:t>
            </w:r>
          </w:p>
        </w:tc>
        <w:tc>
          <w:tcPr>
            <w:tcW w:w="4253"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rPr>
                <w:lang w:val="en-GB"/>
              </w:rPr>
            </w:pPr>
            <w:r w:rsidRPr="00FA117E">
              <w:rPr>
                <w:rFonts w:eastAsia="MS Mincho" w:cs="Arial"/>
                <w:lang w:val="en-GB" w:eastAsia="ja-JP"/>
              </w:rPr>
              <w:t xml:space="preserve">Not mandatory. </w:t>
            </w:r>
            <w:r w:rsidRPr="00FA117E">
              <w:rPr>
                <w:rFonts w:eastAsia="MS Mincho" w:cs="Arial"/>
                <w:lang w:val="en-GB" w:eastAsia="ja-JP"/>
              </w:rPr>
              <w:br/>
              <w:t xml:space="preserve">In case an upper bound is desired by an administration, a value of </w:t>
            </w:r>
            <w:r w:rsidRPr="00FA117E">
              <w:rPr>
                <w:szCs w:val="22"/>
                <w:lang w:val="en-GB"/>
              </w:rPr>
              <w:t xml:space="preserve">64 </w:t>
            </w:r>
            <w:proofErr w:type="spellStart"/>
            <w:r w:rsidRPr="00FA117E">
              <w:rPr>
                <w:szCs w:val="22"/>
                <w:lang w:val="en-GB"/>
              </w:rPr>
              <w:t>dBm</w:t>
            </w:r>
            <w:proofErr w:type="spellEnd"/>
            <w:r w:rsidRPr="00FA117E">
              <w:rPr>
                <w:szCs w:val="22"/>
                <w:lang w:val="en-GB"/>
              </w:rPr>
              <w:t>/5 MHz</w:t>
            </w:r>
            <w:r w:rsidRPr="00FA117E">
              <w:rPr>
                <w:rFonts w:eastAsia="MS Mincho" w:cs="Arial"/>
                <w:lang w:val="en-GB" w:eastAsia="ja-JP"/>
              </w:rPr>
              <w:t xml:space="preserve"> </w:t>
            </w:r>
            <w:r w:rsidR="00E623D6" w:rsidRPr="00FA117E">
              <w:rPr>
                <w:rFonts w:eastAsia="MS Mincho" w:cs="Arial"/>
                <w:lang w:val="en-GB" w:eastAsia="ja-JP"/>
              </w:rPr>
              <w:br/>
            </w:r>
            <w:r w:rsidR="009D68C3" w:rsidRPr="00FA117E">
              <w:rPr>
                <w:rFonts w:eastAsia="MS Mincho" w:cs="Arial"/>
                <w:lang w:val="en-GB" w:eastAsia="ja-JP"/>
              </w:rPr>
              <w:t>per antenna may be applied</w:t>
            </w:r>
          </w:p>
        </w:tc>
        <w:tc>
          <w:tcPr>
            <w:tcW w:w="1984"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5 MHz</w:t>
            </w:r>
          </w:p>
        </w:tc>
      </w:tr>
    </w:tbl>
    <w:p w:rsidR="000226FB" w:rsidRPr="00FA117E" w:rsidRDefault="000226FB" w:rsidP="009D68C3">
      <w:pPr>
        <w:pStyle w:val="ECCTabletitle"/>
        <w:keepNext/>
      </w:pPr>
      <w:bookmarkStart w:id="16" w:name="_Ref433364138"/>
      <w:r w:rsidRPr="00FA117E">
        <w:lastRenderedPageBreak/>
        <w:t>MFCN BS baseline requirements</w:t>
      </w:r>
      <w:bookmarkEnd w:id="16"/>
      <w:r w:rsidRPr="00FA117E">
        <w:t xml:space="preserve"> </w:t>
      </w:r>
    </w:p>
    <w:tbl>
      <w:tblPr>
        <w:tblW w:w="0" w:type="auto"/>
        <w:tblInd w:w="25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260"/>
        <w:gridCol w:w="2268"/>
        <w:gridCol w:w="2127"/>
        <w:gridCol w:w="1701"/>
      </w:tblGrid>
      <w:tr w:rsidR="000226FB" w:rsidRPr="00FA117E" w:rsidTr="00197ED2">
        <w:trPr>
          <w:tblHeader/>
        </w:trPr>
        <w:tc>
          <w:tcPr>
            <w:tcW w:w="3260"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0226FB" w:rsidRPr="00FA117E" w:rsidRDefault="000226FB" w:rsidP="003F565D">
            <w:pPr>
              <w:keepNext/>
              <w:keepLines/>
              <w:spacing w:line="288" w:lineRule="auto"/>
              <w:jc w:val="center"/>
              <w:rPr>
                <w:b/>
                <w:color w:val="FFFFFF"/>
                <w:lang w:val="en-GB"/>
              </w:rPr>
            </w:pPr>
            <w:r w:rsidRPr="00FA117E">
              <w:rPr>
                <w:b/>
                <w:color w:val="FFFFFF"/>
                <w:lang w:val="en-GB"/>
              </w:rPr>
              <w:t xml:space="preserve">Frequency range </w:t>
            </w:r>
          </w:p>
        </w:tc>
        <w:tc>
          <w:tcPr>
            <w:tcW w:w="2268" w:type="dxa"/>
            <w:tcBorders>
              <w:top w:val="single" w:sz="4" w:space="0" w:color="D2232A"/>
              <w:left w:val="single" w:sz="8" w:space="0" w:color="FFFFFF"/>
              <w:bottom w:val="single" w:sz="4" w:space="0" w:color="D2232A"/>
              <w:right w:val="single" w:sz="8" w:space="0" w:color="FFFFFF"/>
            </w:tcBorders>
            <w:shd w:val="clear" w:color="auto" w:fill="D2232A"/>
          </w:tcPr>
          <w:p w:rsidR="000226FB" w:rsidRPr="00FA117E" w:rsidRDefault="000226FB" w:rsidP="003F565D">
            <w:pPr>
              <w:keepNext/>
              <w:keepLines/>
              <w:spacing w:line="288" w:lineRule="auto"/>
              <w:jc w:val="center"/>
              <w:rPr>
                <w:b/>
                <w:color w:val="FFFFFF"/>
                <w:lang w:val="en-GB"/>
              </w:rPr>
            </w:pPr>
            <w:r w:rsidRPr="00FA117E">
              <w:rPr>
                <w:b/>
                <w:color w:val="FFFFFF"/>
                <w:lang w:val="en-GB"/>
              </w:rPr>
              <w:t>Bandwidth of protected block</w:t>
            </w:r>
          </w:p>
        </w:tc>
        <w:tc>
          <w:tcPr>
            <w:tcW w:w="2127"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0226FB" w:rsidRPr="00FA117E" w:rsidRDefault="000226FB" w:rsidP="003F565D">
            <w:pPr>
              <w:keepNext/>
              <w:keepLines/>
              <w:spacing w:line="288" w:lineRule="auto"/>
              <w:jc w:val="center"/>
              <w:rPr>
                <w:b/>
                <w:color w:val="FFFFFF"/>
                <w:lang w:val="en-GB"/>
              </w:rPr>
            </w:pPr>
            <w:r w:rsidRPr="00FA117E">
              <w:rPr>
                <w:b/>
                <w:color w:val="FFFFFF"/>
                <w:lang w:val="en-GB"/>
              </w:rPr>
              <w:t xml:space="preserve">Maximum mean </w:t>
            </w:r>
            <w:proofErr w:type="spellStart"/>
            <w:r w:rsidRPr="00FA117E">
              <w:rPr>
                <w:b/>
                <w:color w:val="FFFFFF"/>
                <w:lang w:val="en-GB"/>
              </w:rPr>
              <w:t>e.i.r.p</w:t>
            </w:r>
            <w:proofErr w:type="spellEnd"/>
            <w:r w:rsidRPr="00FA117E">
              <w:rPr>
                <w:b/>
                <w:color w:val="FFFFFF"/>
                <w:lang w:val="en-GB"/>
              </w:rPr>
              <w:t>.</w:t>
            </w:r>
          </w:p>
        </w:tc>
        <w:tc>
          <w:tcPr>
            <w:tcW w:w="1701"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0226FB" w:rsidRPr="00FA117E" w:rsidRDefault="000226FB" w:rsidP="003F565D">
            <w:pPr>
              <w:keepNext/>
              <w:keepLines/>
              <w:spacing w:line="288" w:lineRule="auto"/>
              <w:jc w:val="center"/>
              <w:rPr>
                <w:b/>
                <w:color w:val="FFFFFF"/>
                <w:lang w:val="en-GB"/>
              </w:rPr>
            </w:pPr>
            <w:r w:rsidRPr="00FA117E">
              <w:rPr>
                <w:b/>
                <w:color w:val="FFFFFF"/>
                <w:lang w:val="en-GB"/>
              </w:rPr>
              <w:t xml:space="preserve">Measurement </w:t>
            </w:r>
          </w:p>
          <w:p w:rsidR="000226FB" w:rsidRPr="00FA117E" w:rsidRDefault="00C700E0" w:rsidP="003F565D">
            <w:pPr>
              <w:keepNext/>
              <w:keepLines/>
              <w:spacing w:line="288" w:lineRule="auto"/>
              <w:jc w:val="center"/>
              <w:rPr>
                <w:b/>
                <w:color w:val="FFFFFF"/>
                <w:lang w:val="en-GB"/>
              </w:rPr>
            </w:pPr>
            <w:r w:rsidRPr="00FA117E">
              <w:rPr>
                <w:b/>
                <w:color w:val="FFFFFF"/>
                <w:lang w:val="en-GB"/>
              </w:rPr>
              <w:t>B</w:t>
            </w:r>
            <w:r w:rsidR="000226FB" w:rsidRPr="00FA117E">
              <w:rPr>
                <w:b/>
                <w:color w:val="FFFFFF"/>
                <w:lang w:val="en-GB"/>
              </w:rPr>
              <w:t>andwidth</w:t>
            </w:r>
          </w:p>
        </w:tc>
      </w:tr>
      <w:tr w:rsidR="000226FB" w:rsidRPr="00FA117E" w:rsidTr="00197ED2">
        <w:tc>
          <w:tcPr>
            <w:tcW w:w="3260" w:type="dxa"/>
            <w:vMerge w:val="restart"/>
            <w:tcBorders>
              <w:top w:val="single" w:sz="4" w:space="0" w:color="D2232A"/>
              <w:left w:val="single" w:sz="4" w:space="0" w:color="D2232A"/>
              <w:right w:val="single" w:sz="4" w:space="0" w:color="D2232A"/>
            </w:tcBorders>
            <w:vAlign w:val="center"/>
          </w:tcPr>
          <w:p w:rsidR="000226FB" w:rsidRPr="00FA117E" w:rsidRDefault="000226FB" w:rsidP="003F565D">
            <w:pPr>
              <w:keepNext/>
              <w:keepLines/>
              <w:spacing w:line="288" w:lineRule="auto"/>
              <w:rPr>
                <w:lang w:val="en-GB"/>
              </w:rPr>
            </w:pPr>
            <w:r w:rsidRPr="00FA117E">
              <w:rPr>
                <w:lang w:val="en-GB"/>
              </w:rPr>
              <w:t xml:space="preserve">Uplink </w:t>
            </w:r>
            <w:r w:rsidRPr="00FA117E">
              <w:rPr>
                <w:rFonts w:cs="Arial"/>
                <w:szCs w:val="20"/>
                <w:lang w:val="en-GB" w:eastAsia="en-GB"/>
              </w:rPr>
              <w:t xml:space="preserve">frequencies in the range </w:t>
            </w:r>
            <w:r w:rsidRPr="00FA117E">
              <w:rPr>
                <w:rFonts w:cs="Arial"/>
                <w:szCs w:val="20"/>
                <w:lang w:val="en-GB" w:eastAsia="en-GB"/>
              </w:rPr>
              <w:br/>
              <w:t>698-73</w:t>
            </w:r>
            <w:r w:rsidR="002653B9" w:rsidRPr="00FA117E">
              <w:rPr>
                <w:rFonts w:cs="Arial"/>
                <w:szCs w:val="20"/>
                <w:lang w:val="en-GB" w:eastAsia="en-GB"/>
              </w:rPr>
              <w:t>6</w:t>
            </w:r>
            <w:r w:rsidRPr="00FA117E">
              <w:rPr>
                <w:rFonts w:cs="Arial"/>
                <w:szCs w:val="20"/>
                <w:lang w:val="en-GB" w:eastAsia="en-GB"/>
              </w:rPr>
              <w:t xml:space="preserve"> MHz </w:t>
            </w:r>
            <w:r w:rsidRPr="00FA117E">
              <w:rPr>
                <w:vertAlign w:val="superscript"/>
                <w:lang w:val="en-GB"/>
              </w:rPr>
              <w:t>(2)</w:t>
            </w:r>
          </w:p>
        </w:tc>
        <w:tc>
          <w:tcPr>
            <w:tcW w:w="2268" w:type="dxa"/>
            <w:tcBorders>
              <w:top w:val="single" w:sz="4" w:space="0" w:color="D2232A"/>
              <w:left w:val="single" w:sz="4" w:space="0" w:color="D2232A"/>
              <w:bottom w:val="single" w:sz="4" w:space="0" w:color="D2232A"/>
              <w:right w:val="single" w:sz="4" w:space="0" w:color="D2232A"/>
            </w:tcBorders>
          </w:tcPr>
          <w:p w:rsidR="000226FB" w:rsidRPr="00FA117E" w:rsidRDefault="000226FB" w:rsidP="003F565D">
            <w:pPr>
              <w:keepNext/>
              <w:keepLines/>
              <w:spacing w:line="288" w:lineRule="auto"/>
              <w:rPr>
                <w:lang w:val="en-GB"/>
              </w:rPr>
            </w:pPr>
            <w:r w:rsidRPr="00FA117E">
              <w:rPr>
                <w:rFonts w:cs="Arial"/>
                <w:lang w:val="en-GB"/>
              </w:rPr>
              <w:t>≥</w:t>
            </w:r>
            <w:r w:rsidRPr="00FA117E">
              <w:rPr>
                <w:lang w:val="en-GB"/>
              </w:rPr>
              <w:t xml:space="preserve"> 5 MHz</w:t>
            </w:r>
          </w:p>
        </w:tc>
        <w:tc>
          <w:tcPr>
            <w:tcW w:w="2127"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rPr>
                <w:lang w:val="en-GB"/>
              </w:rPr>
            </w:pPr>
            <w:r w:rsidRPr="00FA117E">
              <w:rPr>
                <w:lang w:val="en-GB"/>
              </w:rPr>
              <w:t xml:space="preserve">-50 </w:t>
            </w:r>
            <w:proofErr w:type="spellStart"/>
            <w:r w:rsidRPr="00FA117E">
              <w:rPr>
                <w:lang w:val="en-GB"/>
              </w:rPr>
              <w:t>dBm</w:t>
            </w:r>
            <w:proofErr w:type="spellEnd"/>
            <w:r w:rsidRPr="00FA117E">
              <w:rPr>
                <w:lang w:val="en-GB"/>
              </w:rPr>
              <w:t xml:space="preserve"> per cell </w:t>
            </w:r>
            <w:r w:rsidR="003F565D" w:rsidRPr="00FA117E">
              <w:rPr>
                <w:sz w:val="16"/>
                <w:szCs w:val="16"/>
                <w:vertAlign w:val="superscript"/>
                <w:lang w:val="en-GB"/>
              </w:rPr>
              <w:t>(1)</w:t>
            </w:r>
          </w:p>
        </w:tc>
        <w:tc>
          <w:tcPr>
            <w:tcW w:w="1701"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rPr>
                <w:lang w:val="en-GB"/>
              </w:rPr>
            </w:pPr>
            <w:r w:rsidRPr="00FA117E">
              <w:rPr>
                <w:lang w:val="en-GB"/>
              </w:rPr>
              <w:t>5 MHz</w:t>
            </w:r>
          </w:p>
        </w:tc>
      </w:tr>
      <w:tr w:rsidR="000226FB" w:rsidRPr="00FA117E" w:rsidTr="00197ED2">
        <w:tc>
          <w:tcPr>
            <w:tcW w:w="3260" w:type="dxa"/>
            <w:vMerge/>
            <w:tcBorders>
              <w:left w:val="single" w:sz="4" w:space="0" w:color="D2232A"/>
              <w:right w:val="single" w:sz="4" w:space="0" w:color="D2232A"/>
            </w:tcBorders>
            <w:vAlign w:val="center"/>
          </w:tcPr>
          <w:p w:rsidR="000226FB" w:rsidRPr="00FA117E" w:rsidRDefault="000226FB" w:rsidP="003F565D">
            <w:pPr>
              <w:keepNext/>
              <w:keepLines/>
              <w:spacing w:line="288" w:lineRule="auto"/>
              <w:rPr>
                <w:lang w:val="en-GB"/>
              </w:rPr>
            </w:pPr>
          </w:p>
        </w:tc>
        <w:tc>
          <w:tcPr>
            <w:tcW w:w="2268" w:type="dxa"/>
            <w:tcBorders>
              <w:top w:val="single" w:sz="4" w:space="0" w:color="D2232A"/>
              <w:left w:val="single" w:sz="4" w:space="0" w:color="D2232A"/>
              <w:bottom w:val="single" w:sz="4" w:space="0" w:color="D2232A"/>
              <w:right w:val="single" w:sz="4" w:space="0" w:color="D2232A"/>
            </w:tcBorders>
          </w:tcPr>
          <w:p w:rsidR="000226FB" w:rsidRPr="00FA117E" w:rsidRDefault="000226FB" w:rsidP="003F565D">
            <w:pPr>
              <w:keepNext/>
              <w:keepLines/>
              <w:spacing w:line="288" w:lineRule="auto"/>
              <w:rPr>
                <w:lang w:val="en-GB"/>
              </w:rPr>
            </w:pPr>
            <w:r w:rsidRPr="00FA117E">
              <w:rPr>
                <w:lang w:val="en-GB"/>
              </w:rPr>
              <w:t xml:space="preserve">3 MHz </w:t>
            </w:r>
          </w:p>
        </w:tc>
        <w:tc>
          <w:tcPr>
            <w:tcW w:w="2127"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rPr>
                <w:lang w:val="en-GB"/>
              </w:rPr>
            </w:pPr>
            <w:r w:rsidRPr="00FA117E">
              <w:rPr>
                <w:lang w:val="en-GB"/>
              </w:rPr>
              <w:t xml:space="preserve">-52 </w:t>
            </w:r>
            <w:proofErr w:type="spellStart"/>
            <w:r w:rsidRPr="00FA117E">
              <w:rPr>
                <w:lang w:val="en-GB"/>
              </w:rPr>
              <w:t>dBm</w:t>
            </w:r>
            <w:proofErr w:type="spellEnd"/>
            <w:r w:rsidRPr="00FA117E">
              <w:rPr>
                <w:lang w:val="en-GB"/>
              </w:rPr>
              <w:t xml:space="preserve"> per cell </w:t>
            </w:r>
            <w:r w:rsidR="003F565D" w:rsidRPr="00FA117E">
              <w:rPr>
                <w:sz w:val="16"/>
                <w:szCs w:val="16"/>
                <w:vertAlign w:val="superscript"/>
                <w:lang w:val="en-GB"/>
              </w:rPr>
              <w:t>(1)</w:t>
            </w:r>
          </w:p>
        </w:tc>
        <w:tc>
          <w:tcPr>
            <w:tcW w:w="1701"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rPr>
                <w:lang w:val="en-GB"/>
              </w:rPr>
            </w:pPr>
            <w:r w:rsidRPr="00FA117E">
              <w:rPr>
                <w:lang w:val="en-GB"/>
              </w:rPr>
              <w:t xml:space="preserve">3 MHz </w:t>
            </w:r>
            <w:r w:rsidRPr="00FA117E">
              <w:rPr>
                <w:sz w:val="16"/>
                <w:szCs w:val="16"/>
                <w:vertAlign w:val="superscript"/>
                <w:lang w:val="en-GB"/>
              </w:rPr>
              <w:t>(2)</w:t>
            </w:r>
          </w:p>
        </w:tc>
      </w:tr>
      <w:tr w:rsidR="000226FB" w:rsidRPr="00FA117E" w:rsidTr="00197ED2">
        <w:tc>
          <w:tcPr>
            <w:tcW w:w="3260" w:type="dxa"/>
            <w:vMerge/>
            <w:tcBorders>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rPr>
                <w:lang w:val="en-GB"/>
              </w:rPr>
            </w:pPr>
          </w:p>
        </w:tc>
        <w:tc>
          <w:tcPr>
            <w:tcW w:w="2268" w:type="dxa"/>
            <w:tcBorders>
              <w:top w:val="single" w:sz="4" w:space="0" w:color="D2232A"/>
              <w:left w:val="single" w:sz="4" w:space="0" w:color="D2232A"/>
              <w:bottom w:val="single" w:sz="4" w:space="0" w:color="D2232A"/>
              <w:right w:val="single" w:sz="4" w:space="0" w:color="D2232A"/>
            </w:tcBorders>
          </w:tcPr>
          <w:p w:rsidR="000226FB" w:rsidRPr="00FA117E" w:rsidRDefault="000226FB" w:rsidP="003F565D">
            <w:pPr>
              <w:keepNext/>
              <w:keepLines/>
              <w:spacing w:line="288" w:lineRule="auto"/>
              <w:rPr>
                <w:lang w:val="en-GB"/>
              </w:rPr>
            </w:pPr>
            <w:r w:rsidRPr="00FA117E">
              <w:rPr>
                <w:rFonts w:cs="Arial"/>
                <w:lang w:val="en-GB"/>
              </w:rPr>
              <w:t>≤</w:t>
            </w:r>
            <w:r w:rsidRPr="00FA117E">
              <w:rPr>
                <w:lang w:val="en-GB"/>
              </w:rPr>
              <w:t xml:space="preserve"> 3 MHz</w:t>
            </w:r>
          </w:p>
        </w:tc>
        <w:tc>
          <w:tcPr>
            <w:tcW w:w="2127"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rPr>
                <w:lang w:val="en-GB"/>
              </w:rPr>
            </w:pPr>
            <w:r w:rsidRPr="00FA117E">
              <w:rPr>
                <w:lang w:val="en-GB"/>
              </w:rPr>
              <w:t xml:space="preserve">-64 </w:t>
            </w:r>
            <w:proofErr w:type="spellStart"/>
            <w:r w:rsidRPr="00FA117E">
              <w:rPr>
                <w:lang w:val="en-GB"/>
              </w:rPr>
              <w:t>dBm</w:t>
            </w:r>
            <w:proofErr w:type="spellEnd"/>
            <w:r w:rsidRPr="00FA117E">
              <w:rPr>
                <w:lang w:val="en-GB"/>
              </w:rPr>
              <w:t xml:space="preserve"> per cell </w:t>
            </w:r>
            <w:r w:rsidR="003F565D" w:rsidRPr="00FA117E">
              <w:rPr>
                <w:sz w:val="16"/>
                <w:szCs w:val="16"/>
                <w:vertAlign w:val="superscript"/>
                <w:lang w:val="en-GB"/>
              </w:rPr>
              <w:t>(1)</w:t>
            </w:r>
            <w:r w:rsidRPr="00FA117E">
              <w:rPr>
                <w:lang w:val="en-GB"/>
              </w:rPr>
              <w:t xml:space="preserve"> </w:t>
            </w:r>
          </w:p>
        </w:tc>
        <w:tc>
          <w:tcPr>
            <w:tcW w:w="1701"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rPr>
                <w:lang w:val="en-GB"/>
              </w:rPr>
            </w:pPr>
            <w:r w:rsidRPr="00FA117E">
              <w:rPr>
                <w:lang w:val="en-GB"/>
              </w:rPr>
              <w:t xml:space="preserve">200 kHz </w:t>
            </w:r>
            <w:r w:rsidRPr="00FA117E">
              <w:rPr>
                <w:sz w:val="16"/>
                <w:szCs w:val="16"/>
                <w:vertAlign w:val="superscript"/>
                <w:lang w:val="en-GB"/>
              </w:rPr>
              <w:t>(2)</w:t>
            </w:r>
          </w:p>
        </w:tc>
      </w:tr>
      <w:tr w:rsidR="000226FB" w:rsidRPr="00FA117E" w:rsidTr="003F565D">
        <w:tc>
          <w:tcPr>
            <w:tcW w:w="3260"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rPr>
                <w:lang w:val="en-GB"/>
              </w:rPr>
            </w:pPr>
            <w:r w:rsidRPr="00FA117E">
              <w:rPr>
                <w:lang w:val="en-GB"/>
              </w:rPr>
              <w:t xml:space="preserve">Uplink </w:t>
            </w:r>
            <w:r w:rsidRPr="00FA117E">
              <w:rPr>
                <w:rFonts w:cs="Arial"/>
                <w:szCs w:val="20"/>
                <w:lang w:val="en-GB" w:eastAsia="en-GB"/>
              </w:rPr>
              <w:t>frequencies</w:t>
            </w:r>
            <w:r w:rsidRPr="00FA117E">
              <w:rPr>
                <w:lang w:val="en-GB"/>
              </w:rPr>
              <w:t xml:space="preserve"> in the range </w:t>
            </w:r>
            <w:r w:rsidRPr="00FA117E">
              <w:rPr>
                <w:lang w:val="en-GB"/>
              </w:rPr>
              <w:br/>
              <w:t>832-862 MHz</w:t>
            </w:r>
          </w:p>
        </w:tc>
        <w:tc>
          <w:tcPr>
            <w:tcW w:w="2268"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rPr>
                <w:lang w:val="en-GB"/>
              </w:rPr>
            </w:pPr>
            <w:r w:rsidRPr="00FA117E">
              <w:rPr>
                <w:rFonts w:cs="Arial"/>
                <w:lang w:val="en-GB"/>
              </w:rPr>
              <w:t>≥</w:t>
            </w:r>
            <w:r w:rsidRPr="00FA117E">
              <w:rPr>
                <w:lang w:val="en-GB"/>
              </w:rPr>
              <w:t xml:space="preserve"> 5 MHz</w:t>
            </w:r>
          </w:p>
        </w:tc>
        <w:tc>
          <w:tcPr>
            <w:tcW w:w="2127"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rPr>
                <w:lang w:val="en-GB"/>
              </w:rPr>
            </w:pPr>
            <w:r w:rsidRPr="00FA117E">
              <w:rPr>
                <w:lang w:val="en-GB"/>
              </w:rPr>
              <w:t xml:space="preserve">-49 </w:t>
            </w:r>
            <w:proofErr w:type="spellStart"/>
            <w:r w:rsidRPr="00FA117E">
              <w:rPr>
                <w:lang w:val="en-GB"/>
              </w:rPr>
              <w:t>dBm</w:t>
            </w:r>
            <w:proofErr w:type="spellEnd"/>
            <w:r w:rsidRPr="00FA117E">
              <w:rPr>
                <w:lang w:val="en-GB"/>
              </w:rPr>
              <w:t xml:space="preserve"> per cell </w:t>
            </w:r>
            <w:r w:rsidR="003F565D" w:rsidRPr="00FA117E">
              <w:rPr>
                <w:sz w:val="16"/>
                <w:szCs w:val="16"/>
                <w:vertAlign w:val="superscript"/>
                <w:lang w:val="en-GB"/>
              </w:rPr>
              <w:t>(1)</w:t>
            </w:r>
          </w:p>
        </w:tc>
        <w:tc>
          <w:tcPr>
            <w:tcW w:w="1701"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rPr>
                <w:lang w:val="en-GB"/>
              </w:rPr>
            </w:pPr>
            <w:r w:rsidRPr="00FA117E">
              <w:rPr>
                <w:lang w:val="en-GB"/>
              </w:rPr>
              <w:t>5 MHz</w:t>
            </w:r>
          </w:p>
        </w:tc>
      </w:tr>
      <w:tr w:rsidR="000226FB" w:rsidRPr="00FA117E" w:rsidTr="00197ED2">
        <w:tc>
          <w:tcPr>
            <w:tcW w:w="3260" w:type="dxa"/>
            <w:vMerge w:val="restart"/>
            <w:tcBorders>
              <w:top w:val="single" w:sz="4" w:space="0" w:color="D2232A"/>
              <w:left w:val="single" w:sz="4" w:space="0" w:color="D2232A"/>
              <w:right w:val="single" w:sz="4" w:space="0" w:color="D2232A"/>
            </w:tcBorders>
            <w:vAlign w:val="center"/>
          </w:tcPr>
          <w:p w:rsidR="000226FB" w:rsidRPr="00FA117E" w:rsidRDefault="000226FB" w:rsidP="003F565D">
            <w:pPr>
              <w:keepNext/>
              <w:keepLines/>
              <w:spacing w:line="288" w:lineRule="auto"/>
              <w:rPr>
                <w:lang w:val="en-GB"/>
              </w:rPr>
            </w:pPr>
            <w:r w:rsidRPr="00FA117E">
              <w:rPr>
                <w:lang w:val="en-GB"/>
              </w:rPr>
              <w:t xml:space="preserve">Downlink frequencies in the range </w:t>
            </w:r>
            <w:r w:rsidRPr="00FA117E">
              <w:rPr>
                <w:lang w:val="en-GB"/>
              </w:rPr>
              <w:br/>
              <w:t xml:space="preserve">738-791 MHz </w:t>
            </w:r>
          </w:p>
        </w:tc>
        <w:tc>
          <w:tcPr>
            <w:tcW w:w="2268" w:type="dxa"/>
            <w:tcBorders>
              <w:top w:val="single" w:sz="4" w:space="0" w:color="D2232A"/>
              <w:left w:val="single" w:sz="4" w:space="0" w:color="D2232A"/>
              <w:bottom w:val="single" w:sz="4" w:space="0" w:color="D2232A"/>
              <w:right w:val="single" w:sz="4" w:space="0" w:color="D2232A"/>
            </w:tcBorders>
          </w:tcPr>
          <w:p w:rsidR="000226FB" w:rsidRPr="00FA117E" w:rsidRDefault="000226FB" w:rsidP="003F565D">
            <w:pPr>
              <w:keepNext/>
              <w:keepLines/>
              <w:spacing w:line="288" w:lineRule="auto"/>
              <w:rPr>
                <w:lang w:val="en-GB"/>
              </w:rPr>
            </w:pPr>
            <w:r w:rsidRPr="00FA117E">
              <w:rPr>
                <w:rFonts w:cs="Arial"/>
                <w:lang w:val="en-GB"/>
              </w:rPr>
              <w:t>≥</w:t>
            </w:r>
            <w:r w:rsidRPr="00FA117E">
              <w:rPr>
                <w:lang w:val="en-GB"/>
              </w:rPr>
              <w:t xml:space="preserve"> 5 MHz</w:t>
            </w:r>
          </w:p>
        </w:tc>
        <w:tc>
          <w:tcPr>
            <w:tcW w:w="2127"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rPr>
                <w:lang w:val="en-GB"/>
              </w:rPr>
            </w:pPr>
            <w:r w:rsidRPr="00FA117E">
              <w:rPr>
                <w:lang w:val="en-GB"/>
              </w:rPr>
              <w:t xml:space="preserve">16 </w:t>
            </w:r>
            <w:proofErr w:type="spellStart"/>
            <w:r w:rsidRPr="00FA117E">
              <w:rPr>
                <w:lang w:val="en-GB"/>
              </w:rPr>
              <w:t>dBm</w:t>
            </w:r>
            <w:proofErr w:type="spellEnd"/>
            <w:r w:rsidRPr="00FA117E">
              <w:rPr>
                <w:lang w:val="en-GB"/>
              </w:rPr>
              <w:t xml:space="preserve"> per antenna</w:t>
            </w:r>
          </w:p>
        </w:tc>
        <w:tc>
          <w:tcPr>
            <w:tcW w:w="1701"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rPr>
                <w:lang w:val="en-GB"/>
              </w:rPr>
            </w:pPr>
            <w:r w:rsidRPr="00FA117E">
              <w:rPr>
                <w:lang w:val="en-GB"/>
              </w:rPr>
              <w:t>5 MHz</w:t>
            </w:r>
          </w:p>
        </w:tc>
      </w:tr>
      <w:tr w:rsidR="000226FB" w:rsidRPr="00FA117E" w:rsidTr="00197ED2">
        <w:tc>
          <w:tcPr>
            <w:tcW w:w="3260" w:type="dxa"/>
            <w:vMerge/>
            <w:tcBorders>
              <w:left w:val="single" w:sz="4" w:space="0" w:color="D2232A"/>
              <w:right w:val="single" w:sz="4" w:space="0" w:color="D2232A"/>
            </w:tcBorders>
            <w:vAlign w:val="center"/>
          </w:tcPr>
          <w:p w:rsidR="000226FB" w:rsidRPr="00FA117E" w:rsidRDefault="000226FB" w:rsidP="003F565D">
            <w:pPr>
              <w:keepNext/>
              <w:keepLines/>
              <w:spacing w:line="288" w:lineRule="auto"/>
              <w:rPr>
                <w:lang w:val="en-GB"/>
              </w:rPr>
            </w:pPr>
          </w:p>
        </w:tc>
        <w:tc>
          <w:tcPr>
            <w:tcW w:w="2268" w:type="dxa"/>
            <w:tcBorders>
              <w:top w:val="single" w:sz="4" w:space="0" w:color="D2232A"/>
              <w:left w:val="single" w:sz="4" w:space="0" w:color="D2232A"/>
              <w:bottom w:val="single" w:sz="4" w:space="0" w:color="D2232A"/>
              <w:right w:val="single" w:sz="4" w:space="0" w:color="D2232A"/>
            </w:tcBorders>
          </w:tcPr>
          <w:p w:rsidR="000226FB" w:rsidRPr="00FA117E" w:rsidRDefault="000226FB" w:rsidP="003F565D">
            <w:pPr>
              <w:keepNext/>
              <w:keepLines/>
              <w:spacing w:line="288" w:lineRule="auto"/>
              <w:rPr>
                <w:lang w:val="en-GB"/>
              </w:rPr>
            </w:pPr>
            <w:r w:rsidRPr="00FA117E">
              <w:rPr>
                <w:lang w:val="en-GB"/>
              </w:rPr>
              <w:t xml:space="preserve">3 MHz </w:t>
            </w:r>
          </w:p>
        </w:tc>
        <w:tc>
          <w:tcPr>
            <w:tcW w:w="2127"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rPr>
                <w:lang w:val="en-GB"/>
              </w:rPr>
            </w:pPr>
            <w:r w:rsidRPr="00FA117E">
              <w:rPr>
                <w:lang w:val="en-GB"/>
              </w:rPr>
              <w:t xml:space="preserve">14 </w:t>
            </w:r>
            <w:proofErr w:type="spellStart"/>
            <w:r w:rsidRPr="00FA117E">
              <w:rPr>
                <w:lang w:val="en-GB"/>
              </w:rPr>
              <w:t>dBm</w:t>
            </w:r>
            <w:proofErr w:type="spellEnd"/>
            <w:r w:rsidRPr="00FA117E">
              <w:rPr>
                <w:lang w:val="en-GB"/>
              </w:rPr>
              <w:t xml:space="preserve"> per antenna</w:t>
            </w:r>
          </w:p>
        </w:tc>
        <w:tc>
          <w:tcPr>
            <w:tcW w:w="1701"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rPr>
                <w:lang w:val="en-GB"/>
              </w:rPr>
            </w:pPr>
            <w:r w:rsidRPr="00FA117E">
              <w:rPr>
                <w:lang w:val="en-GB"/>
              </w:rPr>
              <w:t>3 MHz</w:t>
            </w:r>
          </w:p>
        </w:tc>
      </w:tr>
      <w:tr w:rsidR="000226FB" w:rsidRPr="00FA117E" w:rsidTr="00197ED2">
        <w:tc>
          <w:tcPr>
            <w:tcW w:w="3260" w:type="dxa"/>
            <w:vMerge/>
            <w:tcBorders>
              <w:left w:val="single" w:sz="4" w:space="0" w:color="D2232A"/>
              <w:right w:val="single" w:sz="4" w:space="0" w:color="D2232A"/>
            </w:tcBorders>
            <w:vAlign w:val="center"/>
          </w:tcPr>
          <w:p w:rsidR="000226FB" w:rsidRPr="00FA117E" w:rsidRDefault="000226FB" w:rsidP="003F565D">
            <w:pPr>
              <w:keepNext/>
              <w:keepLines/>
              <w:spacing w:line="288" w:lineRule="auto"/>
              <w:rPr>
                <w:lang w:val="en-GB"/>
              </w:rPr>
            </w:pPr>
          </w:p>
        </w:tc>
        <w:tc>
          <w:tcPr>
            <w:tcW w:w="2268" w:type="dxa"/>
            <w:tcBorders>
              <w:top w:val="single" w:sz="4" w:space="0" w:color="D2232A"/>
              <w:left w:val="single" w:sz="4" w:space="0" w:color="D2232A"/>
              <w:bottom w:val="single" w:sz="4" w:space="0" w:color="D2232A"/>
              <w:right w:val="single" w:sz="4" w:space="0" w:color="D2232A"/>
            </w:tcBorders>
          </w:tcPr>
          <w:p w:rsidR="000226FB" w:rsidRPr="00FA117E" w:rsidRDefault="000226FB" w:rsidP="003F565D">
            <w:pPr>
              <w:keepNext/>
              <w:keepLines/>
              <w:spacing w:line="288" w:lineRule="auto"/>
              <w:rPr>
                <w:lang w:val="en-GB"/>
              </w:rPr>
            </w:pPr>
            <w:r w:rsidRPr="00FA117E">
              <w:rPr>
                <w:rFonts w:cs="Arial"/>
                <w:lang w:val="en-GB"/>
              </w:rPr>
              <w:t>&lt;</w:t>
            </w:r>
            <w:r w:rsidRPr="00FA117E">
              <w:rPr>
                <w:lang w:val="en-GB"/>
              </w:rPr>
              <w:t xml:space="preserve"> 3 MHz</w:t>
            </w:r>
          </w:p>
        </w:tc>
        <w:tc>
          <w:tcPr>
            <w:tcW w:w="2127"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rPr>
                <w:lang w:val="en-GB"/>
              </w:rPr>
            </w:pPr>
            <w:r w:rsidRPr="00FA117E">
              <w:rPr>
                <w:lang w:val="en-GB"/>
              </w:rPr>
              <w:t xml:space="preserve">2 </w:t>
            </w:r>
            <w:proofErr w:type="spellStart"/>
            <w:r w:rsidRPr="00FA117E">
              <w:rPr>
                <w:lang w:val="en-GB"/>
              </w:rPr>
              <w:t>dBm</w:t>
            </w:r>
            <w:proofErr w:type="spellEnd"/>
            <w:r w:rsidRPr="00FA117E">
              <w:rPr>
                <w:lang w:val="en-GB"/>
              </w:rPr>
              <w:t xml:space="preserve"> per antenna</w:t>
            </w:r>
          </w:p>
        </w:tc>
        <w:tc>
          <w:tcPr>
            <w:tcW w:w="1701"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jc w:val="both"/>
              <w:rPr>
                <w:lang w:val="en-GB"/>
              </w:rPr>
            </w:pPr>
            <w:r w:rsidRPr="00FA117E">
              <w:rPr>
                <w:lang w:val="en-GB"/>
              </w:rPr>
              <w:t>200 kHz</w:t>
            </w:r>
          </w:p>
        </w:tc>
      </w:tr>
      <w:tr w:rsidR="000226FB" w:rsidRPr="00FA117E" w:rsidTr="003F565D">
        <w:tc>
          <w:tcPr>
            <w:tcW w:w="3260" w:type="dxa"/>
            <w:tcBorders>
              <w:left w:val="single" w:sz="4" w:space="0" w:color="D2232A"/>
              <w:right w:val="single" w:sz="4" w:space="0" w:color="D2232A"/>
            </w:tcBorders>
            <w:vAlign w:val="center"/>
          </w:tcPr>
          <w:p w:rsidR="000226FB" w:rsidRPr="00FA117E" w:rsidRDefault="000226FB" w:rsidP="003F565D">
            <w:pPr>
              <w:keepNext/>
              <w:keepLines/>
              <w:spacing w:line="288" w:lineRule="auto"/>
              <w:rPr>
                <w:lang w:val="en-GB"/>
              </w:rPr>
            </w:pPr>
            <w:r w:rsidRPr="00FA117E">
              <w:rPr>
                <w:lang w:val="en-GB"/>
              </w:rPr>
              <w:t xml:space="preserve">Downlink </w:t>
            </w:r>
            <w:r w:rsidRPr="00FA117E">
              <w:rPr>
                <w:rFonts w:cs="Arial"/>
                <w:szCs w:val="20"/>
                <w:lang w:val="en-GB" w:eastAsia="en-GB"/>
              </w:rPr>
              <w:t>frequencies</w:t>
            </w:r>
            <w:r w:rsidRPr="00FA117E">
              <w:rPr>
                <w:lang w:val="en-GB"/>
              </w:rPr>
              <w:t xml:space="preserve"> in the range 791-821 MHz</w:t>
            </w:r>
          </w:p>
        </w:tc>
        <w:tc>
          <w:tcPr>
            <w:tcW w:w="2268"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rPr>
                <w:rFonts w:cs="Arial"/>
                <w:lang w:val="en-GB"/>
              </w:rPr>
            </w:pPr>
            <w:r w:rsidRPr="00FA117E">
              <w:rPr>
                <w:rFonts w:cs="Arial"/>
                <w:lang w:val="en-GB"/>
              </w:rPr>
              <w:t>≥</w:t>
            </w:r>
            <w:r w:rsidRPr="00FA117E">
              <w:rPr>
                <w:lang w:val="en-GB"/>
              </w:rPr>
              <w:t xml:space="preserve"> 5 MHz</w:t>
            </w:r>
          </w:p>
        </w:tc>
        <w:tc>
          <w:tcPr>
            <w:tcW w:w="2127"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rPr>
                <w:lang w:val="en-GB"/>
              </w:rPr>
            </w:pPr>
            <w:r w:rsidRPr="00FA117E">
              <w:rPr>
                <w:lang w:val="en-GB"/>
              </w:rPr>
              <w:t xml:space="preserve">16 </w:t>
            </w:r>
            <w:proofErr w:type="spellStart"/>
            <w:r w:rsidRPr="00FA117E">
              <w:rPr>
                <w:lang w:val="en-GB"/>
              </w:rPr>
              <w:t>dBm</w:t>
            </w:r>
            <w:proofErr w:type="spellEnd"/>
            <w:r w:rsidRPr="00FA117E">
              <w:rPr>
                <w:lang w:val="en-GB"/>
              </w:rPr>
              <w:t xml:space="preserve"> per antenna</w:t>
            </w:r>
          </w:p>
        </w:tc>
        <w:tc>
          <w:tcPr>
            <w:tcW w:w="1701"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3F565D">
            <w:pPr>
              <w:keepNext/>
              <w:keepLines/>
              <w:spacing w:line="288" w:lineRule="auto"/>
              <w:jc w:val="both"/>
              <w:rPr>
                <w:lang w:val="en-GB"/>
              </w:rPr>
            </w:pPr>
            <w:r w:rsidRPr="00FA117E">
              <w:rPr>
                <w:lang w:val="en-GB"/>
              </w:rPr>
              <w:t xml:space="preserve">5 MHz </w:t>
            </w:r>
          </w:p>
        </w:tc>
      </w:tr>
    </w:tbl>
    <w:p w:rsidR="006F75CE" w:rsidRPr="00FA117E" w:rsidRDefault="000226FB" w:rsidP="00512645">
      <w:pPr>
        <w:pStyle w:val="ECCTablenote"/>
        <w:rPr>
          <w:lang w:eastAsia="de-DE"/>
        </w:rPr>
      </w:pPr>
      <w:r w:rsidRPr="00814850">
        <w:rPr>
          <w:vertAlign w:val="superscript"/>
          <w:lang w:eastAsia="de-DE"/>
        </w:rPr>
        <w:t>(1)</w:t>
      </w:r>
      <w:r w:rsidRPr="00FA117E">
        <w:rPr>
          <w:lang w:eastAsia="de-DE"/>
        </w:rPr>
        <w:t xml:space="preserve"> In a multi sector site “cell” refers to one of the sectors. </w:t>
      </w:r>
    </w:p>
    <w:p w:rsidR="000226FB" w:rsidRPr="00FA117E" w:rsidRDefault="000226FB" w:rsidP="00512645">
      <w:pPr>
        <w:pStyle w:val="ECCTablenote"/>
        <w:rPr>
          <w:lang w:eastAsia="de-DE"/>
        </w:rPr>
      </w:pPr>
      <w:r w:rsidRPr="00FA117E">
        <w:rPr>
          <w:vertAlign w:val="superscript"/>
          <w:lang w:eastAsia="de-DE"/>
        </w:rPr>
        <w:t>(2)</w:t>
      </w:r>
      <w:r w:rsidRPr="00FA117E">
        <w:rPr>
          <w:lang w:eastAsia="de-DE"/>
        </w:rPr>
        <w:t xml:space="preserve"> Administrations may select a measurement bandwidth of 3 MHz or 200 kHz for protection of block s</w:t>
      </w:r>
      <w:r w:rsidR="00814850">
        <w:rPr>
          <w:lang w:eastAsia="de-DE"/>
        </w:rPr>
        <w:t xml:space="preserve">ize 3 MHz depending on national </w:t>
      </w:r>
      <w:r w:rsidRPr="00FA117E">
        <w:rPr>
          <w:lang w:eastAsia="de-DE"/>
        </w:rPr>
        <w:t xml:space="preserve">options implemented. </w:t>
      </w:r>
    </w:p>
    <w:p w:rsidR="000226FB" w:rsidRPr="00FA117E" w:rsidRDefault="000226FB" w:rsidP="009D68C3">
      <w:pPr>
        <w:pStyle w:val="ECCTabletitle"/>
      </w:pPr>
      <w:bookmarkStart w:id="17" w:name="_Ref433364162"/>
      <w:r w:rsidRPr="00FA117E">
        <w:t>MFCN BS transition requirements in the range 733-788 MHz</w:t>
      </w:r>
      <w:bookmarkEnd w:id="17"/>
    </w:p>
    <w:tbl>
      <w:tblPr>
        <w:tblW w:w="0" w:type="auto"/>
        <w:tblInd w:w="25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103"/>
        <w:gridCol w:w="2552"/>
        <w:gridCol w:w="1701"/>
      </w:tblGrid>
      <w:tr w:rsidR="000226FB" w:rsidRPr="00FA117E" w:rsidTr="00197ED2">
        <w:trPr>
          <w:tblHeader/>
        </w:trPr>
        <w:tc>
          <w:tcPr>
            <w:tcW w:w="5103"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0226FB" w:rsidRPr="00FA117E" w:rsidRDefault="000226FB" w:rsidP="00BE3422">
            <w:pPr>
              <w:spacing w:line="288" w:lineRule="auto"/>
              <w:jc w:val="center"/>
              <w:rPr>
                <w:b/>
                <w:color w:val="FFFFFF"/>
                <w:lang w:val="en-GB"/>
              </w:rPr>
            </w:pPr>
            <w:r w:rsidRPr="00FA117E">
              <w:rPr>
                <w:b/>
                <w:color w:val="FFFFFF"/>
                <w:lang w:val="en-GB"/>
              </w:rPr>
              <w:t xml:space="preserve">Frequency range </w:t>
            </w:r>
          </w:p>
        </w:tc>
        <w:tc>
          <w:tcPr>
            <w:tcW w:w="2552"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0226FB" w:rsidRPr="00FA117E" w:rsidRDefault="000226FB" w:rsidP="00BE3422">
            <w:pPr>
              <w:spacing w:line="288" w:lineRule="auto"/>
              <w:jc w:val="center"/>
              <w:rPr>
                <w:b/>
                <w:color w:val="FFFFFF"/>
                <w:lang w:val="en-GB"/>
              </w:rPr>
            </w:pPr>
            <w:r w:rsidRPr="00FA117E">
              <w:rPr>
                <w:b/>
                <w:color w:val="FFFFFF"/>
                <w:lang w:val="en-GB"/>
              </w:rPr>
              <w:t xml:space="preserve">Maximum mean </w:t>
            </w:r>
            <w:r w:rsidRPr="00FA117E">
              <w:rPr>
                <w:b/>
                <w:color w:val="FFFFFF"/>
                <w:lang w:val="en-GB"/>
              </w:rPr>
              <w:br/>
            </w:r>
            <w:proofErr w:type="spellStart"/>
            <w:r w:rsidRPr="00FA117E">
              <w:rPr>
                <w:b/>
                <w:color w:val="FFFFFF"/>
                <w:lang w:val="en-GB"/>
              </w:rPr>
              <w:t>e.i.r.p</w:t>
            </w:r>
            <w:proofErr w:type="spellEnd"/>
            <w:r w:rsidRPr="00FA117E">
              <w:rPr>
                <w:b/>
                <w:color w:val="FFFFFF"/>
                <w:lang w:val="en-GB"/>
              </w:rPr>
              <w:t>.</w:t>
            </w:r>
          </w:p>
        </w:tc>
        <w:tc>
          <w:tcPr>
            <w:tcW w:w="1701"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0226FB" w:rsidRPr="00FA117E" w:rsidRDefault="000226FB" w:rsidP="00BE3422">
            <w:pPr>
              <w:spacing w:line="288" w:lineRule="auto"/>
              <w:jc w:val="center"/>
              <w:rPr>
                <w:b/>
                <w:color w:val="FFFFFF"/>
                <w:lang w:val="en-GB"/>
              </w:rPr>
            </w:pPr>
            <w:r w:rsidRPr="00FA117E">
              <w:rPr>
                <w:b/>
                <w:color w:val="FFFFFF"/>
                <w:lang w:val="en-GB"/>
              </w:rPr>
              <w:t xml:space="preserve">Measurement </w:t>
            </w:r>
          </w:p>
          <w:p w:rsidR="000226FB" w:rsidRPr="00FA117E" w:rsidRDefault="00E13D0E" w:rsidP="00BE3422">
            <w:pPr>
              <w:spacing w:line="288" w:lineRule="auto"/>
              <w:jc w:val="center"/>
              <w:rPr>
                <w:b/>
                <w:color w:val="FFFFFF"/>
                <w:lang w:val="en-GB"/>
              </w:rPr>
            </w:pPr>
            <w:r w:rsidRPr="00FA117E">
              <w:rPr>
                <w:b/>
                <w:color w:val="FFFFFF"/>
                <w:lang w:val="en-GB"/>
              </w:rPr>
              <w:t>B</w:t>
            </w:r>
            <w:r w:rsidR="000226FB" w:rsidRPr="00FA117E">
              <w:rPr>
                <w:b/>
                <w:color w:val="FFFFFF"/>
                <w:lang w:val="en-GB"/>
              </w:rPr>
              <w:t>andwidth</w:t>
            </w:r>
          </w:p>
        </w:tc>
      </w:tr>
      <w:tr w:rsidR="000226FB" w:rsidRPr="00FA117E" w:rsidTr="00197ED2">
        <w:tc>
          <w:tcPr>
            <w:tcW w:w="5103"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–10 to –5 MHz from lower block edge</w:t>
            </w:r>
          </w:p>
        </w:tc>
        <w:tc>
          <w:tcPr>
            <w:tcW w:w="2552"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 xml:space="preserve">18 </w:t>
            </w:r>
            <w:proofErr w:type="spellStart"/>
            <w:r w:rsidRPr="00FA117E">
              <w:rPr>
                <w:lang w:val="en-GB"/>
              </w:rPr>
              <w:t>dBm</w:t>
            </w:r>
            <w:proofErr w:type="spellEnd"/>
            <w:r w:rsidRPr="00FA117E">
              <w:rPr>
                <w:lang w:val="en-GB"/>
              </w:rPr>
              <w:t xml:space="preserve"> per antenna</w:t>
            </w:r>
          </w:p>
        </w:tc>
        <w:tc>
          <w:tcPr>
            <w:tcW w:w="1701"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5 MHz</w:t>
            </w:r>
          </w:p>
        </w:tc>
      </w:tr>
      <w:tr w:rsidR="000226FB" w:rsidRPr="00FA117E" w:rsidTr="00197ED2">
        <w:tc>
          <w:tcPr>
            <w:tcW w:w="5103"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–5 to 0 MHz from lower block edge</w:t>
            </w:r>
          </w:p>
        </w:tc>
        <w:tc>
          <w:tcPr>
            <w:tcW w:w="2552"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 xml:space="preserve">22 </w:t>
            </w:r>
            <w:proofErr w:type="spellStart"/>
            <w:r w:rsidRPr="00FA117E">
              <w:rPr>
                <w:lang w:val="en-GB"/>
              </w:rPr>
              <w:t>dBm</w:t>
            </w:r>
            <w:proofErr w:type="spellEnd"/>
            <w:r w:rsidRPr="00FA117E">
              <w:rPr>
                <w:lang w:val="en-GB"/>
              </w:rPr>
              <w:t xml:space="preserve"> per antenna</w:t>
            </w:r>
          </w:p>
        </w:tc>
        <w:tc>
          <w:tcPr>
            <w:tcW w:w="1701"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5 MHz</w:t>
            </w:r>
          </w:p>
        </w:tc>
      </w:tr>
      <w:tr w:rsidR="000226FB" w:rsidRPr="00FA117E" w:rsidTr="00197ED2">
        <w:tc>
          <w:tcPr>
            <w:tcW w:w="5103"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0 to +5 MHz from upper block edge</w:t>
            </w:r>
          </w:p>
        </w:tc>
        <w:tc>
          <w:tcPr>
            <w:tcW w:w="2552"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 xml:space="preserve">22 </w:t>
            </w:r>
            <w:proofErr w:type="spellStart"/>
            <w:r w:rsidRPr="00FA117E">
              <w:rPr>
                <w:lang w:val="en-GB"/>
              </w:rPr>
              <w:t>dBm</w:t>
            </w:r>
            <w:proofErr w:type="spellEnd"/>
            <w:r w:rsidRPr="00FA117E">
              <w:rPr>
                <w:lang w:val="en-GB"/>
              </w:rPr>
              <w:t xml:space="preserve"> per antenna</w:t>
            </w:r>
          </w:p>
        </w:tc>
        <w:tc>
          <w:tcPr>
            <w:tcW w:w="1701"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5 MHz</w:t>
            </w:r>
          </w:p>
        </w:tc>
      </w:tr>
      <w:tr w:rsidR="000226FB" w:rsidRPr="00FA117E" w:rsidTr="00197ED2">
        <w:tc>
          <w:tcPr>
            <w:tcW w:w="5103"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+5 to +10 MHz from upper block edge</w:t>
            </w:r>
          </w:p>
        </w:tc>
        <w:tc>
          <w:tcPr>
            <w:tcW w:w="2552"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 xml:space="preserve">18 </w:t>
            </w:r>
            <w:proofErr w:type="spellStart"/>
            <w:r w:rsidRPr="00FA117E">
              <w:rPr>
                <w:lang w:val="en-GB"/>
              </w:rPr>
              <w:t>dBm</w:t>
            </w:r>
            <w:proofErr w:type="spellEnd"/>
            <w:r w:rsidRPr="00FA117E">
              <w:rPr>
                <w:lang w:val="en-GB"/>
              </w:rPr>
              <w:t xml:space="preserve"> per antenna</w:t>
            </w:r>
          </w:p>
        </w:tc>
        <w:tc>
          <w:tcPr>
            <w:tcW w:w="1701"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5 MHz</w:t>
            </w:r>
          </w:p>
        </w:tc>
      </w:tr>
    </w:tbl>
    <w:p w:rsidR="000226FB" w:rsidRPr="00FA117E" w:rsidRDefault="000226FB" w:rsidP="000226FB">
      <w:pPr>
        <w:spacing w:after="240"/>
        <w:jc w:val="both"/>
        <w:rPr>
          <w:lang w:val="en-GB"/>
        </w:rPr>
      </w:pPr>
    </w:p>
    <w:p w:rsidR="000226FB" w:rsidRPr="00FA117E" w:rsidRDefault="000226FB" w:rsidP="009D68C3">
      <w:pPr>
        <w:pStyle w:val="ECCTabletitle"/>
      </w:pPr>
      <w:bookmarkStart w:id="18" w:name="_Ref433364152"/>
      <w:r w:rsidRPr="00FA117E">
        <w:t>MFCN BS transition requirements above 788 MHz</w:t>
      </w:r>
      <w:bookmarkEnd w:id="18"/>
    </w:p>
    <w:tbl>
      <w:tblPr>
        <w:tblW w:w="0" w:type="auto"/>
        <w:jc w:val="center"/>
        <w:tblInd w:w="-377"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8"/>
        <w:gridCol w:w="2552"/>
        <w:gridCol w:w="1674"/>
      </w:tblGrid>
      <w:tr w:rsidR="000226FB" w:rsidRPr="00FA117E" w:rsidTr="00197ED2">
        <w:trPr>
          <w:tblHeader/>
          <w:jc w:val="center"/>
        </w:trPr>
        <w:tc>
          <w:tcPr>
            <w:tcW w:w="5078"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0226FB" w:rsidRPr="00FA117E" w:rsidRDefault="000226FB" w:rsidP="00BE3422">
            <w:pPr>
              <w:spacing w:line="288" w:lineRule="auto"/>
              <w:jc w:val="center"/>
              <w:rPr>
                <w:b/>
                <w:color w:val="FFFFFF"/>
                <w:lang w:val="en-GB"/>
              </w:rPr>
            </w:pPr>
            <w:r w:rsidRPr="00FA117E">
              <w:rPr>
                <w:b/>
                <w:color w:val="FFFFFF"/>
                <w:lang w:val="en-GB"/>
              </w:rPr>
              <w:t xml:space="preserve">Frequency range </w:t>
            </w:r>
          </w:p>
        </w:tc>
        <w:tc>
          <w:tcPr>
            <w:tcW w:w="2552"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0226FB" w:rsidRPr="00FA117E" w:rsidRDefault="000226FB" w:rsidP="00BE3422">
            <w:pPr>
              <w:spacing w:line="288" w:lineRule="auto"/>
              <w:jc w:val="center"/>
              <w:rPr>
                <w:b/>
                <w:color w:val="FFFFFF"/>
                <w:lang w:val="en-GB"/>
              </w:rPr>
            </w:pPr>
            <w:r w:rsidRPr="00FA117E">
              <w:rPr>
                <w:b/>
                <w:color w:val="FFFFFF"/>
                <w:lang w:val="en-GB"/>
              </w:rPr>
              <w:t xml:space="preserve">Maximum mean </w:t>
            </w:r>
            <w:r w:rsidRPr="00FA117E">
              <w:rPr>
                <w:b/>
                <w:color w:val="FFFFFF"/>
                <w:lang w:val="en-GB"/>
              </w:rPr>
              <w:br/>
            </w:r>
            <w:proofErr w:type="spellStart"/>
            <w:r w:rsidRPr="00FA117E">
              <w:rPr>
                <w:b/>
                <w:color w:val="FFFFFF"/>
                <w:lang w:val="en-GB"/>
              </w:rPr>
              <w:t>e.i.r.p</w:t>
            </w:r>
            <w:proofErr w:type="spellEnd"/>
            <w:r w:rsidRPr="00FA117E">
              <w:rPr>
                <w:b/>
                <w:color w:val="FFFFFF"/>
                <w:lang w:val="en-GB"/>
              </w:rPr>
              <w:t>.</w:t>
            </w:r>
          </w:p>
        </w:tc>
        <w:tc>
          <w:tcPr>
            <w:tcW w:w="1674"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0226FB" w:rsidRPr="00FA117E" w:rsidRDefault="000226FB" w:rsidP="00197ED2">
            <w:pPr>
              <w:spacing w:line="288" w:lineRule="auto"/>
              <w:jc w:val="center"/>
              <w:rPr>
                <w:b/>
                <w:color w:val="FFFFFF"/>
                <w:lang w:val="en-GB"/>
              </w:rPr>
            </w:pPr>
            <w:r w:rsidRPr="00FA117E">
              <w:rPr>
                <w:b/>
                <w:color w:val="FFFFFF"/>
                <w:lang w:val="en-GB"/>
              </w:rPr>
              <w:t>Measurement</w:t>
            </w:r>
            <w:r w:rsidR="00197ED2" w:rsidRPr="00FA117E">
              <w:rPr>
                <w:b/>
                <w:color w:val="FFFFFF"/>
                <w:lang w:val="en-GB"/>
              </w:rPr>
              <w:br/>
            </w:r>
            <w:r w:rsidRPr="00FA117E">
              <w:rPr>
                <w:b/>
                <w:color w:val="FFFFFF"/>
                <w:lang w:val="en-GB"/>
              </w:rPr>
              <w:t>bandwidth</w:t>
            </w:r>
          </w:p>
        </w:tc>
      </w:tr>
      <w:tr w:rsidR="000226FB" w:rsidRPr="00FA117E" w:rsidTr="00197ED2">
        <w:trPr>
          <w:jc w:val="center"/>
        </w:trPr>
        <w:tc>
          <w:tcPr>
            <w:tcW w:w="5078"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791-796 MH</w:t>
            </w:r>
            <w:r w:rsidR="003F565D" w:rsidRPr="00FA117E">
              <w:rPr>
                <w:lang w:val="en-GB"/>
              </w:rPr>
              <w:t xml:space="preserve">z for block with upper edge at </w:t>
            </w:r>
            <w:r w:rsidRPr="00FA117E">
              <w:rPr>
                <w:lang w:val="en-GB"/>
              </w:rPr>
              <w:t>788 MHz</w:t>
            </w:r>
          </w:p>
        </w:tc>
        <w:tc>
          <w:tcPr>
            <w:tcW w:w="2552"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 xml:space="preserve">19 </w:t>
            </w:r>
            <w:proofErr w:type="spellStart"/>
            <w:r w:rsidRPr="00FA117E">
              <w:rPr>
                <w:lang w:val="en-GB"/>
              </w:rPr>
              <w:t>dBm</w:t>
            </w:r>
            <w:proofErr w:type="spellEnd"/>
            <w:r w:rsidRPr="00FA117E">
              <w:rPr>
                <w:lang w:val="en-GB"/>
              </w:rPr>
              <w:t xml:space="preserve"> per antenna</w:t>
            </w:r>
          </w:p>
        </w:tc>
        <w:tc>
          <w:tcPr>
            <w:tcW w:w="1674"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 xml:space="preserve">5 MHz </w:t>
            </w:r>
          </w:p>
        </w:tc>
      </w:tr>
      <w:tr w:rsidR="000226FB" w:rsidRPr="00FA117E" w:rsidTr="00197ED2">
        <w:trPr>
          <w:jc w:val="center"/>
        </w:trPr>
        <w:tc>
          <w:tcPr>
            <w:tcW w:w="5078"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791-796 MHz for block with upper edge at</w:t>
            </w:r>
            <w:r w:rsidR="003F565D" w:rsidRPr="00FA117E">
              <w:rPr>
                <w:lang w:val="en-GB"/>
              </w:rPr>
              <w:t xml:space="preserve"> </w:t>
            </w:r>
            <w:r w:rsidRPr="00FA117E">
              <w:rPr>
                <w:lang w:val="en-GB"/>
              </w:rPr>
              <w:t>783 MHz</w:t>
            </w:r>
          </w:p>
        </w:tc>
        <w:tc>
          <w:tcPr>
            <w:tcW w:w="2552"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 xml:space="preserve">17 </w:t>
            </w:r>
            <w:proofErr w:type="spellStart"/>
            <w:r w:rsidRPr="00FA117E">
              <w:rPr>
                <w:lang w:val="en-GB"/>
              </w:rPr>
              <w:t>dBm</w:t>
            </w:r>
            <w:proofErr w:type="spellEnd"/>
            <w:r w:rsidRPr="00FA117E">
              <w:rPr>
                <w:lang w:val="en-GB"/>
              </w:rPr>
              <w:t xml:space="preserve"> per antenna</w:t>
            </w:r>
          </w:p>
        </w:tc>
        <w:tc>
          <w:tcPr>
            <w:tcW w:w="1674"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 xml:space="preserve">5 MHz </w:t>
            </w:r>
          </w:p>
        </w:tc>
      </w:tr>
      <w:tr w:rsidR="000226FB" w:rsidRPr="00FA117E" w:rsidTr="00197ED2">
        <w:trPr>
          <w:jc w:val="center"/>
        </w:trPr>
        <w:tc>
          <w:tcPr>
            <w:tcW w:w="5078"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796-801 MH</w:t>
            </w:r>
            <w:r w:rsidR="003F565D" w:rsidRPr="00FA117E">
              <w:rPr>
                <w:lang w:val="en-GB"/>
              </w:rPr>
              <w:t xml:space="preserve">z for block with upper edge at </w:t>
            </w:r>
            <w:r w:rsidRPr="00FA117E">
              <w:rPr>
                <w:lang w:val="en-GB"/>
              </w:rPr>
              <w:t>788 MHz</w:t>
            </w:r>
          </w:p>
        </w:tc>
        <w:tc>
          <w:tcPr>
            <w:tcW w:w="2552"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 xml:space="preserve">17 </w:t>
            </w:r>
            <w:proofErr w:type="spellStart"/>
            <w:r w:rsidRPr="00FA117E">
              <w:rPr>
                <w:lang w:val="en-GB"/>
              </w:rPr>
              <w:t>dBm</w:t>
            </w:r>
            <w:proofErr w:type="spellEnd"/>
            <w:r w:rsidRPr="00FA117E">
              <w:rPr>
                <w:lang w:val="en-GB"/>
              </w:rPr>
              <w:t xml:space="preserve"> per antenna</w:t>
            </w:r>
          </w:p>
        </w:tc>
        <w:tc>
          <w:tcPr>
            <w:tcW w:w="1674"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5 MHz</w:t>
            </w:r>
          </w:p>
        </w:tc>
      </w:tr>
      <w:tr w:rsidR="000226FB" w:rsidRPr="00FA117E" w:rsidTr="00197ED2">
        <w:trPr>
          <w:jc w:val="center"/>
        </w:trPr>
        <w:tc>
          <w:tcPr>
            <w:tcW w:w="5078"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788-791 MH</w:t>
            </w:r>
            <w:r w:rsidR="003F565D" w:rsidRPr="00FA117E">
              <w:rPr>
                <w:lang w:val="en-GB"/>
              </w:rPr>
              <w:t xml:space="preserve">z for block with upper edge at </w:t>
            </w:r>
            <w:r w:rsidRPr="00FA117E">
              <w:rPr>
                <w:lang w:val="en-GB"/>
              </w:rPr>
              <w:t xml:space="preserve">788 MHz </w:t>
            </w:r>
          </w:p>
        </w:tc>
        <w:tc>
          <w:tcPr>
            <w:tcW w:w="2552"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 xml:space="preserve">21 </w:t>
            </w:r>
            <w:proofErr w:type="spellStart"/>
            <w:r w:rsidRPr="00FA117E">
              <w:rPr>
                <w:lang w:val="en-GB"/>
              </w:rPr>
              <w:t>dBm</w:t>
            </w:r>
            <w:proofErr w:type="spellEnd"/>
            <w:r w:rsidRPr="00FA117E">
              <w:rPr>
                <w:lang w:val="en-GB"/>
              </w:rPr>
              <w:t xml:space="preserve"> per antenna</w:t>
            </w:r>
          </w:p>
        </w:tc>
        <w:tc>
          <w:tcPr>
            <w:tcW w:w="1674"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3 MHz</w:t>
            </w:r>
          </w:p>
        </w:tc>
      </w:tr>
      <w:tr w:rsidR="000226FB" w:rsidRPr="00FA117E" w:rsidTr="00197ED2">
        <w:trPr>
          <w:jc w:val="center"/>
        </w:trPr>
        <w:tc>
          <w:tcPr>
            <w:tcW w:w="5078"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788-791 MH</w:t>
            </w:r>
            <w:r w:rsidR="003F565D" w:rsidRPr="00FA117E">
              <w:rPr>
                <w:lang w:val="en-GB"/>
              </w:rPr>
              <w:t xml:space="preserve">z for block with upper edge at </w:t>
            </w:r>
            <w:r w:rsidRPr="00FA117E">
              <w:rPr>
                <w:lang w:val="en-GB"/>
              </w:rPr>
              <w:t>783 MHz</w:t>
            </w:r>
          </w:p>
        </w:tc>
        <w:tc>
          <w:tcPr>
            <w:tcW w:w="2552"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 xml:space="preserve">16 </w:t>
            </w:r>
            <w:proofErr w:type="spellStart"/>
            <w:r w:rsidRPr="00FA117E">
              <w:rPr>
                <w:lang w:val="en-GB"/>
              </w:rPr>
              <w:t>dBm</w:t>
            </w:r>
            <w:proofErr w:type="spellEnd"/>
            <w:r w:rsidRPr="00FA117E">
              <w:rPr>
                <w:lang w:val="en-GB"/>
              </w:rPr>
              <w:t xml:space="preserve"> per antenna</w:t>
            </w:r>
          </w:p>
        </w:tc>
        <w:tc>
          <w:tcPr>
            <w:tcW w:w="1674"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3 MHz</w:t>
            </w:r>
          </w:p>
        </w:tc>
      </w:tr>
      <w:tr w:rsidR="000226FB" w:rsidRPr="00FA117E" w:rsidTr="00197ED2">
        <w:trPr>
          <w:jc w:val="center"/>
        </w:trPr>
        <w:tc>
          <w:tcPr>
            <w:tcW w:w="5078"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788-791 MH</w:t>
            </w:r>
            <w:r w:rsidR="003F565D" w:rsidRPr="00FA117E">
              <w:rPr>
                <w:lang w:val="en-GB"/>
              </w:rPr>
              <w:t xml:space="preserve">z for block with upper edge at </w:t>
            </w:r>
            <w:r w:rsidRPr="00FA117E">
              <w:rPr>
                <w:lang w:val="en-GB"/>
              </w:rPr>
              <w:t>788 MHz for protec</w:t>
            </w:r>
            <w:r w:rsidR="003F565D" w:rsidRPr="00FA117E">
              <w:rPr>
                <w:lang w:val="en-GB"/>
              </w:rPr>
              <w:t xml:space="preserve">tion of systems with bandwidth </w:t>
            </w:r>
            <w:r w:rsidRPr="00FA117E">
              <w:rPr>
                <w:lang w:val="en-GB"/>
              </w:rPr>
              <w:t>&lt; 3 MHz</w:t>
            </w:r>
          </w:p>
        </w:tc>
        <w:tc>
          <w:tcPr>
            <w:tcW w:w="2552"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 xml:space="preserve">11 </w:t>
            </w:r>
            <w:proofErr w:type="spellStart"/>
            <w:r w:rsidRPr="00FA117E">
              <w:rPr>
                <w:lang w:val="en-GB"/>
              </w:rPr>
              <w:t>dBm</w:t>
            </w:r>
            <w:proofErr w:type="spellEnd"/>
            <w:r w:rsidRPr="00FA117E">
              <w:rPr>
                <w:lang w:val="en-GB"/>
              </w:rPr>
              <w:t xml:space="preserve"> per antenna</w:t>
            </w:r>
          </w:p>
        </w:tc>
        <w:tc>
          <w:tcPr>
            <w:tcW w:w="1674"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200 kHz</w:t>
            </w:r>
          </w:p>
        </w:tc>
      </w:tr>
      <w:tr w:rsidR="000226FB" w:rsidRPr="00FA117E" w:rsidTr="00197ED2">
        <w:trPr>
          <w:jc w:val="center"/>
        </w:trPr>
        <w:tc>
          <w:tcPr>
            <w:tcW w:w="5078"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788-791 MH</w:t>
            </w:r>
            <w:r w:rsidR="003F565D" w:rsidRPr="00FA117E">
              <w:rPr>
                <w:lang w:val="en-GB"/>
              </w:rPr>
              <w:t xml:space="preserve">z for block with upper edge at </w:t>
            </w:r>
            <w:r w:rsidRPr="00FA117E">
              <w:rPr>
                <w:lang w:val="en-GB"/>
              </w:rPr>
              <w:t>783 MHz for protec</w:t>
            </w:r>
            <w:r w:rsidR="003F565D" w:rsidRPr="00FA117E">
              <w:rPr>
                <w:lang w:val="en-GB"/>
              </w:rPr>
              <w:t xml:space="preserve">tion of systems with bandwidth </w:t>
            </w:r>
            <w:r w:rsidRPr="00FA117E">
              <w:rPr>
                <w:lang w:val="en-GB"/>
              </w:rPr>
              <w:t>&lt; 3 MHz</w:t>
            </w:r>
          </w:p>
        </w:tc>
        <w:tc>
          <w:tcPr>
            <w:tcW w:w="2552"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 xml:space="preserve">4 </w:t>
            </w:r>
            <w:proofErr w:type="spellStart"/>
            <w:r w:rsidRPr="00FA117E">
              <w:rPr>
                <w:lang w:val="en-GB"/>
              </w:rPr>
              <w:t>dBm</w:t>
            </w:r>
            <w:proofErr w:type="spellEnd"/>
            <w:r w:rsidRPr="00FA117E">
              <w:rPr>
                <w:lang w:val="en-GB"/>
              </w:rPr>
              <w:t xml:space="preserve"> per antenna</w:t>
            </w:r>
          </w:p>
        </w:tc>
        <w:tc>
          <w:tcPr>
            <w:tcW w:w="1674"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200 kHz</w:t>
            </w:r>
          </w:p>
        </w:tc>
      </w:tr>
    </w:tbl>
    <w:p w:rsidR="006B577D" w:rsidRPr="00FA117E" w:rsidRDefault="006B577D">
      <w:pPr>
        <w:rPr>
          <w:lang w:val="en-GB"/>
        </w:rPr>
      </w:pPr>
    </w:p>
    <w:p w:rsidR="000226FB" w:rsidRPr="00FA117E" w:rsidRDefault="000226FB" w:rsidP="009D68C3">
      <w:pPr>
        <w:pStyle w:val="ECCTabletitle"/>
        <w:keepNext/>
      </w:pPr>
      <w:r w:rsidRPr="00FA117E">
        <w:lastRenderedPageBreak/>
        <w:t xml:space="preserve"> </w:t>
      </w:r>
      <w:bookmarkStart w:id="19" w:name="_Ref433364170"/>
      <w:r w:rsidRPr="00FA117E">
        <w:t>MFCN BS Requirements for the part of the FDD duplex gap not used by SDL, PPDR or M2M</w:t>
      </w:r>
      <w:bookmarkEnd w:id="19"/>
    </w:p>
    <w:tbl>
      <w:tblPr>
        <w:tblW w:w="0" w:type="auto"/>
        <w:tblInd w:w="25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820"/>
        <w:gridCol w:w="2551"/>
        <w:gridCol w:w="1985"/>
      </w:tblGrid>
      <w:tr w:rsidR="000226FB" w:rsidRPr="00FA117E" w:rsidTr="00E623D6">
        <w:trPr>
          <w:tblHeader/>
        </w:trPr>
        <w:tc>
          <w:tcPr>
            <w:tcW w:w="4820"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0226FB" w:rsidRPr="00FA117E" w:rsidRDefault="000226FB" w:rsidP="00197ED2">
            <w:pPr>
              <w:keepNext/>
              <w:spacing w:line="288" w:lineRule="auto"/>
              <w:jc w:val="center"/>
              <w:rPr>
                <w:b/>
                <w:color w:val="FFFFFF"/>
                <w:lang w:val="en-GB"/>
              </w:rPr>
            </w:pPr>
            <w:r w:rsidRPr="00FA117E">
              <w:rPr>
                <w:b/>
                <w:color w:val="FFFFFF"/>
                <w:lang w:val="en-GB"/>
              </w:rPr>
              <w:t xml:space="preserve">Frequency range </w:t>
            </w:r>
          </w:p>
        </w:tc>
        <w:tc>
          <w:tcPr>
            <w:tcW w:w="2551"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0226FB" w:rsidRPr="00FA117E" w:rsidRDefault="000226FB" w:rsidP="00197ED2">
            <w:pPr>
              <w:keepNext/>
              <w:spacing w:line="288" w:lineRule="auto"/>
              <w:jc w:val="center"/>
              <w:rPr>
                <w:b/>
                <w:color w:val="FFFFFF"/>
                <w:lang w:val="en-GB"/>
              </w:rPr>
            </w:pPr>
            <w:r w:rsidRPr="00FA117E">
              <w:rPr>
                <w:b/>
                <w:color w:val="FFFFFF"/>
                <w:lang w:val="en-GB"/>
              </w:rPr>
              <w:t xml:space="preserve">Maximum mean </w:t>
            </w:r>
          </w:p>
          <w:p w:rsidR="000226FB" w:rsidRPr="00FA117E" w:rsidRDefault="000226FB" w:rsidP="00197ED2">
            <w:pPr>
              <w:keepNext/>
              <w:spacing w:line="288" w:lineRule="auto"/>
              <w:jc w:val="center"/>
              <w:rPr>
                <w:b/>
                <w:color w:val="FFFFFF"/>
                <w:lang w:val="en-GB"/>
              </w:rPr>
            </w:pPr>
            <w:proofErr w:type="spellStart"/>
            <w:r w:rsidRPr="00FA117E">
              <w:rPr>
                <w:b/>
                <w:color w:val="FFFFFF"/>
                <w:lang w:val="en-GB"/>
              </w:rPr>
              <w:t>e.i.r.p</w:t>
            </w:r>
            <w:proofErr w:type="spellEnd"/>
            <w:r w:rsidRPr="00FA117E">
              <w:rPr>
                <w:b/>
                <w:color w:val="FFFFFF"/>
                <w:lang w:val="en-GB"/>
              </w:rPr>
              <w:t>.</w:t>
            </w:r>
          </w:p>
        </w:tc>
        <w:tc>
          <w:tcPr>
            <w:tcW w:w="1985"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0226FB" w:rsidRPr="00FA117E" w:rsidRDefault="000226FB" w:rsidP="00197ED2">
            <w:pPr>
              <w:keepNext/>
              <w:spacing w:line="288" w:lineRule="auto"/>
              <w:jc w:val="center"/>
              <w:rPr>
                <w:b/>
                <w:color w:val="FFFFFF"/>
                <w:lang w:val="en-GB"/>
              </w:rPr>
            </w:pPr>
            <w:r w:rsidRPr="00FA117E">
              <w:rPr>
                <w:b/>
                <w:color w:val="FFFFFF"/>
                <w:lang w:val="en-GB"/>
              </w:rPr>
              <w:t xml:space="preserve">Measurement </w:t>
            </w:r>
          </w:p>
          <w:p w:rsidR="000226FB" w:rsidRPr="00FA117E" w:rsidRDefault="00E13D0E" w:rsidP="00197ED2">
            <w:pPr>
              <w:keepNext/>
              <w:spacing w:line="288" w:lineRule="auto"/>
              <w:jc w:val="center"/>
              <w:rPr>
                <w:b/>
                <w:color w:val="FFFFFF"/>
                <w:lang w:val="en-GB"/>
              </w:rPr>
            </w:pPr>
            <w:r w:rsidRPr="00FA117E">
              <w:rPr>
                <w:b/>
                <w:color w:val="FFFFFF"/>
                <w:lang w:val="en-GB"/>
              </w:rPr>
              <w:t>B</w:t>
            </w:r>
            <w:r w:rsidR="000226FB" w:rsidRPr="00FA117E">
              <w:rPr>
                <w:b/>
                <w:color w:val="FFFFFF"/>
                <w:lang w:val="en-GB"/>
              </w:rPr>
              <w:t>andwidth</w:t>
            </w:r>
          </w:p>
        </w:tc>
      </w:tr>
      <w:tr w:rsidR="000226FB" w:rsidRPr="00FA117E" w:rsidTr="00E623D6">
        <w:tc>
          <w:tcPr>
            <w:tcW w:w="4820"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197ED2">
            <w:pPr>
              <w:keepNext/>
              <w:spacing w:line="288" w:lineRule="auto"/>
              <w:rPr>
                <w:lang w:val="en-GB"/>
              </w:rPr>
            </w:pPr>
            <w:r w:rsidRPr="00FA117E">
              <w:rPr>
                <w:lang w:val="en-GB"/>
              </w:rPr>
              <w:t xml:space="preserve">-10 to 0 MHz offset from DL lower band edge or </w:t>
            </w:r>
            <w:r w:rsidRPr="00FA117E">
              <w:rPr>
                <w:rFonts w:eastAsia="MS Mincho" w:cs="Arial"/>
                <w:lang w:val="en-GB" w:eastAsia="ja-JP"/>
              </w:rPr>
              <w:t>lower edge of the lowest SDL block</w:t>
            </w:r>
            <w:r w:rsidRPr="00FA117E">
              <w:rPr>
                <w:lang w:val="en-GB"/>
              </w:rPr>
              <w:t>, but above uplink upper band edge</w:t>
            </w:r>
          </w:p>
        </w:tc>
        <w:tc>
          <w:tcPr>
            <w:tcW w:w="2551"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197ED2">
            <w:pPr>
              <w:keepNext/>
              <w:spacing w:line="288" w:lineRule="auto"/>
              <w:rPr>
                <w:lang w:val="en-GB"/>
              </w:rPr>
            </w:pPr>
            <w:r w:rsidRPr="00FA117E">
              <w:rPr>
                <w:lang w:val="en-GB"/>
              </w:rPr>
              <w:t xml:space="preserve">16 </w:t>
            </w:r>
            <w:proofErr w:type="spellStart"/>
            <w:r w:rsidRPr="00FA117E">
              <w:rPr>
                <w:lang w:val="en-GB"/>
              </w:rPr>
              <w:t>dBm</w:t>
            </w:r>
            <w:proofErr w:type="spellEnd"/>
            <w:r w:rsidRPr="00FA117E">
              <w:rPr>
                <w:lang w:val="en-GB"/>
              </w:rPr>
              <w:t xml:space="preserve"> per antenna</w:t>
            </w:r>
          </w:p>
        </w:tc>
        <w:tc>
          <w:tcPr>
            <w:tcW w:w="1985"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197ED2">
            <w:pPr>
              <w:keepNext/>
              <w:spacing w:line="288" w:lineRule="auto"/>
              <w:rPr>
                <w:lang w:val="en-GB"/>
              </w:rPr>
            </w:pPr>
            <w:r w:rsidRPr="00FA117E">
              <w:rPr>
                <w:lang w:val="en-GB"/>
              </w:rPr>
              <w:t>5 MHz</w:t>
            </w:r>
          </w:p>
        </w:tc>
      </w:tr>
      <w:tr w:rsidR="000226FB" w:rsidRPr="00FA117E" w:rsidTr="00E623D6">
        <w:tc>
          <w:tcPr>
            <w:tcW w:w="4820"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621715">
            <w:pPr>
              <w:spacing w:line="288" w:lineRule="auto"/>
              <w:rPr>
                <w:lang w:val="en-GB"/>
              </w:rPr>
            </w:pPr>
            <w:r w:rsidRPr="00FA117E">
              <w:rPr>
                <w:lang w:val="en-GB"/>
              </w:rPr>
              <w:t xml:space="preserve">More than 10 MHz offset from DL lower band edge or </w:t>
            </w:r>
            <w:r w:rsidRPr="00FA117E">
              <w:rPr>
                <w:rFonts w:eastAsia="MS Mincho" w:cs="Arial"/>
                <w:lang w:val="en-GB" w:eastAsia="ja-JP"/>
              </w:rPr>
              <w:t>lower edge of the lowest SDL block</w:t>
            </w:r>
            <w:r w:rsidRPr="00FA117E">
              <w:rPr>
                <w:lang w:val="en-GB"/>
              </w:rPr>
              <w:t xml:space="preserve">, but above uplink upper band edge </w:t>
            </w:r>
          </w:p>
        </w:tc>
        <w:tc>
          <w:tcPr>
            <w:tcW w:w="2551"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 xml:space="preserve">-4 </w:t>
            </w:r>
            <w:proofErr w:type="spellStart"/>
            <w:r w:rsidRPr="00FA117E">
              <w:rPr>
                <w:lang w:val="en-GB"/>
              </w:rPr>
              <w:t>dBm</w:t>
            </w:r>
            <w:proofErr w:type="spellEnd"/>
            <w:r w:rsidRPr="00FA117E">
              <w:rPr>
                <w:lang w:val="en-GB"/>
              </w:rPr>
              <w:t xml:space="preserve"> per antenna</w:t>
            </w:r>
          </w:p>
        </w:tc>
        <w:tc>
          <w:tcPr>
            <w:tcW w:w="1985"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5 MHz</w:t>
            </w:r>
          </w:p>
        </w:tc>
      </w:tr>
    </w:tbl>
    <w:p w:rsidR="000226FB" w:rsidRPr="00FA117E" w:rsidRDefault="000226FB" w:rsidP="009D68C3">
      <w:pPr>
        <w:pStyle w:val="ECCTabletitle"/>
      </w:pPr>
      <w:bookmarkStart w:id="20" w:name="_Ref433364191"/>
      <w:r w:rsidRPr="00FA117E">
        <w:t>MFCN BS Requirements for spectrum in guard bands not used by PPDR or M2M</w:t>
      </w:r>
      <w:bookmarkEnd w:id="20"/>
    </w:p>
    <w:tbl>
      <w:tblPr>
        <w:tblW w:w="0" w:type="auto"/>
        <w:tblInd w:w="25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820"/>
        <w:gridCol w:w="2551"/>
        <w:gridCol w:w="1985"/>
      </w:tblGrid>
      <w:tr w:rsidR="000226FB" w:rsidRPr="00FA117E" w:rsidTr="00551BCC">
        <w:trPr>
          <w:tblHeader/>
        </w:trPr>
        <w:tc>
          <w:tcPr>
            <w:tcW w:w="4820"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0226FB" w:rsidRPr="00FA117E" w:rsidRDefault="000226FB" w:rsidP="00BE3422">
            <w:pPr>
              <w:keepNext/>
              <w:spacing w:line="288" w:lineRule="auto"/>
              <w:jc w:val="center"/>
              <w:rPr>
                <w:b/>
                <w:color w:val="FFFFFF"/>
                <w:lang w:val="en-GB"/>
              </w:rPr>
            </w:pPr>
            <w:r w:rsidRPr="00FA117E">
              <w:rPr>
                <w:b/>
                <w:color w:val="FFFFFF"/>
                <w:lang w:val="en-GB"/>
              </w:rPr>
              <w:t xml:space="preserve">Frequency range </w:t>
            </w:r>
          </w:p>
        </w:tc>
        <w:tc>
          <w:tcPr>
            <w:tcW w:w="2551"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0226FB" w:rsidRPr="00FA117E" w:rsidRDefault="000226FB" w:rsidP="00BE3422">
            <w:pPr>
              <w:keepNext/>
              <w:spacing w:line="288" w:lineRule="auto"/>
              <w:jc w:val="center"/>
              <w:rPr>
                <w:b/>
                <w:color w:val="FFFFFF"/>
                <w:lang w:val="en-GB"/>
              </w:rPr>
            </w:pPr>
            <w:r w:rsidRPr="00FA117E">
              <w:rPr>
                <w:b/>
                <w:color w:val="FFFFFF"/>
                <w:lang w:val="en-GB"/>
              </w:rPr>
              <w:t xml:space="preserve">Maximum mean </w:t>
            </w:r>
          </w:p>
          <w:p w:rsidR="000226FB" w:rsidRPr="00FA117E" w:rsidRDefault="000226FB" w:rsidP="00BE3422">
            <w:pPr>
              <w:keepNext/>
              <w:spacing w:line="288" w:lineRule="auto"/>
              <w:jc w:val="center"/>
              <w:rPr>
                <w:b/>
                <w:color w:val="FFFFFF"/>
                <w:lang w:val="en-GB"/>
              </w:rPr>
            </w:pPr>
            <w:proofErr w:type="spellStart"/>
            <w:r w:rsidRPr="00FA117E">
              <w:rPr>
                <w:b/>
                <w:color w:val="FFFFFF"/>
                <w:lang w:val="en-GB"/>
              </w:rPr>
              <w:t>e.i.r.p</w:t>
            </w:r>
            <w:proofErr w:type="spellEnd"/>
            <w:r w:rsidRPr="00FA117E">
              <w:rPr>
                <w:b/>
                <w:color w:val="FFFFFF"/>
                <w:lang w:val="en-GB"/>
              </w:rPr>
              <w:t>.</w:t>
            </w:r>
          </w:p>
        </w:tc>
        <w:tc>
          <w:tcPr>
            <w:tcW w:w="1985"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0226FB" w:rsidRPr="00FA117E" w:rsidRDefault="000226FB" w:rsidP="00BE3422">
            <w:pPr>
              <w:keepNext/>
              <w:spacing w:line="288" w:lineRule="auto"/>
              <w:jc w:val="center"/>
              <w:rPr>
                <w:b/>
                <w:color w:val="FFFFFF"/>
                <w:lang w:val="en-GB"/>
              </w:rPr>
            </w:pPr>
            <w:r w:rsidRPr="00FA117E">
              <w:rPr>
                <w:b/>
                <w:color w:val="FFFFFF"/>
                <w:lang w:val="en-GB"/>
              </w:rPr>
              <w:t xml:space="preserve">Measurement </w:t>
            </w:r>
          </w:p>
          <w:p w:rsidR="000226FB" w:rsidRPr="00FA117E" w:rsidRDefault="00E13D0E" w:rsidP="00BE3422">
            <w:pPr>
              <w:keepNext/>
              <w:spacing w:line="288" w:lineRule="auto"/>
              <w:jc w:val="center"/>
              <w:rPr>
                <w:b/>
                <w:color w:val="FFFFFF"/>
                <w:lang w:val="en-GB"/>
              </w:rPr>
            </w:pPr>
            <w:r w:rsidRPr="00FA117E">
              <w:rPr>
                <w:b/>
                <w:color w:val="FFFFFF"/>
                <w:lang w:val="en-GB"/>
              </w:rPr>
              <w:t>B</w:t>
            </w:r>
            <w:r w:rsidR="000226FB" w:rsidRPr="00FA117E">
              <w:rPr>
                <w:b/>
                <w:color w:val="FFFFFF"/>
                <w:lang w:val="en-GB"/>
              </w:rPr>
              <w:t>andwidth</w:t>
            </w:r>
          </w:p>
        </w:tc>
      </w:tr>
      <w:tr w:rsidR="000226FB" w:rsidRPr="00FA117E" w:rsidTr="00551BCC">
        <w:tc>
          <w:tcPr>
            <w:tcW w:w="4820"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434E1F">
            <w:pPr>
              <w:keepNext/>
              <w:spacing w:line="288" w:lineRule="auto"/>
              <w:rPr>
                <w:lang w:val="en-GB"/>
              </w:rPr>
            </w:pPr>
            <w:r w:rsidRPr="00FA117E">
              <w:rPr>
                <w:lang w:val="en-GB"/>
              </w:rPr>
              <w:t>Spectrum between broadcasting band edge and FDD uplink lower band edge (694-703 MHz)</w:t>
            </w:r>
          </w:p>
        </w:tc>
        <w:tc>
          <w:tcPr>
            <w:tcW w:w="2551"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keepNext/>
              <w:spacing w:line="288" w:lineRule="auto"/>
              <w:rPr>
                <w:lang w:val="en-GB"/>
              </w:rPr>
            </w:pPr>
            <w:r w:rsidRPr="00FA117E">
              <w:rPr>
                <w:lang w:val="en-GB"/>
              </w:rPr>
              <w:t xml:space="preserve">-32 </w:t>
            </w:r>
            <w:proofErr w:type="spellStart"/>
            <w:r w:rsidRPr="00FA117E">
              <w:rPr>
                <w:lang w:val="en-GB"/>
              </w:rPr>
              <w:t>dBm</w:t>
            </w:r>
            <w:proofErr w:type="spellEnd"/>
            <w:r w:rsidRPr="00FA117E">
              <w:rPr>
                <w:lang w:val="en-GB"/>
              </w:rPr>
              <w:t xml:space="preserve"> per cell </w:t>
            </w:r>
            <w:r w:rsidRPr="00FA117E">
              <w:rPr>
                <w:sz w:val="16"/>
                <w:szCs w:val="16"/>
                <w:vertAlign w:val="superscript"/>
                <w:lang w:val="en-GB"/>
              </w:rPr>
              <w:t>(1)</w:t>
            </w:r>
          </w:p>
        </w:tc>
        <w:tc>
          <w:tcPr>
            <w:tcW w:w="1985"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keepNext/>
              <w:spacing w:line="288" w:lineRule="auto"/>
              <w:rPr>
                <w:lang w:val="en-GB"/>
              </w:rPr>
            </w:pPr>
            <w:r w:rsidRPr="00FA117E">
              <w:rPr>
                <w:lang w:val="en-GB"/>
              </w:rPr>
              <w:t>1 MHz</w:t>
            </w:r>
          </w:p>
        </w:tc>
      </w:tr>
      <w:tr w:rsidR="000226FB" w:rsidRPr="00FA117E" w:rsidTr="00551BCC">
        <w:tc>
          <w:tcPr>
            <w:tcW w:w="4820"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keepNext/>
              <w:spacing w:line="288" w:lineRule="auto"/>
              <w:rPr>
                <w:lang w:val="en-GB"/>
              </w:rPr>
            </w:pPr>
            <w:r w:rsidRPr="00FA117E">
              <w:rPr>
                <w:lang w:val="en-GB"/>
              </w:rPr>
              <w:t>Spectrum between downlink upper band edge and downlink of 800 MHz MFCN (788-791 MHz)</w:t>
            </w:r>
          </w:p>
        </w:tc>
        <w:tc>
          <w:tcPr>
            <w:tcW w:w="2551"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keepNext/>
              <w:spacing w:line="288" w:lineRule="auto"/>
              <w:rPr>
                <w:lang w:val="en-GB"/>
              </w:rPr>
            </w:pPr>
            <w:r w:rsidRPr="00FA117E">
              <w:rPr>
                <w:lang w:val="en-GB"/>
              </w:rPr>
              <w:t xml:space="preserve">14 </w:t>
            </w:r>
            <w:proofErr w:type="spellStart"/>
            <w:r w:rsidRPr="00FA117E">
              <w:rPr>
                <w:lang w:val="en-GB"/>
              </w:rPr>
              <w:t>dBm</w:t>
            </w:r>
            <w:proofErr w:type="spellEnd"/>
            <w:r w:rsidRPr="00FA117E">
              <w:rPr>
                <w:lang w:val="en-GB"/>
              </w:rPr>
              <w:t xml:space="preserve"> per antenna</w:t>
            </w:r>
          </w:p>
        </w:tc>
        <w:tc>
          <w:tcPr>
            <w:tcW w:w="1985"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keepNext/>
              <w:spacing w:line="288" w:lineRule="auto"/>
              <w:rPr>
                <w:lang w:val="en-GB"/>
              </w:rPr>
            </w:pPr>
            <w:r w:rsidRPr="00FA117E">
              <w:rPr>
                <w:lang w:val="en-GB"/>
              </w:rPr>
              <w:t xml:space="preserve">3 MHz </w:t>
            </w:r>
          </w:p>
        </w:tc>
      </w:tr>
    </w:tbl>
    <w:p w:rsidR="000226FB" w:rsidRPr="00FA117E" w:rsidRDefault="000226FB" w:rsidP="00512645">
      <w:pPr>
        <w:pStyle w:val="ECCTablenote"/>
      </w:pPr>
      <w:r w:rsidRPr="00FA117E">
        <w:rPr>
          <w:vertAlign w:val="superscript"/>
          <w:lang w:eastAsia="de-DE"/>
        </w:rPr>
        <w:t>(1)</w:t>
      </w:r>
      <w:r w:rsidRPr="00FA117E">
        <w:rPr>
          <w:lang w:eastAsia="de-DE"/>
        </w:rPr>
        <w:t xml:space="preserve"> In a multi sector site “cell” refers to one of the sectors.</w:t>
      </w:r>
    </w:p>
    <w:p w:rsidR="000226FB" w:rsidRPr="00FA117E" w:rsidRDefault="000226FB" w:rsidP="009D68C3">
      <w:pPr>
        <w:pStyle w:val="ECCTabletitle"/>
      </w:pPr>
      <w:bookmarkStart w:id="21" w:name="_Ref433204074"/>
      <w:r w:rsidRPr="00FA117E">
        <w:t>MFCN BS Baseline requirements for DTT spectrum</w:t>
      </w:r>
      <w:bookmarkEnd w:id="21"/>
      <w:r w:rsidRPr="00FA117E">
        <w:t xml:space="preserve"> </w:t>
      </w:r>
    </w:p>
    <w:tbl>
      <w:tblPr>
        <w:tblW w:w="0" w:type="auto"/>
        <w:tblInd w:w="25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820"/>
        <w:gridCol w:w="2551"/>
        <w:gridCol w:w="1985"/>
      </w:tblGrid>
      <w:tr w:rsidR="000226FB" w:rsidRPr="00FA117E" w:rsidTr="00551BCC">
        <w:trPr>
          <w:tblHeader/>
        </w:trPr>
        <w:tc>
          <w:tcPr>
            <w:tcW w:w="4820"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0226FB" w:rsidRPr="00FA117E" w:rsidRDefault="000226FB" w:rsidP="00BE3422">
            <w:pPr>
              <w:spacing w:line="288" w:lineRule="auto"/>
              <w:jc w:val="center"/>
              <w:rPr>
                <w:b/>
                <w:color w:val="FFFFFF"/>
                <w:lang w:val="en-GB"/>
              </w:rPr>
            </w:pPr>
            <w:r w:rsidRPr="00FA117E">
              <w:rPr>
                <w:b/>
                <w:color w:val="FFFFFF"/>
                <w:lang w:val="en-GB"/>
              </w:rPr>
              <w:t xml:space="preserve">Frequency range </w:t>
            </w:r>
          </w:p>
        </w:tc>
        <w:tc>
          <w:tcPr>
            <w:tcW w:w="2551"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0226FB" w:rsidRPr="00FA117E" w:rsidRDefault="000226FB" w:rsidP="00BE3422">
            <w:pPr>
              <w:spacing w:line="288" w:lineRule="auto"/>
              <w:jc w:val="center"/>
              <w:rPr>
                <w:b/>
                <w:color w:val="FFFFFF"/>
                <w:lang w:val="en-GB"/>
              </w:rPr>
            </w:pPr>
            <w:r w:rsidRPr="00FA117E">
              <w:rPr>
                <w:b/>
                <w:color w:val="FFFFFF"/>
                <w:lang w:val="en-GB"/>
              </w:rPr>
              <w:t xml:space="preserve">Maximum mean </w:t>
            </w:r>
            <w:r w:rsidRPr="00FA117E">
              <w:rPr>
                <w:b/>
                <w:color w:val="FFFFFF"/>
                <w:lang w:val="en-GB"/>
              </w:rPr>
              <w:br/>
            </w:r>
            <w:proofErr w:type="spellStart"/>
            <w:r w:rsidRPr="00FA117E">
              <w:rPr>
                <w:b/>
                <w:color w:val="FFFFFF"/>
                <w:lang w:val="en-GB"/>
              </w:rPr>
              <w:t>e.i.r.p</w:t>
            </w:r>
            <w:proofErr w:type="spellEnd"/>
            <w:r w:rsidRPr="00FA117E">
              <w:rPr>
                <w:b/>
                <w:color w:val="FFFFFF"/>
                <w:lang w:val="en-GB"/>
              </w:rPr>
              <w:t>.</w:t>
            </w:r>
          </w:p>
        </w:tc>
        <w:tc>
          <w:tcPr>
            <w:tcW w:w="1985"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0226FB" w:rsidRPr="00FA117E" w:rsidRDefault="000226FB" w:rsidP="00BE3422">
            <w:pPr>
              <w:spacing w:line="288" w:lineRule="auto"/>
              <w:jc w:val="center"/>
              <w:rPr>
                <w:b/>
                <w:color w:val="FFFFFF"/>
                <w:lang w:val="en-GB"/>
              </w:rPr>
            </w:pPr>
            <w:r w:rsidRPr="00FA117E">
              <w:rPr>
                <w:b/>
                <w:color w:val="FFFFFF"/>
                <w:lang w:val="en-GB"/>
              </w:rPr>
              <w:t xml:space="preserve">Measurement </w:t>
            </w:r>
            <w:r w:rsidRPr="00FA117E">
              <w:rPr>
                <w:b/>
                <w:color w:val="FFFFFF"/>
                <w:lang w:val="en-GB"/>
              </w:rPr>
              <w:br/>
              <w:t>bandwidth</w:t>
            </w:r>
          </w:p>
        </w:tc>
      </w:tr>
      <w:tr w:rsidR="000226FB" w:rsidRPr="00FA117E" w:rsidTr="00551BCC">
        <w:tc>
          <w:tcPr>
            <w:tcW w:w="4820" w:type="dxa"/>
            <w:tcBorders>
              <w:top w:val="single" w:sz="4" w:space="0" w:color="D2232A"/>
              <w:left w:val="single" w:sz="4" w:space="0" w:color="D2232A"/>
              <w:bottom w:val="single" w:sz="4" w:space="0" w:color="D2232A"/>
              <w:right w:val="single" w:sz="4" w:space="0" w:color="D2232A"/>
            </w:tcBorders>
            <w:shd w:val="clear" w:color="auto" w:fill="auto"/>
            <w:vAlign w:val="center"/>
          </w:tcPr>
          <w:p w:rsidR="000226FB" w:rsidRPr="00FA117E" w:rsidRDefault="000226FB" w:rsidP="00BE3422">
            <w:pPr>
              <w:spacing w:line="288" w:lineRule="auto"/>
              <w:rPr>
                <w:lang w:val="en-GB"/>
              </w:rPr>
            </w:pPr>
            <w:r w:rsidRPr="00FA117E">
              <w:rPr>
                <w:lang w:val="en-GB"/>
              </w:rPr>
              <w:t>For DTT frequencies below 694 MHz where broadcasting is protected</w:t>
            </w:r>
          </w:p>
        </w:tc>
        <w:tc>
          <w:tcPr>
            <w:tcW w:w="2551" w:type="dxa"/>
            <w:tcBorders>
              <w:top w:val="single" w:sz="4" w:space="0" w:color="D2232A"/>
              <w:left w:val="single" w:sz="4" w:space="0" w:color="D2232A"/>
              <w:bottom w:val="single" w:sz="4" w:space="0" w:color="D2232A"/>
              <w:right w:val="single" w:sz="4" w:space="0" w:color="D2232A"/>
            </w:tcBorders>
            <w:shd w:val="clear" w:color="auto" w:fill="auto"/>
            <w:vAlign w:val="center"/>
          </w:tcPr>
          <w:p w:rsidR="000226FB" w:rsidRPr="00FA117E" w:rsidRDefault="000226FB" w:rsidP="00BE3422">
            <w:pPr>
              <w:spacing w:line="288" w:lineRule="auto"/>
              <w:rPr>
                <w:lang w:val="en-GB"/>
              </w:rPr>
            </w:pPr>
            <w:r w:rsidRPr="00FA117E">
              <w:rPr>
                <w:lang w:val="en-GB"/>
              </w:rPr>
              <w:t xml:space="preserve">-23 </w:t>
            </w:r>
            <w:proofErr w:type="spellStart"/>
            <w:r w:rsidRPr="00FA117E">
              <w:rPr>
                <w:lang w:val="en-GB"/>
              </w:rPr>
              <w:t>dBm</w:t>
            </w:r>
            <w:proofErr w:type="spellEnd"/>
            <w:r w:rsidRPr="00FA117E">
              <w:rPr>
                <w:vertAlign w:val="superscript"/>
                <w:lang w:val="en-GB"/>
              </w:rPr>
              <w:t xml:space="preserve"> </w:t>
            </w:r>
            <w:r w:rsidRPr="00FA117E">
              <w:rPr>
                <w:lang w:val="en-GB"/>
              </w:rPr>
              <w:t xml:space="preserve">per cell </w:t>
            </w:r>
            <w:r w:rsidRPr="00FA117E">
              <w:rPr>
                <w:vertAlign w:val="superscript"/>
                <w:lang w:val="en-GB"/>
              </w:rPr>
              <w:t>(1)</w:t>
            </w:r>
          </w:p>
        </w:tc>
        <w:tc>
          <w:tcPr>
            <w:tcW w:w="1985" w:type="dxa"/>
            <w:tcBorders>
              <w:top w:val="single" w:sz="4" w:space="0" w:color="D2232A"/>
              <w:left w:val="single" w:sz="4" w:space="0" w:color="D2232A"/>
              <w:bottom w:val="single" w:sz="4" w:space="0" w:color="D2232A"/>
              <w:right w:val="single" w:sz="4" w:space="0" w:color="D2232A"/>
            </w:tcBorders>
            <w:shd w:val="clear" w:color="auto" w:fill="auto"/>
            <w:vAlign w:val="center"/>
          </w:tcPr>
          <w:p w:rsidR="000226FB" w:rsidRPr="00FA117E" w:rsidRDefault="000226FB" w:rsidP="00BE3422">
            <w:pPr>
              <w:spacing w:line="288" w:lineRule="auto"/>
              <w:rPr>
                <w:lang w:val="en-GB"/>
              </w:rPr>
            </w:pPr>
            <w:r w:rsidRPr="00FA117E">
              <w:rPr>
                <w:lang w:val="en-GB"/>
              </w:rPr>
              <w:t>8 MHz</w:t>
            </w:r>
          </w:p>
        </w:tc>
      </w:tr>
    </w:tbl>
    <w:p w:rsidR="000226FB" w:rsidRPr="00FA117E" w:rsidRDefault="000226FB" w:rsidP="00512645">
      <w:pPr>
        <w:pStyle w:val="ECCTablenote"/>
        <w:rPr>
          <w:lang w:eastAsia="de-DE"/>
        </w:rPr>
      </w:pPr>
      <w:r w:rsidRPr="00FA117E">
        <w:rPr>
          <w:vertAlign w:val="superscript"/>
          <w:lang w:eastAsia="de-DE"/>
        </w:rPr>
        <w:t>(2)</w:t>
      </w:r>
      <w:r w:rsidRPr="00FA117E">
        <w:rPr>
          <w:lang w:eastAsia="de-DE"/>
        </w:rPr>
        <w:t xml:space="preserve"> In a multi sector site “cell” refers to one of the sectors.</w:t>
      </w:r>
    </w:p>
    <w:p w:rsidR="005032D6" w:rsidRPr="00FA117E" w:rsidRDefault="005032D6" w:rsidP="005032D6">
      <w:pPr>
        <w:pStyle w:val="Heading2"/>
        <w:rPr>
          <w:lang w:val="en-GB"/>
        </w:rPr>
      </w:pPr>
      <w:bookmarkStart w:id="22" w:name="_Toc441229620"/>
      <w:r w:rsidRPr="00FA117E">
        <w:rPr>
          <w:lang w:val="en-GB"/>
        </w:rPr>
        <w:t>terminal station</w:t>
      </w:r>
      <w:bookmarkEnd w:id="22"/>
    </w:p>
    <w:p w:rsidR="000226FB" w:rsidRPr="00FA117E" w:rsidRDefault="000226FB" w:rsidP="006B577D">
      <w:pPr>
        <w:pStyle w:val="ECCParagraph"/>
        <w:widowControl w:val="0"/>
      </w:pPr>
      <w:r w:rsidRPr="00FA117E">
        <w:rPr>
          <w:rFonts w:cs="Arial"/>
        </w:rPr>
        <w:t xml:space="preserve">The terminal station (TS) BEM consists of an in-block level, elements for the spectrum between the MFCN UL and DL (including SDL, if applicable), requirements for the guard band between DTT and the MFCN UL, and a baseline level for DTT spectrum, </w:t>
      </w:r>
      <w:r w:rsidR="009B2012" w:rsidRPr="00FA117E">
        <w:rPr>
          <w:rFonts w:cs="Arial"/>
        </w:rPr>
        <w:t xml:space="preserve">see </w:t>
      </w:r>
      <w:r w:rsidR="009B2012" w:rsidRPr="00FA117E">
        <w:rPr>
          <w:rFonts w:cs="Arial"/>
        </w:rPr>
        <w:fldChar w:fldCharType="begin"/>
      </w:r>
      <w:r w:rsidR="009B2012" w:rsidRPr="00FA117E">
        <w:rPr>
          <w:rFonts w:cs="Arial"/>
        </w:rPr>
        <w:instrText xml:space="preserve"> REF _Ref260549747 \r \h </w:instrText>
      </w:r>
      <w:r w:rsidR="00532417" w:rsidRPr="00FA117E">
        <w:rPr>
          <w:rFonts w:cs="Arial"/>
        </w:rPr>
        <w:instrText xml:space="preserve"> \* MERGEFORMAT </w:instrText>
      </w:r>
      <w:r w:rsidR="009B2012" w:rsidRPr="00FA117E">
        <w:rPr>
          <w:rFonts w:cs="Arial"/>
        </w:rPr>
      </w:r>
      <w:r w:rsidR="009B2012" w:rsidRPr="00FA117E">
        <w:rPr>
          <w:rFonts w:cs="Arial"/>
        </w:rPr>
        <w:fldChar w:fldCharType="separate"/>
      </w:r>
      <w:r w:rsidR="005C651F" w:rsidRPr="00FA117E">
        <w:rPr>
          <w:rFonts w:cs="Arial"/>
        </w:rPr>
        <w:t>Table 9:</w:t>
      </w:r>
      <w:r w:rsidR="009B2012" w:rsidRPr="00FA117E">
        <w:rPr>
          <w:rFonts w:cs="Arial"/>
        </w:rPr>
        <w:fldChar w:fldCharType="end"/>
      </w:r>
      <w:r w:rsidR="009B2012" w:rsidRPr="00FA117E">
        <w:rPr>
          <w:rFonts w:cs="Arial"/>
        </w:rPr>
        <w:t xml:space="preserve"> to </w:t>
      </w:r>
      <w:r w:rsidR="001A690B" w:rsidRPr="00FA117E">
        <w:rPr>
          <w:rFonts w:cs="Arial"/>
        </w:rPr>
        <w:fldChar w:fldCharType="begin"/>
      </w:r>
      <w:r w:rsidR="001A690B" w:rsidRPr="00FA117E">
        <w:rPr>
          <w:rFonts w:cs="Arial"/>
        </w:rPr>
        <w:instrText xml:space="preserve"> REF _Ref441227764 \r \h </w:instrText>
      </w:r>
      <w:r w:rsidR="001A690B" w:rsidRPr="00FA117E">
        <w:rPr>
          <w:rFonts w:cs="Arial"/>
        </w:rPr>
      </w:r>
      <w:r w:rsidR="001A690B" w:rsidRPr="00FA117E">
        <w:rPr>
          <w:rFonts w:cs="Arial"/>
        </w:rPr>
        <w:fldChar w:fldCharType="separate"/>
      </w:r>
      <w:r w:rsidR="005C651F" w:rsidRPr="00FA117E">
        <w:rPr>
          <w:rFonts w:cs="Arial"/>
        </w:rPr>
        <w:t>Table 12:</w:t>
      </w:r>
      <w:r w:rsidR="001A690B" w:rsidRPr="00FA117E">
        <w:rPr>
          <w:rFonts w:cs="Arial"/>
        </w:rPr>
        <w:fldChar w:fldCharType="end"/>
      </w:r>
      <w:r w:rsidR="009B2012" w:rsidRPr="00FA117E">
        <w:rPr>
          <w:rFonts w:cs="Arial"/>
        </w:rPr>
        <w:t>.</w:t>
      </w:r>
      <w:r w:rsidRPr="00FA117E">
        <w:rPr>
          <w:rFonts w:cs="Arial"/>
        </w:rPr>
        <w:t xml:space="preserve"> </w:t>
      </w:r>
      <w:r w:rsidRPr="00FA117E">
        <w:t xml:space="preserve">Further requirements will have to be taken into account by ETSI in the harmonised standards, which may require close cooperation between ETSI, CEPT and Standard Developing Organisations. </w:t>
      </w:r>
    </w:p>
    <w:p w:rsidR="000226FB" w:rsidRPr="00FA117E" w:rsidRDefault="000226FB" w:rsidP="000226FB">
      <w:pPr>
        <w:pStyle w:val="ECCParagraph"/>
      </w:pPr>
      <w:r w:rsidRPr="00FA117E">
        <w:rPr>
          <w:rFonts w:cs="Arial"/>
        </w:rPr>
        <w:t xml:space="preserve">The power limits are specified as </w:t>
      </w:r>
      <w:proofErr w:type="spellStart"/>
      <w:r w:rsidRPr="00FA117E">
        <w:rPr>
          <w:rFonts w:cs="Arial"/>
        </w:rPr>
        <w:t>e.i.r.p</w:t>
      </w:r>
      <w:proofErr w:type="spellEnd"/>
      <w:r w:rsidRPr="00FA117E">
        <w:rPr>
          <w:rFonts w:cs="Arial"/>
        </w:rPr>
        <w:t>. for terminal stations designed to be fixed or installed and as total radiated power (TRP) for terminal stations designed to be mobile or nomadic</w:t>
      </w:r>
      <w:r w:rsidRPr="00FA117E">
        <w:rPr>
          <w:sz w:val="18"/>
          <w:vertAlign w:val="superscript"/>
        </w:rPr>
        <w:footnoteReference w:id="8"/>
      </w:r>
      <w:r w:rsidRPr="00FA117E">
        <w:rPr>
          <w:rFonts w:cs="Arial"/>
        </w:rPr>
        <w:t>.</w:t>
      </w:r>
      <w:r w:rsidRPr="00FA117E">
        <w:t xml:space="preserve"> </w:t>
      </w:r>
    </w:p>
    <w:p w:rsidR="000226FB" w:rsidRPr="00FA117E" w:rsidRDefault="000226FB" w:rsidP="000226FB">
      <w:pPr>
        <w:pStyle w:val="ECCParagraph"/>
      </w:pPr>
      <w:r w:rsidRPr="00FA117E">
        <w:t xml:space="preserve">Administrations may relax the in-block power limit in certain situations, for example fixed TS in rural areas, </w:t>
      </w:r>
      <w:proofErr w:type="gramStart"/>
      <w:r w:rsidRPr="00FA117E">
        <w:t>provided</w:t>
      </w:r>
      <w:proofErr w:type="gramEnd"/>
      <w:r w:rsidRPr="00FA117E">
        <w:t xml:space="preserve"> that protection of other services, networks and applications is not compromised and cross-border obligations are fulfilled.</w:t>
      </w:r>
    </w:p>
    <w:p w:rsidR="006B577D" w:rsidRPr="00FA117E" w:rsidRDefault="006B577D">
      <w:pPr>
        <w:rPr>
          <w:lang w:val="en-GB"/>
        </w:rPr>
      </w:pPr>
    </w:p>
    <w:p w:rsidR="000226FB" w:rsidRPr="00FA117E" w:rsidRDefault="000226FB" w:rsidP="009D68C3">
      <w:pPr>
        <w:pStyle w:val="ECCTabletitle"/>
        <w:keepNext/>
      </w:pPr>
      <w:bookmarkStart w:id="23" w:name="_Ref260549747"/>
      <w:r w:rsidRPr="00FA117E">
        <w:lastRenderedPageBreak/>
        <w:t>TS in-block emission limit</w:t>
      </w:r>
      <w:bookmarkEnd w:id="23"/>
    </w:p>
    <w:tbl>
      <w:tblPr>
        <w:tblW w:w="0" w:type="auto"/>
        <w:jc w:val="center"/>
        <w:tblInd w:w="47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580"/>
      </w:tblGrid>
      <w:tr w:rsidR="000226FB" w:rsidRPr="00FA117E" w:rsidTr="00BE3422">
        <w:trPr>
          <w:tblHeader/>
          <w:jc w:val="center"/>
        </w:trPr>
        <w:tc>
          <w:tcPr>
            <w:tcW w:w="5580" w:type="dxa"/>
            <w:tcBorders>
              <w:top w:val="single" w:sz="4" w:space="0" w:color="D2232A"/>
              <w:left w:val="single" w:sz="4" w:space="0" w:color="D2232A"/>
              <w:bottom w:val="single" w:sz="4" w:space="0" w:color="D2232A"/>
              <w:right w:val="single" w:sz="4" w:space="0" w:color="D2232A"/>
            </w:tcBorders>
            <w:shd w:val="clear" w:color="auto" w:fill="D2232A"/>
            <w:vAlign w:val="center"/>
          </w:tcPr>
          <w:p w:rsidR="000226FB" w:rsidRPr="00FA117E" w:rsidRDefault="000226FB" w:rsidP="00434E1F">
            <w:pPr>
              <w:keepNext/>
              <w:spacing w:line="288" w:lineRule="auto"/>
              <w:jc w:val="center"/>
              <w:rPr>
                <w:b/>
                <w:color w:val="FFFFFF"/>
                <w:lang w:val="en-GB"/>
              </w:rPr>
            </w:pPr>
            <w:r w:rsidRPr="00FA117E">
              <w:rPr>
                <w:b/>
                <w:color w:val="FFFFFF"/>
                <w:lang w:val="en-GB"/>
              </w:rPr>
              <w:t xml:space="preserve">Maximum mean in-block power </w:t>
            </w:r>
          </w:p>
        </w:tc>
      </w:tr>
      <w:tr w:rsidR="000226FB" w:rsidRPr="00FA117E" w:rsidTr="00BE3422">
        <w:trPr>
          <w:jc w:val="center"/>
        </w:trPr>
        <w:tc>
          <w:tcPr>
            <w:tcW w:w="5580"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551BCC">
            <w:pPr>
              <w:keepNext/>
              <w:spacing w:line="288" w:lineRule="auto"/>
              <w:jc w:val="center"/>
              <w:rPr>
                <w:lang w:val="en-GB"/>
              </w:rPr>
            </w:pPr>
            <w:r w:rsidRPr="00FA117E">
              <w:rPr>
                <w:lang w:val="en-GB"/>
              </w:rPr>
              <w:t xml:space="preserve">23 </w:t>
            </w:r>
            <w:proofErr w:type="spellStart"/>
            <w:r w:rsidRPr="00FA117E">
              <w:rPr>
                <w:lang w:val="en-GB"/>
              </w:rPr>
              <w:t>dBm</w:t>
            </w:r>
            <w:proofErr w:type="spellEnd"/>
            <w:r w:rsidRPr="00FA117E">
              <w:rPr>
                <w:lang w:val="en-GB"/>
              </w:rPr>
              <w:t xml:space="preserve"> </w:t>
            </w:r>
          </w:p>
        </w:tc>
      </w:tr>
    </w:tbl>
    <w:p w:rsidR="000226FB" w:rsidRPr="00FA117E" w:rsidRDefault="000226FB" w:rsidP="00512645">
      <w:pPr>
        <w:pStyle w:val="ECCTablenote"/>
      </w:pPr>
      <w:r w:rsidRPr="00FA117E">
        <w:t>Note: It is recognised that this value is subject to a tolerance of up to +2 dB, to take account of operation under extreme environmental conditions and production spread.</w:t>
      </w:r>
    </w:p>
    <w:p w:rsidR="000226FB" w:rsidRPr="00FA117E" w:rsidRDefault="000226FB" w:rsidP="009D68C3">
      <w:pPr>
        <w:pStyle w:val="ECCTabletitle"/>
      </w:pPr>
      <w:r w:rsidRPr="00FA117E">
        <w:t xml:space="preserve">TS Requirements for guard band (694-703 MHz)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652"/>
        <w:gridCol w:w="3402"/>
        <w:gridCol w:w="2693"/>
      </w:tblGrid>
      <w:tr w:rsidR="000226FB" w:rsidRPr="00FA117E" w:rsidTr="00512645">
        <w:trPr>
          <w:tblHeader/>
        </w:trPr>
        <w:tc>
          <w:tcPr>
            <w:tcW w:w="3652"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0226FB" w:rsidRPr="00FA117E" w:rsidRDefault="000226FB" w:rsidP="00BE3422">
            <w:pPr>
              <w:keepNext/>
              <w:spacing w:line="288" w:lineRule="auto"/>
              <w:jc w:val="center"/>
              <w:rPr>
                <w:b/>
                <w:color w:val="FFFFFF"/>
                <w:lang w:val="en-GB"/>
              </w:rPr>
            </w:pPr>
            <w:r w:rsidRPr="00FA117E">
              <w:rPr>
                <w:b/>
                <w:color w:val="FFFFFF"/>
                <w:lang w:val="en-GB"/>
              </w:rPr>
              <w:t>Frequency range of out-of-block emissions</w:t>
            </w:r>
          </w:p>
        </w:tc>
        <w:tc>
          <w:tcPr>
            <w:tcW w:w="3402"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0226FB" w:rsidRPr="00FA117E" w:rsidRDefault="000226FB" w:rsidP="00BE3422">
            <w:pPr>
              <w:keepNext/>
              <w:spacing w:line="288" w:lineRule="auto"/>
              <w:jc w:val="center"/>
              <w:rPr>
                <w:b/>
                <w:color w:val="FFFFFF"/>
                <w:lang w:val="en-GB"/>
              </w:rPr>
            </w:pPr>
            <w:r w:rsidRPr="00FA117E">
              <w:rPr>
                <w:b/>
                <w:color w:val="FFFFFF"/>
                <w:lang w:val="en-GB"/>
              </w:rPr>
              <w:t xml:space="preserve">Maximum mean </w:t>
            </w:r>
          </w:p>
          <w:p w:rsidR="000226FB" w:rsidRPr="00FA117E" w:rsidRDefault="000226FB" w:rsidP="00BE3422">
            <w:pPr>
              <w:keepNext/>
              <w:spacing w:line="288" w:lineRule="auto"/>
              <w:jc w:val="center"/>
              <w:rPr>
                <w:b/>
                <w:color w:val="FFFFFF"/>
                <w:lang w:val="en-GB"/>
              </w:rPr>
            </w:pPr>
            <w:r w:rsidRPr="00FA117E">
              <w:rPr>
                <w:b/>
                <w:color w:val="FFFFFF"/>
                <w:lang w:val="en-GB"/>
              </w:rPr>
              <w:t xml:space="preserve">out-of-block </w:t>
            </w:r>
            <w:proofErr w:type="spellStart"/>
            <w:r w:rsidRPr="00FA117E">
              <w:rPr>
                <w:b/>
                <w:color w:val="FFFFFF"/>
                <w:lang w:val="en-GB"/>
              </w:rPr>
              <w:t>e.i.r.p</w:t>
            </w:r>
            <w:proofErr w:type="spellEnd"/>
            <w:r w:rsidRPr="00FA117E">
              <w:rPr>
                <w:b/>
                <w:color w:val="FFFFFF"/>
                <w:lang w:val="en-GB"/>
              </w:rPr>
              <w:t>.</w:t>
            </w:r>
          </w:p>
        </w:tc>
        <w:tc>
          <w:tcPr>
            <w:tcW w:w="2693"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0226FB" w:rsidRPr="00FA117E" w:rsidRDefault="000226FB" w:rsidP="00BE3422">
            <w:pPr>
              <w:keepNext/>
              <w:spacing w:line="288" w:lineRule="auto"/>
              <w:jc w:val="center"/>
              <w:rPr>
                <w:b/>
                <w:color w:val="FFFFFF"/>
                <w:lang w:val="en-GB"/>
              </w:rPr>
            </w:pPr>
            <w:r w:rsidRPr="00FA117E">
              <w:rPr>
                <w:b/>
                <w:color w:val="FFFFFF"/>
                <w:lang w:val="en-GB"/>
              </w:rPr>
              <w:t xml:space="preserve">Measurement </w:t>
            </w:r>
          </w:p>
          <w:p w:rsidR="000226FB" w:rsidRPr="00FA117E" w:rsidRDefault="009940E8" w:rsidP="00BE3422">
            <w:pPr>
              <w:keepNext/>
              <w:spacing w:line="288" w:lineRule="auto"/>
              <w:jc w:val="center"/>
              <w:rPr>
                <w:b/>
                <w:color w:val="FFFFFF"/>
                <w:lang w:val="en-GB"/>
              </w:rPr>
            </w:pPr>
            <w:r w:rsidRPr="00FA117E">
              <w:rPr>
                <w:b/>
                <w:color w:val="FFFFFF"/>
                <w:lang w:val="en-GB"/>
              </w:rPr>
              <w:t>B</w:t>
            </w:r>
            <w:r w:rsidR="000226FB" w:rsidRPr="00FA117E">
              <w:rPr>
                <w:b/>
                <w:color w:val="FFFFFF"/>
                <w:lang w:val="en-GB"/>
              </w:rPr>
              <w:t>andwidth</w:t>
            </w:r>
          </w:p>
        </w:tc>
      </w:tr>
      <w:tr w:rsidR="000226FB" w:rsidRPr="00FA117E" w:rsidTr="00512645">
        <w:tc>
          <w:tcPr>
            <w:tcW w:w="3652"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551BCC" w:rsidP="00551BCC">
            <w:pPr>
              <w:keepNext/>
              <w:rPr>
                <w:lang w:val="en-GB"/>
              </w:rPr>
            </w:pPr>
            <w:r w:rsidRPr="00FA117E">
              <w:rPr>
                <w:lang w:val="en-GB"/>
              </w:rPr>
              <w:t>694-</w:t>
            </w:r>
            <w:r w:rsidR="000226FB" w:rsidRPr="00FA117E">
              <w:rPr>
                <w:lang w:val="en-GB"/>
              </w:rPr>
              <w:t>698 MHz</w:t>
            </w:r>
          </w:p>
        </w:tc>
        <w:tc>
          <w:tcPr>
            <w:tcW w:w="3402"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keepNext/>
              <w:rPr>
                <w:lang w:val="en-GB"/>
              </w:rPr>
            </w:pPr>
            <w:r w:rsidRPr="00FA117E">
              <w:rPr>
                <w:lang w:val="en-GB"/>
              </w:rPr>
              <w:t xml:space="preserve">-7 </w:t>
            </w:r>
            <w:proofErr w:type="spellStart"/>
            <w:r w:rsidRPr="00FA117E">
              <w:rPr>
                <w:lang w:val="en-GB"/>
              </w:rPr>
              <w:t>dBm</w:t>
            </w:r>
            <w:proofErr w:type="spellEnd"/>
            <w:r w:rsidRPr="00FA117E">
              <w:rPr>
                <w:lang w:val="en-GB"/>
              </w:rPr>
              <w:t xml:space="preserve"> </w:t>
            </w:r>
          </w:p>
        </w:tc>
        <w:tc>
          <w:tcPr>
            <w:tcW w:w="2693"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keepNext/>
              <w:rPr>
                <w:lang w:val="en-GB"/>
              </w:rPr>
            </w:pPr>
            <w:r w:rsidRPr="00FA117E">
              <w:rPr>
                <w:lang w:val="en-GB"/>
              </w:rPr>
              <w:t>4 MHz</w:t>
            </w:r>
          </w:p>
        </w:tc>
      </w:tr>
      <w:tr w:rsidR="000226FB" w:rsidRPr="00FA117E" w:rsidTr="00512645">
        <w:tc>
          <w:tcPr>
            <w:tcW w:w="3652"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551BCC" w:rsidP="00BE3422">
            <w:pPr>
              <w:rPr>
                <w:lang w:val="en-GB"/>
              </w:rPr>
            </w:pPr>
            <w:r w:rsidRPr="00FA117E">
              <w:rPr>
                <w:lang w:val="en-GB"/>
              </w:rPr>
              <w:t>698-</w:t>
            </w:r>
            <w:r w:rsidR="000226FB" w:rsidRPr="00FA117E">
              <w:rPr>
                <w:lang w:val="en-GB"/>
              </w:rPr>
              <w:t>703 MHz</w:t>
            </w:r>
            <w:r w:rsidR="00CD294A" w:rsidRPr="00FA117E">
              <w:rPr>
                <w:lang w:val="en-GB"/>
              </w:rPr>
              <w:t xml:space="preserve"> </w:t>
            </w:r>
          </w:p>
        </w:tc>
        <w:tc>
          <w:tcPr>
            <w:tcW w:w="3402"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rPr>
                <w:lang w:val="en-GB"/>
              </w:rPr>
            </w:pPr>
            <w:r w:rsidRPr="00FA117E">
              <w:rPr>
                <w:lang w:val="en-GB"/>
              </w:rPr>
              <w:t xml:space="preserve"> 2 </w:t>
            </w:r>
            <w:proofErr w:type="spellStart"/>
            <w:r w:rsidRPr="00FA117E">
              <w:rPr>
                <w:lang w:val="en-GB"/>
              </w:rPr>
              <w:t>dBm</w:t>
            </w:r>
            <w:proofErr w:type="spellEnd"/>
            <w:r w:rsidRPr="00FA117E">
              <w:rPr>
                <w:lang w:val="en-GB"/>
              </w:rPr>
              <w:t xml:space="preserve"> </w:t>
            </w:r>
          </w:p>
        </w:tc>
        <w:tc>
          <w:tcPr>
            <w:tcW w:w="2693"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rPr>
                <w:lang w:val="en-GB"/>
              </w:rPr>
            </w:pPr>
            <w:r w:rsidRPr="00FA117E">
              <w:rPr>
                <w:lang w:val="en-GB"/>
              </w:rPr>
              <w:t>5 MHz</w:t>
            </w:r>
          </w:p>
        </w:tc>
      </w:tr>
    </w:tbl>
    <w:p w:rsidR="000226FB" w:rsidRPr="00FA117E" w:rsidRDefault="00AB6022" w:rsidP="009D68C3">
      <w:pPr>
        <w:pStyle w:val="ECCTabletitle"/>
      </w:pPr>
      <w:bookmarkStart w:id="24" w:name="_Ref433363904"/>
      <w:r w:rsidRPr="00FA117E">
        <w:t xml:space="preserve"> </w:t>
      </w:r>
      <w:bookmarkStart w:id="25" w:name="_Ref433366070"/>
      <w:r w:rsidR="000226FB" w:rsidRPr="00FA117E">
        <w:t>TS requirements for duplex gap (733-758 MHz)</w:t>
      </w:r>
      <w:bookmarkEnd w:id="24"/>
      <w:bookmarkEnd w:id="25"/>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10"/>
        <w:gridCol w:w="3544"/>
        <w:gridCol w:w="2693"/>
      </w:tblGrid>
      <w:tr w:rsidR="000226FB" w:rsidRPr="00FA117E" w:rsidTr="00512645">
        <w:trPr>
          <w:tblHeader/>
        </w:trPr>
        <w:tc>
          <w:tcPr>
            <w:tcW w:w="3510"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0226FB" w:rsidRPr="00FA117E" w:rsidRDefault="000226FB" w:rsidP="00BE3422">
            <w:pPr>
              <w:keepNext/>
              <w:spacing w:line="288" w:lineRule="auto"/>
              <w:jc w:val="center"/>
              <w:rPr>
                <w:b/>
                <w:color w:val="FFFFFF"/>
                <w:lang w:val="en-GB"/>
              </w:rPr>
            </w:pPr>
            <w:r w:rsidRPr="00FA117E">
              <w:rPr>
                <w:b/>
                <w:color w:val="FFFFFF"/>
                <w:lang w:val="en-GB"/>
              </w:rPr>
              <w:t>Frequency range of out-of-block emissions</w:t>
            </w:r>
          </w:p>
        </w:tc>
        <w:tc>
          <w:tcPr>
            <w:tcW w:w="3544"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0226FB" w:rsidRPr="00FA117E" w:rsidRDefault="000226FB" w:rsidP="00BE3422">
            <w:pPr>
              <w:keepNext/>
              <w:spacing w:line="288" w:lineRule="auto"/>
              <w:jc w:val="center"/>
              <w:rPr>
                <w:b/>
                <w:color w:val="FFFFFF"/>
                <w:lang w:val="en-GB"/>
              </w:rPr>
            </w:pPr>
            <w:r w:rsidRPr="00FA117E">
              <w:rPr>
                <w:b/>
                <w:color w:val="FFFFFF"/>
                <w:lang w:val="en-GB"/>
              </w:rPr>
              <w:t xml:space="preserve">Maximum mean </w:t>
            </w:r>
          </w:p>
          <w:p w:rsidR="000226FB" w:rsidRPr="00FA117E" w:rsidRDefault="000226FB" w:rsidP="00BE3422">
            <w:pPr>
              <w:keepNext/>
              <w:spacing w:line="288" w:lineRule="auto"/>
              <w:jc w:val="center"/>
              <w:rPr>
                <w:b/>
                <w:color w:val="FFFFFF"/>
                <w:lang w:val="en-GB"/>
              </w:rPr>
            </w:pPr>
            <w:r w:rsidRPr="00FA117E">
              <w:rPr>
                <w:b/>
                <w:color w:val="FFFFFF"/>
                <w:lang w:val="en-GB"/>
              </w:rPr>
              <w:t xml:space="preserve">out-of-block </w:t>
            </w:r>
            <w:proofErr w:type="spellStart"/>
            <w:r w:rsidRPr="00FA117E">
              <w:rPr>
                <w:b/>
                <w:color w:val="FFFFFF"/>
                <w:lang w:val="en-GB"/>
              </w:rPr>
              <w:t>e.i.r.p</w:t>
            </w:r>
            <w:proofErr w:type="spellEnd"/>
            <w:r w:rsidRPr="00FA117E">
              <w:rPr>
                <w:b/>
                <w:color w:val="FFFFFF"/>
                <w:lang w:val="en-GB"/>
              </w:rPr>
              <w:t>.</w:t>
            </w:r>
          </w:p>
        </w:tc>
        <w:tc>
          <w:tcPr>
            <w:tcW w:w="2693"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0226FB" w:rsidRPr="00FA117E" w:rsidRDefault="000226FB" w:rsidP="00BE3422">
            <w:pPr>
              <w:keepNext/>
              <w:spacing w:line="288" w:lineRule="auto"/>
              <w:jc w:val="center"/>
              <w:rPr>
                <w:b/>
                <w:color w:val="FFFFFF"/>
                <w:lang w:val="en-GB"/>
              </w:rPr>
            </w:pPr>
            <w:r w:rsidRPr="00FA117E">
              <w:rPr>
                <w:b/>
                <w:color w:val="FFFFFF"/>
                <w:lang w:val="en-GB"/>
              </w:rPr>
              <w:t xml:space="preserve">Measurement </w:t>
            </w:r>
          </w:p>
          <w:p w:rsidR="000226FB" w:rsidRPr="00FA117E" w:rsidRDefault="009940E8" w:rsidP="00BE3422">
            <w:pPr>
              <w:keepNext/>
              <w:spacing w:line="288" w:lineRule="auto"/>
              <w:jc w:val="center"/>
              <w:rPr>
                <w:b/>
                <w:color w:val="FFFFFF"/>
                <w:lang w:val="en-GB"/>
              </w:rPr>
            </w:pPr>
            <w:r w:rsidRPr="00FA117E">
              <w:rPr>
                <w:b/>
                <w:color w:val="FFFFFF"/>
                <w:lang w:val="en-GB"/>
              </w:rPr>
              <w:t>B</w:t>
            </w:r>
            <w:r w:rsidR="000226FB" w:rsidRPr="00FA117E">
              <w:rPr>
                <w:b/>
                <w:color w:val="FFFFFF"/>
                <w:lang w:val="en-GB"/>
              </w:rPr>
              <w:t>andwidth</w:t>
            </w:r>
          </w:p>
        </w:tc>
      </w:tr>
      <w:tr w:rsidR="000226FB" w:rsidRPr="00FA117E" w:rsidTr="00512645">
        <w:tc>
          <w:tcPr>
            <w:tcW w:w="3510"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rPr>
                <w:lang w:val="en-GB"/>
              </w:rPr>
            </w:pPr>
            <w:r w:rsidRPr="00FA117E">
              <w:rPr>
                <w:lang w:val="en-GB"/>
              </w:rPr>
              <w:t>733-738 MHz</w:t>
            </w:r>
          </w:p>
        </w:tc>
        <w:tc>
          <w:tcPr>
            <w:tcW w:w="3544"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 xml:space="preserve"> 2 </w:t>
            </w:r>
            <w:proofErr w:type="spellStart"/>
            <w:r w:rsidRPr="00FA117E">
              <w:rPr>
                <w:lang w:val="en-GB"/>
              </w:rPr>
              <w:t>dBm</w:t>
            </w:r>
            <w:proofErr w:type="spellEnd"/>
            <w:r w:rsidRPr="00FA117E">
              <w:rPr>
                <w:lang w:val="en-GB"/>
              </w:rPr>
              <w:t xml:space="preserve"> </w:t>
            </w:r>
          </w:p>
        </w:tc>
        <w:tc>
          <w:tcPr>
            <w:tcW w:w="2693"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5 MHz</w:t>
            </w:r>
          </w:p>
        </w:tc>
      </w:tr>
      <w:tr w:rsidR="000226FB" w:rsidRPr="00FA117E" w:rsidTr="00512645">
        <w:tc>
          <w:tcPr>
            <w:tcW w:w="3510"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551BCC" w:rsidP="00BE3422">
            <w:pPr>
              <w:rPr>
                <w:lang w:val="en-GB"/>
              </w:rPr>
            </w:pPr>
            <w:r w:rsidRPr="00FA117E">
              <w:rPr>
                <w:lang w:val="en-GB"/>
              </w:rPr>
              <w:t>738-</w:t>
            </w:r>
            <w:r w:rsidR="000226FB" w:rsidRPr="00FA117E">
              <w:rPr>
                <w:lang w:val="en-GB"/>
              </w:rPr>
              <w:t xml:space="preserve">753 MHz </w:t>
            </w:r>
          </w:p>
        </w:tc>
        <w:tc>
          <w:tcPr>
            <w:tcW w:w="3544"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 xml:space="preserve">-6 </w:t>
            </w:r>
            <w:proofErr w:type="spellStart"/>
            <w:r w:rsidRPr="00FA117E">
              <w:rPr>
                <w:lang w:val="en-GB"/>
              </w:rPr>
              <w:t>dBm</w:t>
            </w:r>
            <w:proofErr w:type="spellEnd"/>
          </w:p>
        </w:tc>
        <w:tc>
          <w:tcPr>
            <w:tcW w:w="2693"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5 MHz</w:t>
            </w:r>
          </w:p>
        </w:tc>
      </w:tr>
      <w:tr w:rsidR="000226FB" w:rsidRPr="00FA117E" w:rsidTr="00512645">
        <w:tc>
          <w:tcPr>
            <w:tcW w:w="3510"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551BCC" w:rsidP="00BE3422">
            <w:pPr>
              <w:rPr>
                <w:lang w:val="en-GB"/>
              </w:rPr>
            </w:pPr>
            <w:r w:rsidRPr="00FA117E">
              <w:rPr>
                <w:lang w:val="en-GB"/>
              </w:rPr>
              <w:t>753-</w:t>
            </w:r>
            <w:r w:rsidR="000226FB" w:rsidRPr="00FA117E">
              <w:rPr>
                <w:lang w:val="en-GB"/>
              </w:rPr>
              <w:t>758 MHz</w:t>
            </w:r>
          </w:p>
        </w:tc>
        <w:tc>
          <w:tcPr>
            <w:tcW w:w="3544"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 xml:space="preserve">-18 </w:t>
            </w:r>
            <w:proofErr w:type="spellStart"/>
            <w:r w:rsidRPr="00FA117E">
              <w:rPr>
                <w:lang w:val="en-GB"/>
              </w:rPr>
              <w:t>dBm</w:t>
            </w:r>
            <w:proofErr w:type="spellEnd"/>
          </w:p>
        </w:tc>
        <w:tc>
          <w:tcPr>
            <w:tcW w:w="2693"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spacing w:line="288" w:lineRule="auto"/>
              <w:rPr>
                <w:lang w:val="en-GB"/>
              </w:rPr>
            </w:pPr>
            <w:r w:rsidRPr="00FA117E">
              <w:rPr>
                <w:lang w:val="en-GB"/>
              </w:rPr>
              <w:t>5 MHz</w:t>
            </w:r>
          </w:p>
        </w:tc>
      </w:tr>
      <w:tr w:rsidR="00D46EB2" w:rsidRPr="00FA117E" w:rsidTr="00313C95">
        <w:tc>
          <w:tcPr>
            <w:tcW w:w="9747" w:type="dxa"/>
            <w:gridSpan w:val="3"/>
            <w:tcBorders>
              <w:top w:val="single" w:sz="4" w:space="0" w:color="D2232A"/>
              <w:left w:val="single" w:sz="4" w:space="0" w:color="D2232A"/>
              <w:bottom w:val="single" w:sz="4" w:space="0" w:color="D2232A"/>
              <w:right w:val="single" w:sz="4" w:space="0" w:color="D2232A"/>
            </w:tcBorders>
            <w:vAlign w:val="center"/>
          </w:tcPr>
          <w:p w:rsidR="00D46EB2" w:rsidRPr="00FA117E" w:rsidRDefault="00D46EB2" w:rsidP="00512645">
            <w:pPr>
              <w:pStyle w:val="ECCTablenote"/>
            </w:pPr>
            <w:r w:rsidRPr="00FA117E">
              <w:t xml:space="preserve">Note: This table is provided for information. The values in the table have been derived from the Spectrum Emission Mask specified in clause 4.2.3 of ETSI EN 301 908-13 v6.2.1, which means that </w:t>
            </w:r>
            <w:r w:rsidR="00E82E98" w:rsidRPr="00FA117E">
              <w:t xml:space="preserve">LTE </w:t>
            </w:r>
            <w:r w:rsidRPr="00FA117E">
              <w:t>equipment will comply inherently with the emission limits speci</w:t>
            </w:r>
            <w:r w:rsidR="00E82E98" w:rsidRPr="00FA117E">
              <w:t>fied in the table. As such, no additional</w:t>
            </w:r>
            <w:r w:rsidRPr="00FA117E">
              <w:t xml:space="preserve"> test procedure </w:t>
            </w:r>
            <w:r w:rsidR="00E82E98" w:rsidRPr="00FA117E">
              <w:t>is</w:t>
            </w:r>
            <w:r w:rsidRPr="00FA117E">
              <w:t xml:space="preserve"> required to ensure compliance of such equipment with the em</w:t>
            </w:r>
            <w:r w:rsidR="009D68C3" w:rsidRPr="00FA117E">
              <w:t>ission limits specified above.</w:t>
            </w:r>
          </w:p>
        </w:tc>
      </w:tr>
    </w:tbl>
    <w:p w:rsidR="000226FB" w:rsidRPr="00FA117E" w:rsidRDefault="000226FB" w:rsidP="009D68C3">
      <w:pPr>
        <w:pStyle w:val="ECCTabletitle"/>
      </w:pPr>
      <w:bookmarkStart w:id="26" w:name="_Ref395600120"/>
      <w:bookmarkStart w:id="27" w:name="_Ref441227764"/>
      <w:r w:rsidRPr="00FA117E">
        <w:t>Unwanted emissions requirements for TS over frequencies occupied by broadcasting</w:t>
      </w:r>
      <w:bookmarkEnd w:id="26"/>
      <w:bookmarkEnd w:id="27"/>
    </w:p>
    <w:tbl>
      <w:tblPr>
        <w:tblW w:w="0" w:type="auto"/>
        <w:tblInd w:w="-3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686"/>
        <w:gridCol w:w="3402"/>
        <w:gridCol w:w="2693"/>
      </w:tblGrid>
      <w:tr w:rsidR="000226FB" w:rsidRPr="00FA117E" w:rsidTr="00E623D6">
        <w:trPr>
          <w:tblHeader/>
        </w:trPr>
        <w:tc>
          <w:tcPr>
            <w:tcW w:w="3686"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0226FB" w:rsidRPr="00FA117E" w:rsidRDefault="000226FB" w:rsidP="00BE3422">
            <w:pPr>
              <w:keepNext/>
              <w:spacing w:line="288" w:lineRule="auto"/>
              <w:jc w:val="center"/>
              <w:rPr>
                <w:b/>
                <w:color w:val="FFFFFF"/>
                <w:szCs w:val="22"/>
                <w:lang w:val="en-GB"/>
              </w:rPr>
            </w:pPr>
            <w:r w:rsidRPr="00FA117E">
              <w:rPr>
                <w:b/>
                <w:color w:val="FFFFFF"/>
                <w:lang w:val="en-GB"/>
              </w:rPr>
              <w:t xml:space="preserve">Frequency range of </w:t>
            </w:r>
          </w:p>
          <w:p w:rsidR="000226FB" w:rsidRPr="00FA117E" w:rsidRDefault="000226FB" w:rsidP="00BE3422">
            <w:pPr>
              <w:keepNext/>
              <w:spacing w:line="288" w:lineRule="auto"/>
              <w:jc w:val="center"/>
              <w:rPr>
                <w:b/>
                <w:color w:val="FFFFFF"/>
                <w:szCs w:val="22"/>
                <w:lang w:val="en-GB"/>
              </w:rPr>
            </w:pPr>
            <w:r w:rsidRPr="00FA117E">
              <w:rPr>
                <w:b/>
                <w:color w:val="FFFFFF"/>
                <w:lang w:val="en-GB"/>
              </w:rPr>
              <w:t xml:space="preserve">unwanted emissions </w:t>
            </w:r>
          </w:p>
        </w:tc>
        <w:tc>
          <w:tcPr>
            <w:tcW w:w="3402"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0226FB" w:rsidRPr="00FA117E" w:rsidRDefault="000226FB" w:rsidP="00BE3422">
            <w:pPr>
              <w:keepNext/>
              <w:spacing w:line="288" w:lineRule="auto"/>
              <w:jc w:val="center"/>
              <w:rPr>
                <w:b/>
                <w:color w:val="FFFFFF"/>
                <w:szCs w:val="22"/>
                <w:lang w:val="en-GB"/>
              </w:rPr>
            </w:pPr>
            <w:r w:rsidRPr="00FA117E">
              <w:rPr>
                <w:b/>
                <w:color w:val="FFFFFF"/>
                <w:lang w:val="en-GB"/>
              </w:rPr>
              <w:t xml:space="preserve">Maximum </w:t>
            </w:r>
            <w:r w:rsidR="009B2012" w:rsidRPr="00FA117E">
              <w:rPr>
                <w:b/>
                <w:color w:val="FFFFFF"/>
                <w:lang w:val="en-GB"/>
              </w:rPr>
              <w:t xml:space="preserve">mean unwanted emission power </w:t>
            </w:r>
            <w:r w:rsidR="009B2012" w:rsidRPr="00FA117E">
              <w:rPr>
                <w:b/>
                <w:color w:val="FFFFFF"/>
                <w:lang w:val="en-GB"/>
              </w:rPr>
              <w:br/>
              <w:t>(see Notes</w:t>
            </w:r>
            <w:r w:rsidRPr="00FA117E">
              <w:rPr>
                <w:b/>
                <w:color w:val="FFFFFF"/>
                <w:lang w:val="en-GB"/>
              </w:rPr>
              <w:t>)</w:t>
            </w:r>
          </w:p>
        </w:tc>
        <w:tc>
          <w:tcPr>
            <w:tcW w:w="2693"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0226FB" w:rsidRPr="00FA117E" w:rsidRDefault="000226FB" w:rsidP="00BE3422">
            <w:pPr>
              <w:keepNext/>
              <w:spacing w:line="288" w:lineRule="auto"/>
              <w:jc w:val="center"/>
              <w:rPr>
                <w:b/>
                <w:color w:val="FFFFFF"/>
                <w:szCs w:val="22"/>
                <w:lang w:val="en-GB"/>
              </w:rPr>
            </w:pPr>
            <w:r w:rsidRPr="00FA117E">
              <w:rPr>
                <w:b/>
                <w:color w:val="FFFFFF"/>
                <w:lang w:val="en-GB"/>
              </w:rPr>
              <w:t>Measurement</w:t>
            </w:r>
          </w:p>
          <w:p w:rsidR="000226FB" w:rsidRPr="00FA117E" w:rsidRDefault="000226FB" w:rsidP="00BE3422">
            <w:pPr>
              <w:keepNext/>
              <w:spacing w:line="288" w:lineRule="auto"/>
              <w:jc w:val="center"/>
              <w:rPr>
                <w:b/>
                <w:color w:val="FFFFFF"/>
                <w:szCs w:val="22"/>
                <w:lang w:val="en-GB"/>
              </w:rPr>
            </w:pPr>
            <w:r w:rsidRPr="00FA117E">
              <w:rPr>
                <w:b/>
                <w:color w:val="FFFFFF"/>
                <w:lang w:val="en-GB"/>
              </w:rPr>
              <w:t>Bandwidth</w:t>
            </w:r>
          </w:p>
        </w:tc>
      </w:tr>
      <w:tr w:rsidR="000226FB" w:rsidRPr="00FA117E" w:rsidTr="00E623D6">
        <w:tc>
          <w:tcPr>
            <w:tcW w:w="3686"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keepNext/>
              <w:spacing w:line="288" w:lineRule="auto"/>
              <w:rPr>
                <w:lang w:val="en-GB"/>
              </w:rPr>
            </w:pPr>
            <w:r w:rsidRPr="00FA117E">
              <w:rPr>
                <w:lang w:val="en-GB"/>
              </w:rPr>
              <w:t>470-694 MHz</w:t>
            </w:r>
          </w:p>
        </w:tc>
        <w:tc>
          <w:tcPr>
            <w:tcW w:w="3402"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keepNext/>
              <w:spacing w:line="288" w:lineRule="auto"/>
              <w:rPr>
                <w:lang w:val="en-GB"/>
              </w:rPr>
            </w:pPr>
            <w:r w:rsidRPr="00FA117E">
              <w:rPr>
                <w:lang w:val="en-GB"/>
              </w:rPr>
              <w:t xml:space="preserve">-42 </w:t>
            </w:r>
            <w:proofErr w:type="spellStart"/>
            <w:r w:rsidRPr="00FA117E">
              <w:rPr>
                <w:lang w:val="en-GB"/>
              </w:rPr>
              <w:t>dBm</w:t>
            </w:r>
            <w:proofErr w:type="spellEnd"/>
          </w:p>
        </w:tc>
        <w:tc>
          <w:tcPr>
            <w:tcW w:w="2693" w:type="dxa"/>
            <w:tcBorders>
              <w:top w:val="single" w:sz="4" w:space="0" w:color="D2232A"/>
              <w:left w:val="single" w:sz="4" w:space="0" w:color="D2232A"/>
              <w:bottom w:val="single" w:sz="4" w:space="0" w:color="D2232A"/>
              <w:right w:val="single" w:sz="4" w:space="0" w:color="D2232A"/>
            </w:tcBorders>
            <w:vAlign w:val="center"/>
          </w:tcPr>
          <w:p w:rsidR="000226FB" w:rsidRPr="00FA117E" w:rsidRDefault="000226FB" w:rsidP="00BE3422">
            <w:pPr>
              <w:keepNext/>
              <w:spacing w:line="288" w:lineRule="auto"/>
              <w:rPr>
                <w:lang w:val="en-GB"/>
              </w:rPr>
            </w:pPr>
            <w:r w:rsidRPr="00FA117E">
              <w:rPr>
                <w:lang w:val="en-GB"/>
              </w:rPr>
              <w:t>8 MHz</w:t>
            </w:r>
          </w:p>
        </w:tc>
      </w:tr>
    </w:tbl>
    <w:p w:rsidR="000226FB" w:rsidRPr="00FA117E" w:rsidDel="001101DC" w:rsidRDefault="000226FB" w:rsidP="00512645">
      <w:pPr>
        <w:pStyle w:val="ECCTablenote"/>
      </w:pPr>
      <w:r w:rsidRPr="00FA117E">
        <w:t xml:space="preserve">Note 1: Unwanted emission limit </w:t>
      </w:r>
      <w:r w:rsidR="00512645">
        <w:t>is</w:t>
      </w:r>
      <w:r w:rsidRPr="00FA117E">
        <w:t xml:space="preserve"> based on broadcasting using DVB-T2 and derived for an MFCN system with a  bandwidth of </w:t>
      </w:r>
      <w:r w:rsidRPr="00FA117E">
        <w:br/>
        <w:t xml:space="preserve">10 MHz for a DTT-MFCN centre frequency separation of 18 MHz (assuming an 8 MHz TV channel, 9 MHz guard band and a 10 MHz MFCN bandwidth). </w:t>
      </w:r>
    </w:p>
    <w:p w:rsidR="000226FB" w:rsidRPr="00FA117E" w:rsidRDefault="000226FB" w:rsidP="00512645">
      <w:pPr>
        <w:pStyle w:val="ECCTablenote"/>
      </w:pPr>
      <w:r w:rsidRPr="00FA117E">
        <w:t xml:space="preserve">If administrations wish to allow the deployment of MFCN on a national basis with a bandwidth greater than 10 MHz and in case an out-of-band power higher than -42 </w:t>
      </w:r>
      <w:proofErr w:type="spellStart"/>
      <w:r w:rsidRPr="00FA117E">
        <w:t>dBm</w:t>
      </w:r>
      <w:proofErr w:type="spellEnd"/>
      <w:r w:rsidRPr="00FA117E">
        <w:t>/8</w:t>
      </w:r>
      <w:r w:rsidR="00705BC0" w:rsidRPr="00FA117E">
        <w:t xml:space="preserve"> </w:t>
      </w:r>
      <w:r w:rsidRPr="00FA117E">
        <w:t>MHz is generated in the band below 694 MHz, they should consider:</w:t>
      </w:r>
    </w:p>
    <w:p w:rsidR="000226FB" w:rsidRPr="00FA117E" w:rsidRDefault="000226FB" w:rsidP="00512645">
      <w:pPr>
        <w:pStyle w:val="ECCTablenote"/>
      </w:pPr>
      <w:proofErr w:type="gramStart"/>
      <w:r w:rsidRPr="00FA117E">
        <w:t>either</w:t>
      </w:r>
      <w:proofErr w:type="gramEnd"/>
      <w:r w:rsidRPr="00FA117E">
        <w:t xml:space="preserve"> implementing the greater MFCN bandwidth starting at a frequency higher than 703 MHz so that the required limit of out-of-band power is still met;</w:t>
      </w:r>
    </w:p>
    <w:p w:rsidR="009B2012" w:rsidRPr="00FA117E" w:rsidRDefault="000226FB" w:rsidP="00512645">
      <w:pPr>
        <w:pStyle w:val="ECCTablenote"/>
      </w:pPr>
      <w:proofErr w:type="gramStart"/>
      <w:r w:rsidRPr="00FA117E">
        <w:t>and/or</w:t>
      </w:r>
      <w:proofErr w:type="gramEnd"/>
      <w:r w:rsidRPr="00FA117E">
        <w:t xml:space="preserve"> applying mitigation techniques (see Note 3).</w:t>
      </w:r>
    </w:p>
    <w:p w:rsidR="000226FB" w:rsidRPr="00FA117E" w:rsidRDefault="000226FB" w:rsidP="00512645">
      <w:pPr>
        <w:pStyle w:val="ECCTablenote"/>
      </w:pPr>
      <w:r w:rsidRPr="00FA117E">
        <w:t xml:space="preserve">Note 2: This value has been derived with regard to fixed DTT reception. Administrations who wish to consider portable-indoor DTT reception may need, on a case-by-case basis, to implement further measures at a national/local level (see Note 3). </w:t>
      </w:r>
    </w:p>
    <w:p w:rsidR="000226FB" w:rsidRPr="00FA117E" w:rsidRDefault="000226FB" w:rsidP="00512645">
      <w:pPr>
        <w:pStyle w:val="ECCTablenote"/>
      </w:pPr>
      <w:r w:rsidRPr="00FA117E">
        <w:t xml:space="preserve">Note 3: Examples of potential mitigation techniques which may be considered by administrations include using additional DTT filtering, reducing the in-block power of the TS, reducing the bandwidth of the TS transmissions, or using techniques contained in the non-exhaustive list of potential mitigation techniques given in CEPT Report 30 </w:t>
      </w:r>
      <w:r w:rsidRPr="00FA117E">
        <w:fldChar w:fldCharType="begin"/>
      </w:r>
      <w:r w:rsidRPr="00FA117E">
        <w:instrText xml:space="preserve"> REF _Ref420683237 \r \h </w:instrText>
      </w:r>
      <w:r w:rsidR="006F75CE" w:rsidRPr="00FA117E">
        <w:instrText xml:space="preserve"> \* MERGEFORMAT </w:instrText>
      </w:r>
      <w:r w:rsidRPr="00FA117E">
        <w:fldChar w:fldCharType="separate"/>
      </w:r>
      <w:r w:rsidR="005C651F" w:rsidRPr="00FA117E">
        <w:t>[3]</w:t>
      </w:r>
      <w:r w:rsidRPr="00FA117E">
        <w:fldChar w:fldCharType="end"/>
      </w:r>
      <w:r w:rsidR="001A690B" w:rsidRPr="00FA117E">
        <w:t>.</w:t>
      </w:r>
    </w:p>
    <w:p w:rsidR="00F216A6" w:rsidRPr="00FA117E" w:rsidRDefault="00F216A6" w:rsidP="00F216A6">
      <w:pPr>
        <w:pStyle w:val="Heading1"/>
      </w:pPr>
      <w:bookmarkStart w:id="28" w:name="_Toc441229621"/>
      <w:r w:rsidRPr="00FA117E">
        <w:lastRenderedPageBreak/>
        <w:t>review of alternat</w:t>
      </w:r>
      <w:r w:rsidR="002626C1" w:rsidRPr="00FA117E">
        <w:t>ive options for PMSE, PPDR, M2M</w:t>
      </w:r>
      <w:r w:rsidRPr="00FA117E">
        <w:t xml:space="preserve"> on a national basis within the given channelling arrangement for MFCN in the 700 MH</w:t>
      </w:r>
      <w:r w:rsidRPr="00FA117E">
        <w:rPr>
          <w:sz w:val="16"/>
        </w:rPr>
        <w:t>z</w:t>
      </w:r>
      <w:r w:rsidRPr="00FA117E">
        <w:t xml:space="preserve"> band including FDD (2</w:t>
      </w:r>
      <w:r w:rsidR="00705BC0" w:rsidRPr="00FA117E">
        <w:rPr>
          <w:caps w:val="0"/>
        </w:rPr>
        <w:t>x</w:t>
      </w:r>
      <w:r w:rsidRPr="00FA117E">
        <w:t>30 MH</w:t>
      </w:r>
      <w:r w:rsidRPr="00FA117E">
        <w:rPr>
          <w:sz w:val="16"/>
        </w:rPr>
        <w:t>z</w:t>
      </w:r>
      <w:r w:rsidRPr="00FA117E">
        <w:t>)</w:t>
      </w:r>
      <w:bookmarkEnd w:id="28"/>
    </w:p>
    <w:p w:rsidR="009A3E57" w:rsidRPr="00FA117E" w:rsidRDefault="00FF7FC0" w:rsidP="00FF7FC0">
      <w:pPr>
        <w:pStyle w:val="ECCParagraph"/>
      </w:pPr>
      <w:r w:rsidRPr="00FA117E">
        <w:t xml:space="preserve">CEPT Report 53 </w:t>
      </w:r>
      <w:r w:rsidR="00E63FB1" w:rsidRPr="00FA117E">
        <w:fldChar w:fldCharType="begin"/>
      </w:r>
      <w:r w:rsidR="00E63FB1" w:rsidRPr="00FA117E">
        <w:instrText xml:space="preserve"> REF _Ref420684125 \r \h </w:instrText>
      </w:r>
      <w:r w:rsidR="00532417" w:rsidRPr="00FA117E">
        <w:instrText xml:space="preserve"> \* MERGEFORMAT </w:instrText>
      </w:r>
      <w:r w:rsidR="00E63FB1" w:rsidRPr="00FA117E">
        <w:fldChar w:fldCharType="separate"/>
      </w:r>
      <w:r w:rsidR="005C651F" w:rsidRPr="00FA117E">
        <w:t>[1]</w:t>
      </w:r>
      <w:r w:rsidR="00E63FB1" w:rsidRPr="00FA117E">
        <w:fldChar w:fldCharType="end"/>
      </w:r>
      <w:r w:rsidR="00E63FB1" w:rsidRPr="00FA117E">
        <w:t xml:space="preserve"> </w:t>
      </w:r>
      <w:r w:rsidRPr="00FA117E">
        <w:t>describes options other than MFCN that are being considered within CEPT as an alternative to the SDL option within the given channelling arrangement for MFCN in the 700 MHz band including FDD (2x30 MHz)</w:t>
      </w:r>
      <w:r w:rsidR="00ED413D" w:rsidRPr="00FA117E">
        <w:t>:</w:t>
      </w:r>
      <w:r w:rsidR="00396346" w:rsidRPr="00FA117E">
        <w:t xml:space="preserve"> see section 2 </w:t>
      </w:r>
      <w:r w:rsidR="00ED413D" w:rsidRPr="00FA117E">
        <w:t>“</w:t>
      </w:r>
      <w:r w:rsidR="00396346" w:rsidRPr="00FA117E">
        <w:t>Alternative options for PMSE, PPDR, M2M and other services on a national basis within the given channelling arrangement for MFCN in the 700 MHz band including FDD (2x30 MHz</w:t>
      </w:r>
      <w:r w:rsidR="00ED413D" w:rsidRPr="00FA117E">
        <w:t>)”</w:t>
      </w:r>
      <w:r w:rsidR="00396346" w:rsidRPr="00FA117E">
        <w:t>.</w:t>
      </w:r>
      <w:r w:rsidR="00D166DE" w:rsidRPr="00FA117E">
        <w:t xml:space="preserve"> </w:t>
      </w:r>
      <w:r w:rsidR="000C3561" w:rsidRPr="00FA117E">
        <w:t>All t</w:t>
      </w:r>
      <w:r w:rsidR="00D166DE" w:rsidRPr="00FA117E">
        <w:t xml:space="preserve">hese options are to be realised on </w:t>
      </w:r>
      <w:r w:rsidR="00705BC0" w:rsidRPr="00FA117E">
        <w:t xml:space="preserve">a </w:t>
      </w:r>
      <w:r w:rsidR="00D166DE" w:rsidRPr="00FA117E">
        <w:t xml:space="preserve">national basis </w:t>
      </w:r>
      <w:r w:rsidR="006A1D34" w:rsidRPr="00FA117E">
        <w:t xml:space="preserve">only </w:t>
      </w:r>
      <w:r w:rsidR="00D166DE" w:rsidRPr="00FA117E">
        <w:t>according to national needs.</w:t>
      </w:r>
    </w:p>
    <w:p w:rsidR="00396346" w:rsidRPr="00FA117E" w:rsidRDefault="00396346" w:rsidP="00FF7FC0">
      <w:pPr>
        <w:pStyle w:val="ECCParagraph"/>
      </w:pPr>
      <w:r w:rsidRPr="00FA117E">
        <w:t xml:space="preserve">The analysis and description provided in CEPT </w:t>
      </w:r>
      <w:r w:rsidR="00E63FB1" w:rsidRPr="00FA117E">
        <w:t xml:space="preserve">Report </w:t>
      </w:r>
      <w:r w:rsidRPr="00FA117E">
        <w:t xml:space="preserve">53 remain valid except on </w:t>
      </w:r>
      <w:r w:rsidR="00194C26" w:rsidRPr="00FA117E">
        <w:t xml:space="preserve">the </w:t>
      </w:r>
      <w:r w:rsidR="009A3E57" w:rsidRPr="00FA117E">
        <w:t>list of PPDR band plans which have been updated</w:t>
      </w:r>
      <w:r w:rsidR="006A1D34" w:rsidRPr="00FA117E">
        <w:t xml:space="preserve"> as follows</w:t>
      </w:r>
      <w:r w:rsidR="00D166DE" w:rsidRPr="00FA117E">
        <w:t>:</w:t>
      </w:r>
    </w:p>
    <w:p w:rsidR="009A3E57" w:rsidRPr="00FA117E" w:rsidRDefault="009A3E57">
      <w:pPr>
        <w:pStyle w:val="ECCParagraph"/>
      </w:pPr>
      <w:r w:rsidRPr="00FA117E">
        <w:t xml:space="preserve">National BB-PPDR usage is planned to be accommodated within the 700 MHz range by either designating spectrum for dedicated BB-PPDR, use of commercial MFCN or a combination of </w:t>
      </w:r>
      <w:r w:rsidR="00705BC0" w:rsidRPr="00FA117E">
        <w:t>both</w:t>
      </w:r>
      <w:r w:rsidRPr="00FA117E">
        <w:t xml:space="preserve"> (hybrid) as necessary to fulfil national PPDR requirements. The band plans are summarised below:</w:t>
      </w:r>
    </w:p>
    <w:p w:rsidR="009A3E57" w:rsidRPr="00FA117E" w:rsidRDefault="009A3E57" w:rsidP="00E623D6">
      <w:pPr>
        <w:pStyle w:val="ListParagraph"/>
        <w:numPr>
          <w:ilvl w:val="0"/>
          <w:numId w:val="28"/>
        </w:numPr>
        <w:spacing w:before="120"/>
        <w:ind w:left="714" w:hanging="357"/>
        <w:jc w:val="both"/>
        <w:rPr>
          <w:lang w:val="en-GB"/>
        </w:rPr>
      </w:pPr>
      <w:r w:rsidRPr="00FA117E">
        <w:rPr>
          <w:lang w:val="en-GB"/>
        </w:rPr>
        <w:t xml:space="preserve">For BB-PPDR in dedicated spectrum outside the given FDD MFCN channelling arrangement </w:t>
      </w:r>
      <w:r w:rsidR="00E623D6" w:rsidRPr="00FA117E">
        <w:rPr>
          <w:lang w:val="en-GB"/>
        </w:rPr>
        <w:br/>
      </w:r>
      <w:r w:rsidR="00705BC0" w:rsidRPr="00FA117E">
        <w:rPr>
          <w:lang w:val="en-GB"/>
        </w:rPr>
        <w:t>(2x</w:t>
      </w:r>
      <w:r w:rsidRPr="00FA117E">
        <w:rPr>
          <w:lang w:val="en-GB"/>
        </w:rPr>
        <w:t>30</w:t>
      </w:r>
      <w:r w:rsidR="00705BC0" w:rsidRPr="00FA117E">
        <w:rPr>
          <w:lang w:val="en-GB"/>
        </w:rPr>
        <w:t> </w:t>
      </w:r>
      <w:r w:rsidRPr="00FA117E">
        <w:rPr>
          <w:lang w:val="en-GB"/>
        </w:rPr>
        <w:t>MHz), the following options are being considered: 2x5</w:t>
      </w:r>
      <w:r w:rsidR="00705BC0" w:rsidRPr="00FA117E">
        <w:rPr>
          <w:lang w:val="en-GB"/>
        </w:rPr>
        <w:t> </w:t>
      </w:r>
      <w:r w:rsidRPr="00FA117E">
        <w:rPr>
          <w:lang w:val="en-GB"/>
        </w:rPr>
        <w:t>MHz in 698-703/753-758</w:t>
      </w:r>
      <w:r w:rsidR="00705BC0" w:rsidRPr="00FA117E">
        <w:rPr>
          <w:lang w:val="en-GB"/>
        </w:rPr>
        <w:t> </w:t>
      </w:r>
      <w:r w:rsidRPr="00FA117E">
        <w:rPr>
          <w:lang w:val="en-GB"/>
        </w:rPr>
        <w:t xml:space="preserve">MHz </w:t>
      </w:r>
      <w:r w:rsidR="00E623D6" w:rsidRPr="00FA117E">
        <w:rPr>
          <w:lang w:val="en-GB"/>
        </w:rPr>
        <w:br/>
      </w:r>
      <w:r w:rsidRPr="00FA117E">
        <w:rPr>
          <w:lang w:val="en-GB"/>
        </w:rPr>
        <w:t xml:space="preserve">and/or </w:t>
      </w:r>
      <w:r w:rsidR="00705BC0" w:rsidRPr="00FA117E">
        <w:rPr>
          <w:lang w:val="en-GB"/>
        </w:rPr>
        <w:t>2x3 MHz in 733-736/788-791 </w:t>
      </w:r>
      <w:proofErr w:type="spellStart"/>
      <w:r w:rsidRPr="00FA117E">
        <w:rPr>
          <w:lang w:val="en-GB"/>
        </w:rPr>
        <w:t>MHz.</w:t>
      </w:r>
      <w:proofErr w:type="spellEnd"/>
      <w:r w:rsidRPr="00FA117E">
        <w:rPr>
          <w:lang w:val="en-GB"/>
        </w:rPr>
        <w:t xml:space="preserve"> </w:t>
      </w:r>
    </w:p>
    <w:p w:rsidR="009A3E57" w:rsidRPr="00FA117E" w:rsidRDefault="009A3E57" w:rsidP="00E623D6">
      <w:pPr>
        <w:pStyle w:val="ListParagraph"/>
        <w:numPr>
          <w:ilvl w:val="0"/>
          <w:numId w:val="28"/>
        </w:numPr>
        <w:spacing w:before="120"/>
        <w:ind w:left="714" w:hanging="357"/>
        <w:jc w:val="both"/>
        <w:rPr>
          <w:lang w:val="en-GB"/>
        </w:rPr>
      </w:pPr>
      <w:r w:rsidRPr="00FA117E">
        <w:rPr>
          <w:lang w:val="en-GB"/>
        </w:rPr>
        <w:t xml:space="preserve">BB-PPDR usage could be anywhere within the given FDD MFCN channelling arrangement </w:t>
      </w:r>
      <w:r w:rsidR="00E623D6" w:rsidRPr="00FA117E">
        <w:rPr>
          <w:lang w:val="en-GB"/>
        </w:rPr>
        <w:br/>
      </w:r>
      <w:r w:rsidR="00705BC0" w:rsidRPr="00FA117E">
        <w:rPr>
          <w:lang w:val="en-GB"/>
        </w:rPr>
        <w:t>(2x</w:t>
      </w:r>
      <w:r w:rsidRPr="00FA117E">
        <w:rPr>
          <w:lang w:val="en-GB"/>
        </w:rPr>
        <w:t>30</w:t>
      </w:r>
      <w:r w:rsidR="00705BC0" w:rsidRPr="00FA117E">
        <w:rPr>
          <w:lang w:val="en-GB"/>
        </w:rPr>
        <w:t> </w:t>
      </w:r>
      <w:r w:rsidRPr="00FA117E">
        <w:rPr>
          <w:lang w:val="en-GB"/>
        </w:rPr>
        <w:t xml:space="preserve">MHz) and </w:t>
      </w:r>
      <w:r w:rsidR="00705BC0" w:rsidRPr="00FA117E">
        <w:rPr>
          <w:lang w:val="en-GB"/>
        </w:rPr>
        <w:t>use</w:t>
      </w:r>
      <w:r w:rsidRPr="00FA117E">
        <w:rPr>
          <w:lang w:val="en-GB"/>
        </w:rPr>
        <w:t xml:space="preserve"> a conventional duplex with 55 M</w:t>
      </w:r>
      <w:r w:rsidR="002626C1" w:rsidRPr="00FA117E">
        <w:rPr>
          <w:lang w:val="en-GB"/>
        </w:rPr>
        <w:t xml:space="preserve">Hz spacing and blocks of 5 </w:t>
      </w:r>
      <w:proofErr w:type="spellStart"/>
      <w:r w:rsidR="002626C1" w:rsidRPr="00FA117E">
        <w:rPr>
          <w:lang w:val="en-GB"/>
        </w:rPr>
        <w:t>MHz.</w:t>
      </w:r>
      <w:proofErr w:type="spellEnd"/>
    </w:p>
    <w:p w:rsidR="00EB497B" w:rsidRPr="00FA117E" w:rsidRDefault="00EB497B" w:rsidP="00EB497B">
      <w:pPr>
        <w:pStyle w:val="ECCParagraph"/>
      </w:pPr>
    </w:p>
    <w:p w:rsidR="00A56A54" w:rsidRPr="00FA117E" w:rsidRDefault="00AF6AAF" w:rsidP="00532417">
      <w:pPr>
        <w:rPr>
          <w:lang w:val="en-GB"/>
        </w:rPr>
      </w:pPr>
      <w:r w:rsidRPr="00FA117E">
        <w:rPr>
          <w:lang w:val="en-GB"/>
        </w:rPr>
        <w:t>It should be noticed that t</w:t>
      </w:r>
      <w:r w:rsidR="00E2710E" w:rsidRPr="00FA117E">
        <w:rPr>
          <w:lang w:val="en-GB"/>
        </w:rPr>
        <w:t xml:space="preserve">he combination of PPDR or M2M UL, 733-736 MHz, with the lowest SDL block, 738-743 MHz, will result in a </w:t>
      </w:r>
      <w:r w:rsidR="00D940A6" w:rsidRPr="00FA117E">
        <w:rPr>
          <w:lang w:val="en-GB"/>
        </w:rPr>
        <w:t xml:space="preserve">frequency </w:t>
      </w:r>
      <w:r w:rsidR="009D7102" w:rsidRPr="00FA117E">
        <w:rPr>
          <w:lang w:val="en-GB"/>
        </w:rPr>
        <w:t>separation</w:t>
      </w:r>
      <w:r w:rsidR="00D940A6" w:rsidRPr="00FA117E">
        <w:rPr>
          <w:lang w:val="en-GB"/>
        </w:rPr>
        <w:t xml:space="preserve"> </w:t>
      </w:r>
      <w:r w:rsidR="00E2710E" w:rsidRPr="00FA117E">
        <w:rPr>
          <w:lang w:val="en-GB"/>
        </w:rPr>
        <w:t xml:space="preserve">of only 2 </w:t>
      </w:r>
      <w:proofErr w:type="spellStart"/>
      <w:r w:rsidR="00E2710E" w:rsidRPr="00FA117E">
        <w:rPr>
          <w:lang w:val="en-GB"/>
        </w:rPr>
        <w:t>MHz</w:t>
      </w:r>
      <w:r w:rsidR="009D7102" w:rsidRPr="00FA117E">
        <w:rPr>
          <w:lang w:val="en-GB"/>
        </w:rPr>
        <w:t>.</w:t>
      </w:r>
      <w:proofErr w:type="spellEnd"/>
      <w:r w:rsidR="009D7102" w:rsidRPr="00FA117E">
        <w:rPr>
          <w:lang w:val="en-GB"/>
        </w:rPr>
        <w:t xml:space="preserve"> </w:t>
      </w:r>
      <w:r w:rsidR="00C94248" w:rsidRPr="00FA117E">
        <w:rPr>
          <w:lang w:val="en-GB"/>
        </w:rPr>
        <w:t>A</w:t>
      </w:r>
      <w:r w:rsidR="00517AF4" w:rsidRPr="00FA117E">
        <w:rPr>
          <w:lang w:val="en-GB"/>
        </w:rPr>
        <w:t>s explained in ECC Report 218</w:t>
      </w:r>
      <w:r w:rsidR="00C94248" w:rsidRPr="00FA117E">
        <w:rPr>
          <w:lang w:val="en-GB"/>
        </w:rPr>
        <w:t xml:space="preserve"> this configuration is manageable by administration</w:t>
      </w:r>
      <w:r w:rsidR="00705BC0" w:rsidRPr="00FA117E">
        <w:rPr>
          <w:lang w:val="en-GB"/>
        </w:rPr>
        <w:t>s</w:t>
      </w:r>
      <w:r w:rsidR="00C94248" w:rsidRPr="00FA117E">
        <w:rPr>
          <w:lang w:val="en-GB"/>
        </w:rPr>
        <w:t xml:space="preserve"> although it is noted that particular measures may be needed and taken on a case-by-case basis.</w:t>
      </w:r>
      <w:r w:rsidR="00517AF4" w:rsidRPr="00FA117E">
        <w:rPr>
          <w:lang w:val="en-GB"/>
        </w:rPr>
        <w:t xml:space="preserve"> </w:t>
      </w:r>
    </w:p>
    <w:p w:rsidR="00F216A6" w:rsidRPr="00FA117E" w:rsidRDefault="00F216A6" w:rsidP="00F216A6">
      <w:pPr>
        <w:pStyle w:val="Heading1"/>
      </w:pPr>
      <w:bookmarkStart w:id="29" w:name="_Toc441229622"/>
      <w:r w:rsidRPr="00FA117E">
        <w:lastRenderedPageBreak/>
        <w:t xml:space="preserve">Review of technical conditions </w:t>
      </w:r>
      <w:r w:rsidR="00BF3DED" w:rsidRPr="00FA117E">
        <w:t xml:space="preserve">for </w:t>
      </w:r>
      <w:r w:rsidR="00C45568" w:rsidRPr="00FA117E">
        <w:t xml:space="preserve">the </w:t>
      </w:r>
      <w:r w:rsidR="00D166DE" w:rsidRPr="00FA117E">
        <w:t>wireless Audio</w:t>
      </w:r>
      <w:r w:rsidR="00C45568" w:rsidRPr="00FA117E">
        <w:t xml:space="preserve"> component of</w:t>
      </w:r>
      <w:r w:rsidR="00D166DE" w:rsidRPr="00FA117E">
        <w:t xml:space="preserve"> </w:t>
      </w:r>
      <w:r w:rsidRPr="00FA117E">
        <w:t>PMSE</w:t>
      </w:r>
      <w:bookmarkEnd w:id="29"/>
    </w:p>
    <w:p w:rsidR="006F3BC8" w:rsidRPr="00FA117E" w:rsidRDefault="006F3BC8" w:rsidP="006F3BC8">
      <w:pPr>
        <w:pStyle w:val="ECCParagraph"/>
      </w:pPr>
      <w:r w:rsidRPr="00FA117E">
        <w:t xml:space="preserve">The technical conditions for PMSE in CEPT Report 53 </w:t>
      </w:r>
      <w:r w:rsidR="00E63FB1" w:rsidRPr="00FA117E">
        <w:fldChar w:fldCharType="begin"/>
      </w:r>
      <w:r w:rsidR="00E63FB1" w:rsidRPr="00FA117E">
        <w:instrText xml:space="preserve"> REF _Ref420684125 \r \h </w:instrText>
      </w:r>
      <w:r w:rsidR="00532417" w:rsidRPr="00FA117E">
        <w:instrText xml:space="preserve"> \* MERGEFORMAT </w:instrText>
      </w:r>
      <w:r w:rsidR="00E63FB1" w:rsidRPr="00FA117E">
        <w:fldChar w:fldCharType="separate"/>
      </w:r>
      <w:r w:rsidR="005C651F" w:rsidRPr="00FA117E">
        <w:t>[1]</w:t>
      </w:r>
      <w:r w:rsidR="00E63FB1" w:rsidRPr="00FA117E">
        <w:fldChar w:fldCharType="end"/>
      </w:r>
      <w:r w:rsidR="00E63FB1" w:rsidRPr="00FA117E">
        <w:t xml:space="preserve"> </w:t>
      </w:r>
      <w:r w:rsidRPr="00FA117E">
        <w:t xml:space="preserve">ensure protection of MFCN in the band </w:t>
      </w:r>
      <w:r w:rsidR="00E623D6" w:rsidRPr="00FA117E">
        <w:br/>
      </w:r>
      <w:r w:rsidRPr="00FA117E">
        <w:t xml:space="preserve">694-790 MHz and are derived from the body loss values used for PMSE in the duplex gap 1785-1805 MHz (CEPT Report 50 </w:t>
      </w:r>
      <w:r w:rsidRPr="00FA117E">
        <w:fldChar w:fldCharType="begin"/>
      </w:r>
      <w:r w:rsidRPr="00FA117E">
        <w:instrText xml:space="preserve"> REF _Ref420684018 \r \h </w:instrText>
      </w:r>
      <w:r w:rsidR="00532417" w:rsidRPr="00FA117E">
        <w:instrText xml:space="preserve"> \* MERGEFORMAT </w:instrText>
      </w:r>
      <w:r w:rsidRPr="00FA117E">
        <w:fldChar w:fldCharType="separate"/>
      </w:r>
      <w:r w:rsidR="005C651F" w:rsidRPr="00FA117E">
        <w:t>[4]</w:t>
      </w:r>
      <w:r w:rsidRPr="00FA117E">
        <w:fldChar w:fldCharType="end"/>
      </w:r>
      <w:r w:rsidRPr="00FA117E">
        <w:t xml:space="preserve">). </w:t>
      </w:r>
      <w:r w:rsidR="000F7A81" w:rsidRPr="00FA117E">
        <w:t>Further to a review of the</w:t>
      </w:r>
      <w:r w:rsidR="00396346" w:rsidRPr="00FA117E">
        <w:t>s</w:t>
      </w:r>
      <w:r w:rsidR="000F7A81" w:rsidRPr="00FA117E">
        <w:t>e</w:t>
      </w:r>
      <w:r w:rsidR="00396346" w:rsidRPr="00FA117E">
        <w:t xml:space="preserve"> technical conditions, </w:t>
      </w:r>
      <w:r w:rsidR="00CE7D32" w:rsidRPr="00FA117E">
        <w:t xml:space="preserve">CEPT confirmed the conclusion derived in CEPT Report 53 including the PMSE power restrictions presented in </w:t>
      </w:r>
      <w:r w:rsidR="008F5B6A" w:rsidRPr="00FA117E">
        <w:fldChar w:fldCharType="begin"/>
      </w:r>
      <w:r w:rsidR="008F5B6A" w:rsidRPr="00FA117E">
        <w:instrText xml:space="preserve"> REF _Ref260526207 \r \h </w:instrText>
      </w:r>
      <w:r w:rsidR="00532417" w:rsidRPr="00FA117E">
        <w:instrText xml:space="preserve"> \* MERGEFORMAT </w:instrText>
      </w:r>
      <w:r w:rsidR="008F5B6A" w:rsidRPr="00FA117E">
        <w:fldChar w:fldCharType="separate"/>
      </w:r>
      <w:r w:rsidR="005C651F" w:rsidRPr="00FA117E">
        <w:t>Table 13:</w:t>
      </w:r>
      <w:r w:rsidR="008F5B6A" w:rsidRPr="00FA117E">
        <w:fldChar w:fldCharType="end"/>
      </w:r>
      <w:r w:rsidR="00CE7D32" w:rsidRPr="00FA117E">
        <w:t xml:space="preserve"> and </w:t>
      </w:r>
      <w:r w:rsidR="008F5B6A" w:rsidRPr="00FA117E">
        <w:fldChar w:fldCharType="begin"/>
      </w:r>
      <w:r w:rsidR="008F5B6A" w:rsidRPr="00FA117E">
        <w:instrText xml:space="preserve"> REF _Ref260527418 \r \h </w:instrText>
      </w:r>
      <w:r w:rsidR="00532417" w:rsidRPr="00FA117E">
        <w:instrText xml:space="preserve"> \* MERGEFORMAT </w:instrText>
      </w:r>
      <w:r w:rsidR="008F5B6A" w:rsidRPr="00FA117E">
        <w:fldChar w:fldCharType="separate"/>
      </w:r>
      <w:r w:rsidR="005C651F" w:rsidRPr="00FA117E">
        <w:t>Table 14:</w:t>
      </w:r>
      <w:r w:rsidR="008F5B6A" w:rsidRPr="00FA117E">
        <w:fldChar w:fldCharType="end"/>
      </w:r>
      <w:r w:rsidR="00CE7D32" w:rsidRPr="00FA117E">
        <w:t xml:space="preserve"> of that report</w:t>
      </w:r>
      <w:r w:rsidR="00EA317C" w:rsidRPr="00FA117E">
        <w:t>.</w:t>
      </w:r>
      <w:r w:rsidR="00396346" w:rsidRPr="00FA117E">
        <w:t xml:space="preserve"> </w:t>
      </w:r>
    </w:p>
    <w:p w:rsidR="006F3BC8" w:rsidRPr="00FA117E" w:rsidRDefault="006F3BC8" w:rsidP="006F3BC8">
      <w:pPr>
        <w:pStyle w:val="ECCParagraph"/>
      </w:pPr>
      <w:r w:rsidRPr="00FA117E">
        <w:t xml:space="preserve">Professional PMSE systems need to ensure a certain </w:t>
      </w:r>
      <w:proofErr w:type="spellStart"/>
      <w:r w:rsidRPr="00FA117E">
        <w:t>QoS</w:t>
      </w:r>
      <w:proofErr w:type="spellEnd"/>
      <w:r w:rsidRPr="00FA117E">
        <w:t>; i.e. these systems will be operated only if the setup procedure ensures an interference free operation in the frequency band under consideration. This procedure will guarantee vice versa the protection of MFCN.</w:t>
      </w:r>
    </w:p>
    <w:p w:rsidR="00E71FB2" w:rsidRPr="00FA117E" w:rsidRDefault="00E71FB2" w:rsidP="00E71FB2">
      <w:pPr>
        <w:pStyle w:val="Heading2"/>
        <w:rPr>
          <w:lang w:val="en-GB"/>
        </w:rPr>
      </w:pPr>
      <w:bookmarkStart w:id="30" w:name="_Ref387157603"/>
      <w:bookmarkStart w:id="31" w:name="_Toc405388841"/>
      <w:bookmarkStart w:id="32" w:name="_Toc441229623"/>
      <w:r w:rsidRPr="00FA117E">
        <w:rPr>
          <w:lang w:val="en-GB"/>
        </w:rPr>
        <w:t>Technical conditions for PMSE</w:t>
      </w:r>
      <w:bookmarkEnd w:id="30"/>
      <w:bookmarkEnd w:id="31"/>
      <w:bookmarkEnd w:id="32"/>
    </w:p>
    <w:p w:rsidR="00C50EB2" w:rsidRPr="00FA117E" w:rsidRDefault="00C50EB2" w:rsidP="00E71FB2">
      <w:pPr>
        <w:pStyle w:val="ECCParagraph"/>
      </w:pPr>
      <w:r w:rsidRPr="00FA117E">
        <w:t>CEPT reviewed the technical conditions for PMSE and confirmed its analysis hereafter</w:t>
      </w:r>
      <w:r w:rsidR="00D166DE" w:rsidRPr="00FA117E">
        <w:t>:</w:t>
      </w:r>
      <w:r w:rsidRPr="00FA117E">
        <w:t xml:space="preserve"> </w:t>
      </w:r>
    </w:p>
    <w:p w:rsidR="00E71FB2" w:rsidRPr="00FA117E" w:rsidRDefault="00E71FB2" w:rsidP="00E71FB2">
      <w:pPr>
        <w:pStyle w:val="ECCParagraph"/>
      </w:pPr>
      <w:r w:rsidRPr="00FA117E">
        <w:t xml:space="preserve">PMSE usage of spectrum in the MFCN duplex gap has been studied. Based on simulations of PMSE interference to MFCN UL and DL, power restrictions as presented in </w:t>
      </w:r>
      <w:r w:rsidR="008F5B6A" w:rsidRPr="00FA117E">
        <w:fldChar w:fldCharType="begin"/>
      </w:r>
      <w:r w:rsidR="008F5B6A" w:rsidRPr="00FA117E">
        <w:instrText xml:space="preserve"> REF _Ref260526207 \r \h </w:instrText>
      </w:r>
      <w:r w:rsidR="00532417" w:rsidRPr="00FA117E">
        <w:instrText xml:space="preserve"> \* MERGEFORMAT </w:instrText>
      </w:r>
      <w:r w:rsidR="008F5B6A" w:rsidRPr="00FA117E">
        <w:fldChar w:fldCharType="separate"/>
      </w:r>
      <w:r w:rsidR="005C651F" w:rsidRPr="00FA117E">
        <w:t>Table 13:</w:t>
      </w:r>
      <w:r w:rsidR="008F5B6A" w:rsidRPr="00FA117E">
        <w:fldChar w:fldCharType="end"/>
      </w:r>
      <w:r w:rsidRPr="00FA117E">
        <w:t xml:space="preserve"> and </w:t>
      </w:r>
      <w:r w:rsidR="008F5B6A" w:rsidRPr="00FA117E">
        <w:fldChar w:fldCharType="begin"/>
      </w:r>
      <w:r w:rsidR="008F5B6A" w:rsidRPr="00FA117E">
        <w:instrText xml:space="preserve"> REF _Ref260527418 \r \h </w:instrText>
      </w:r>
      <w:r w:rsidR="00532417" w:rsidRPr="00FA117E">
        <w:instrText xml:space="preserve"> \* MERGEFORMAT </w:instrText>
      </w:r>
      <w:r w:rsidR="008F5B6A" w:rsidRPr="00FA117E">
        <w:fldChar w:fldCharType="separate"/>
      </w:r>
      <w:r w:rsidR="005C651F" w:rsidRPr="00FA117E">
        <w:t>Table 14:</w:t>
      </w:r>
      <w:r w:rsidR="008F5B6A" w:rsidRPr="00FA117E">
        <w:fldChar w:fldCharType="end"/>
      </w:r>
      <w:r w:rsidRPr="00FA117E">
        <w:t xml:space="preserve"> have been derived. The PMSE unwanted emission has been derived from </w:t>
      </w:r>
      <w:r w:rsidR="00512645">
        <w:t xml:space="preserve">the </w:t>
      </w:r>
      <w:r w:rsidRPr="00FA117E">
        <w:t xml:space="preserve">PMSE emission mask defined in </w:t>
      </w:r>
      <w:r w:rsidR="00690853" w:rsidRPr="00FA117E">
        <w:fldChar w:fldCharType="begin"/>
      </w:r>
      <w:r w:rsidR="00690853" w:rsidRPr="00FA117E">
        <w:instrText xml:space="preserve"> REF _Ref422930862 \n \h </w:instrText>
      </w:r>
      <w:r w:rsidR="00532417" w:rsidRPr="00FA117E">
        <w:instrText xml:space="preserve"> \* MERGEFORMAT </w:instrText>
      </w:r>
      <w:r w:rsidR="00690853" w:rsidRPr="00FA117E">
        <w:fldChar w:fldCharType="separate"/>
      </w:r>
      <w:r w:rsidR="005C651F" w:rsidRPr="00FA117E">
        <w:t>[6]</w:t>
      </w:r>
      <w:r w:rsidR="00690853" w:rsidRPr="00FA117E">
        <w:fldChar w:fldCharType="end"/>
      </w:r>
      <w:r w:rsidRPr="00FA117E">
        <w:t xml:space="preserve">. Note that these power restrictions do not cover PMSE out-of-block emission in the MFCN duplex gap. A spectrum emission mask may be applied for that spectrum on a national basis. For additional details, see </w:t>
      </w:r>
      <w:r w:rsidR="00690853" w:rsidRPr="00FA117E">
        <w:fldChar w:fldCharType="begin"/>
      </w:r>
      <w:r w:rsidR="00690853" w:rsidRPr="00FA117E">
        <w:instrText xml:space="preserve"> REF _Ref422930862 \n \h </w:instrText>
      </w:r>
      <w:r w:rsidR="00532417" w:rsidRPr="00FA117E">
        <w:instrText xml:space="preserve"> \* MERGEFORMAT </w:instrText>
      </w:r>
      <w:r w:rsidR="00690853" w:rsidRPr="00FA117E">
        <w:fldChar w:fldCharType="separate"/>
      </w:r>
      <w:r w:rsidR="005C651F" w:rsidRPr="00FA117E">
        <w:t>[6]</w:t>
      </w:r>
      <w:r w:rsidR="00690853" w:rsidRPr="00FA117E">
        <w:fldChar w:fldCharType="end"/>
      </w:r>
      <w:r w:rsidRPr="00FA117E">
        <w:t>.</w:t>
      </w:r>
    </w:p>
    <w:p w:rsidR="00E71FB2" w:rsidRPr="00FA117E" w:rsidRDefault="00E71FB2" w:rsidP="00E71FB2">
      <w:pPr>
        <w:pStyle w:val="ECCParagraph"/>
      </w:pPr>
      <w:r w:rsidRPr="00FA117E">
        <w:t xml:space="preserve">The compatibility situation at the boundary between PMSE and MFCN around the uplink upper band edge, also applies at the lower band edge of the MFCN uplink, if PMSE is used in the guard band below the MFCN UL (694-703 MHz), due to the fact that the equipment is the same. </w:t>
      </w:r>
    </w:p>
    <w:p w:rsidR="00E71FB2" w:rsidRPr="00FA117E" w:rsidRDefault="00E71FB2" w:rsidP="009D68C3">
      <w:pPr>
        <w:pStyle w:val="ECCTabletitle"/>
      </w:pPr>
      <w:bookmarkStart w:id="33" w:name="_Ref260526207"/>
      <w:r w:rsidRPr="00FA117E">
        <w:t>Power restrictions for handheld microphone</w:t>
      </w:r>
      <w:bookmarkEnd w:id="33"/>
    </w:p>
    <w:tbl>
      <w:tblPr>
        <w:tblW w:w="9889" w:type="dxa"/>
        <w:tblCellMar>
          <w:top w:w="11" w:type="dxa"/>
          <w:bottom w:w="11" w:type="dxa"/>
        </w:tblCellMar>
        <w:tblLook w:val="04A0" w:firstRow="1" w:lastRow="0" w:firstColumn="1" w:lastColumn="0" w:noHBand="0" w:noVBand="1"/>
      </w:tblPr>
      <w:tblGrid>
        <w:gridCol w:w="3188"/>
        <w:gridCol w:w="3087"/>
        <w:gridCol w:w="1506"/>
        <w:gridCol w:w="2108"/>
      </w:tblGrid>
      <w:tr w:rsidR="00E71FB2" w:rsidRPr="00FA117E" w:rsidTr="00512645">
        <w:trPr>
          <w:trHeight w:val="80"/>
        </w:trPr>
        <w:tc>
          <w:tcPr>
            <w:tcW w:w="3227" w:type="dxa"/>
            <w:tcBorders>
              <w:bottom w:val="single" w:sz="4" w:space="0" w:color="C00000"/>
              <w:right w:val="single" w:sz="4" w:space="0" w:color="FFFFFF" w:themeColor="background1"/>
            </w:tcBorders>
            <w:shd w:val="clear" w:color="auto" w:fill="D2232A"/>
            <w:tcMar>
              <w:top w:w="0" w:type="dxa"/>
              <w:left w:w="108" w:type="dxa"/>
              <w:bottom w:w="0" w:type="dxa"/>
              <w:right w:w="108" w:type="dxa"/>
            </w:tcMar>
            <w:vAlign w:val="center"/>
            <w:hideMark/>
          </w:tcPr>
          <w:p w:rsidR="00E71FB2" w:rsidRPr="00FA117E" w:rsidRDefault="00E71FB2" w:rsidP="00690853">
            <w:pPr>
              <w:spacing w:before="120" w:after="120" w:line="288" w:lineRule="auto"/>
              <w:jc w:val="center"/>
              <w:rPr>
                <w:b/>
                <w:color w:val="FFFFFF"/>
                <w:lang w:val="en-GB"/>
              </w:rPr>
            </w:pPr>
            <w:r w:rsidRPr="00FA117E">
              <w:rPr>
                <w:b/>
                <w:color w:val="FFFFFF"/>
                <w:lang w:val="en-GB"/>
              </w:rPr>
              <w:t>Frequency Range</w:t>
            </w:r>
          </w:p>
        </w:tc>
        <w:tc>
          <w:tcPr>
            <w:tcW w:w="3118" w:type="dxa"/>
            <w:tcBorders>
              <w:left w:val="single" w:sz="4" w:space="0" w:color="FFFFFF" w:themeColor="background1"/>
              <w:bottom w:val="single" w:sz="4" w:space="0" w:color="C00000"/>
              <w:right w:val="single" w:sz="4" w:space="0" w:color="FFFFFF" w:themeColor="background1"/>
            </w:tcBorders>
            <w:shd w:val="clear" w:color="auto" w:fill="D2232A"/>
            <w:vAlign w:val="center"/>
          </w:tcPr>
          <w:p w:rsidR="00E71FB2" w:rsidRPr="00FA117E" w:rsidRDefault="00E71FB2" w:rsidP="00690853">
            <w:pPr>
              <w:pStyle w:val="eccparagraph0"/>
              <w:spacing w:after="0"/>
              <w:jc w:val="center"/>
              <w:rPr>
                <w:b/>
                <w:bCs/>
                <w:color w:val="FFFFFF"/>
                <w:lang w:val="en-GB"/>
              </w:rPr>
            </w:pPr>
            <w:proofErr w:type="spellStart"/>
            <w:r w:rsidRPr="00FA117E">
              <w:rPr>
                <w:b/>
                <w:color w:val="FFFFFF"/>
                <w:lang w:val="en-GB"/>
              </w:rPr>
              <w:t>e.i.r.p</w:t>
            </w:r>
            <w:proofErr w:type="spellEnd"/>
            <w:r w:rsidRPr="00FA117E">
              <w:rPr>
                <w:b/>
                <w:color w:val="FFFFFF"/>
                <w:lang w:val="en-GB"/>
              </w:rPr>
              <w:t>.</w:t>
            </w:r>
          </w:p>
        </w:tc>
        <w:tc>
          <w:tcPr>
            <w:tcW w:w="1418" w:type="dxa"/>
            <w:tcBorders>
              <w:left w:val="single" w:sz="4" w:space="0" w:color="FFFFFF" w:themeColor="background1"/>
              <w:bottom w:val="single" w:sz="4" w:space="0" w:color="C00000"/>
              <w:right w:val="single" w:sz="4" w:space="0" w:color="FFFFFF" w:themeColor="background1"/>
            </w:tcBorders>
            <w:shd w:val="clear" w:color="auto" w:fill="D2232A"/>
          </w:tcPr>
          <w:p w:rsidR="00E71FB2" w:rsidRPr="00FA117E" w:rsidRDefault="00E71FB2" w:rsidP="00690853">
            <w:pPr>
              <w:pStyle w:val="eccparagraph0"/>
              <w:spacing w:before="120" w:after="120"/>
              <w:jc w:val="center"/>
              <w:rPr>
                <w:b/>
                <w:bCs/>
                <w:color w:val="FFFFFF"/>
                <w:lang w:val="en-GB"/>
              </w:rPr>
            </w:pPr>
            <w:r w:rsidRPr="00FA117E">
              <w:rPr>
                <w:b/>
                <w:bCs/>
                <w:color w:val="FFFFFF"/>
                <w:lang w:val="en-GB"/>
              </w:rPr>
              <w:t>Measurement bandwidth</w:t>
            </w:r>
          </w:p>
        </w:tc>
        <w:tc>
          <w:tcPr>
            <w:tcW w:w="2126" w:type="dxa"/>
            <w:tcBorders>
              <w:left w:val="single" w:sz="4" w:space="0" w:color="FFFFFF" w:themeColor="background1"/>
              <w:bottom w:val="single" w:sz="4" w:space="0" w:color="C00000"/>
            </w:tcBorders>
            <w:shd w:val="clear" w:color="auto" w:fill="D2232A"/>
            <w:tcMar>
              <w:top w:w="0" w:type="dxa"/>
              <w:left w:w="108" w:type="dxa"/>
              <w:bottom w:w="0" w:type="dxa"/>
              <w:right w:w="108" w:type="dxa"/>
            </w:tcMar>
            <w:vAlign w:val="center"/>
            <w:hideMark/>
          </w:tcPr>
          <w:p w:rsidR="00E71FB2" w:rsidRPr="00FA117E" w:rsidRDefault="00E71FB2" w:rsidP="00690853">
            <w:pPr>
              <w:pStyle w:val="eccparagraph0"/>
              <w:spacing w:after="0"/>
              <w:jc w:val="center"/>
              <w:rPr>
                <w:b/>
                <w:bCs/>
                <w:color w:val="FFFFFF"/>
                <w:lang w:val="en-GB"/>
              </w:rPr>
            </w:pPr>
            <w:r w:rsidRPr="00FA117E">
              <w:rPr>
                <w:b/>
                <w:bCs/>
                <w:color w:val="FFFFFF"/>
                <w:lang w:val="en-GB"/>
              </w:rPr>
              <w:t>Reasoning</w:t>
            </w:r>
          </w:p>
        </w:tc>
      </w:tr>
      <w:tr w:rsidR="00E71FB2" w:rsidRPr="00FA117E" w:rsidTr="00512645">
        <w:trPr>
          <w:trHeight w:val="439"/>
        </w:trPr>
        <w:tc>
          <w:tcPr>
            <w:tcW w:w="3227" w:type="dxa"/>
            <w:tcBorders>
              <w:top w:val="single" w:sz="4" w:space="0" w:color="C00000"/>
              <w:left w:val="single" w:sz="4" w:space="0" w:color="C00000"/>
              <w:bottom w:val="single" w:sz="6" w:space="0" w:color="C00000"/>
              <w:right w:val="single" w:sz="6" w:space="0" w:color="C00000"/>
            </w:tcBorders>
            <w:shd w:val="clear" w:color="auto" w:fill="FFFFFF"/>
            <w:tcMar>
              <w:top w:w="0" w:type="dxa"/>
              <w:left w:w="108" w:type="dxa"/>
              <w:bottom w:w="0" w:type="dxa"/>
              <w:right w:w="108" w:type="dxa"/>
            </w:tcMar>
            <w:vAlign w:val="center"/>
            <w:hideMark/>
          </w:tcPr>
          <w:p w:rsidR="00E71FB2" w:rsidRPr="00FA117E" w:rsidRDefault="00E71FB2" w:rsidP="008974D4">
            <w:pPr>
              <w:spacing w:before="40"/>
              <w:rPr>
                <w:rFonts w:cs="Arial"/>
                <w:szCs w:val="20"/>
                <w:lang w:val="en-GB" w:eastAsia="en-GB"/>
              </w:rPr>
            </w:pPr>
            <w:r w:rsidRPr="00FA117E">
              <w:rPr>
                <w:rFonts w:cs="Arial"/>
                <w:szCs w:val="20"/>
                <w:lang w:val="en-GB" w:eastAsia="en-GB"/>
              </w:rPr>
              <w:t>MFCN</w:t>
            </w:r>
            <w:r w:rsidR="00CD294A" w:rsidRPr="00FA117E">
              <w:rPr>
                <w:rFonts w:cs="Arial"/>
                <w:szCs w:val="20"/>
                <w:lang w:val="en-GB" w:eastAsia="en-GB"/>
              </w:rPr>
              <w:t>, PPDR and M2M</w:t>
            </w:r>
            <w:r w:rsidRPr="00FA117E">
              <w:rPr>
                <w:rFonts w:cs="Arial"/>
                <w:szCs w:val="20"/>
                <w:lang w:val="en-GB" w:eastAsia="en-GB"/>
              </w:rPr>
              <w:t xml:space="preserve"> uplink frequencies</w:t>
            </w:r>
          </w:p>
        </w:tc>
        <w:tc>
          <w:tcPr>
            <w:tcW w:w="3118" w:type="dxa"/>
            <w:tcBorders>
              <w:top w:val="single" w:sz="4" w:space="0" w:color="C00000"/>
              <w:left w:val="single" w:sz="6" w:space="0" w:color="C00000"/>
              <w:bottom w:val="single" w:sz="6" w:space="0" w:color="C00000"/>
              <w:right w:val="single" w:sz="6" w:space="0" w:color="C00000"/>
            </w:tcBorders>
            <w:shd w:val="clear" w:color="auto" w:fill="FFFFFF"/>
            <w:vAlign w:val="center"/>
          </w:tcPr>
          <w:p w:rsidR="00E71FB2" w:rsidRPr="00512645" w:rsidRDefault="00E71FB2" w:rsidP="00512645">
            <w:pPr>
              <w:spacing w:line="288" w:lineRule="auto"/>
              <w:rPr>
                <w:lang w:val="en-GB"/>
              </w:rPr>
            </w:pPr>
            <w:r w:rsidRPr="00512645">
              <w:rPr>
                <w:lang w:val="en-GB"/>
              </w:rPr>
              <w:t xml:space="preserve">-45 </w:t>
            </w:r>
            <w:proofErr w:type="spellStart"/>
            <w:r w:rsidRPr="00512645">
              <w:rPr>
                <w:lang w:val="en-GB"/>
              </w:rPr>
              <w:t>dBm</w:t>
            </w:r>
            <w:proofErr w:type="spellEnd"/>
            <w:r w:rsidRPr="00512645">
              <w:rPr>
                <w:lang w:val="en-GB"/>
              </w:rPr>
              <w:t>(unwanted emissions)</w:t>
            </w:r>
          </w:p>
        </w:tc>
        <w:tc>
          <w:tcPr>
            <w:tcW w:w="1418" w:type="dxa"/>
            <w:tcBorders>
              <w:top w:val="single" w:sz="4" w:space="0" w:color="C00000"/>
              <w:left w:val="single" w:sz="6" w:space="0" w:color="C00000"/>
              <w:bottom w:val="single" w:sz="6" w:space="0" w:color="C00000"/>
              <w:right w:val="single" w:sz="6" w:space="0" w:color="C00000"/>
            </w:tcBorders>
            <w:shd w:val="clear" w:color="auto" w:fill="FFFFFF"/>
            <w:vAlign w:val="center"/>
          </w:tcPr>
          <w:p w:rsidR="00E71FB2" w:rsidRPr="00FA117E" w:rsidRDefault="00E71FB2" w:rsidP="00512645">
            <w:pPr>
              <w:ind w:left="142"/>
              <w:rPr>
                <w:rFonts w:cs="Arial"/>
                <w:szCs w:val="20"/>
                <w:lang w:val="en-GB" w:eastAsia="en-GB"/>
              </w:rPr>
            </w:pPr>
            <w:r w:rsidRPr="00FA117E">
              <w:rPr>
                <w:rFonts w:cs="Arial"/>
                <w:szCs w:val="20"/>
                <w:lang w:val="en-GB" w:eastAsia="en-GB"/>
              </w:rPr>
              <w:t>200 kHz</w:t>
            </w:r>
          </w:p>
        </w:tc>
        <w:tc>
          <w:tcPr>
            <w:tcW w:w="2126" w:type="dxa"/>
            <w:tcBorders>
              <w:top w:val="single" w:sz="4" w:space="0" w:color="C00000"/>
              <w:left w:val="single" w:sz="6" w:space="0" w:color="C00000"/>
              <w:bottom w:val="single" w:sz="6" w:space="0" w:color="C00000"/>
              <w:right w:val="single" w:sz="4" w:space="0" w:color="C00000"/>
            </w:tcBorders>
            <w:shd w:val="clear" w:color="auto" w:fill="FFFFFF"/>
            <w:tcMar>
              <w:top w:w="0" w:type="dxa"/>
              <w:left w:w="108" w:type="dxa"/>
              <w:bottom w:w="0" w:type="dxa"/>
              <w:right w:w="108" w:type="dxa"/>
            </w:tcMar>
            <w:vAlign w:val="center"/>
          </w:tcPr>
          <w:p w:rsidR="00E71FB2" w:rsidRPr="00FA117E" w:rsidRDefault="00E71FB2" w:rsidP="00690853">
            <w:pPr>
              <w:rPr>
                <w:rFonts w:eastAsiaTheme="minorHAnsi" w:cs="Arial"/>
                <w:szCs w:val="20"/>
                <w:lang w:val="en-GB"/>
              </w:rPr>
            </w:pPr>
            <w:r w:rsidRPr="00FA117E">
              <w:rPr>
                <w:rFonts w:eastAsiaTheme="minorHAnsi" w:cs="Arial"/>
                <w:szCs w:val="20"/>
                <w:lang w:val="en-GB"/>
              </w:rPr>
              <w:t>ETSI EN 300 422</w:t>
            </w:r>
            <w:r w:rsidR="006F75CE" w:rsidRPr="00FA117E">
              <w:rPr>
                <w:rFonts w:eastAsiaTheme="minorHAnsi" w:cs="Arial"/>
                <w:szCs w:val="20"/>
                <w:lang w:val="en-GB"/>
              </w:rPr>
              <w:t xml:space="preserve"> </w:t>
            </w:r>
            <w:r w:rsidR="006F75CE" w:rsidRPr="00FA117E">
              <w:rPr>
                <w:rFonts w:eastAsiaTheme="minorHAnsi" w:cs="Arial"/>
                <w:szCs w:val="20"/>
                <w:lang w:val="en-GB"/>
              </w:rPr>
              <w:fldChar w:fldCharType="begin"/>
            </w:r>
            <w:r w:rsidR="006F75CE" w:rsidRPr="00FA117E">
              <w:rPr>
                <w:rFonts w:eastAsiaTheme="minorHAnsi" w:cs="Arial"/>
                <w:szCs w:val="20"/>
                <w:lang w:val="en-GB"/>
              </w:rPr>
              <w:instrText xml:space="preserve"> REF _Ref422930265 \n \h </w:instrText>
            </w:r>
            <w:r w:rsidR="00532417" w:rsidRPr="00FA117E">
              <w:rPr>
                <w:rFonts w:eastAsiaTheme="minorHAnsi" w:cs="Arial"/>
                <w:szCs w:val="20"/>
                <w:lang w:val="en-GB"/>
              </w:rPr>
              <w:instrText xml:space="preserve"> \* MERGEFORMAT </w:instrText>
            </w:r>
            <w:r w:rsidR="006F75CE" w:rsidRPr="00FA117E">
              <w:rPr>
                <w:rFonts w:eastAsiaTheme="minorHAnsi" w:cs="Arial"/>
                <w:szCs w:val="20"/>
                <w:lang w:val="en-GB"/>
              </w:rPr>
            </w:r>
            <w:r w:rsidR="006F75CE" w:rsidRPr="00FA117E">
              <w:rPr>
                <w:rFonts w:eastAsiaTheme="minorHAnsi" w:cs="Arial"/>
                <w:szCs w:val="20"/>
                <w:lang w:val="en-GB"/>
              </w:rPr>
              <w:fldChar w:fldCharType="separate"/>
            </w:r>
            <w:r w:rsidR="005C651F" w:rsidRPr="00FA117E">
              <w:rPr>
                <w:rFonts w:eastAsiaTheme="minorHAnsi" w:cs="Arial"/>
                <w:szCs w:val="20"/>
                <w:lang w:val="en-GB"/>
              </w:rPr>
              <w:t>[5]</w:t>
            </w:r>
            <w:r w:rsidR="006F75CE" w:rsidRPr="00FA117E">
              <w:rPr>
                <w:rFonts w:eastAsiaTheme="minorHAnsi" w:cs="Arial"/>
                <w:szCs w:val="20"/>
                <w:lang w:val="en-GB"/>
              </w:rPr>
              <w:fldChar w:fldCharType="end"/>
            </w:r>
          </w:p>
        </w:tc>
      </w:tr>
      <w:tr w:rsidR="00E71FB2" w:rsidRPr="00FA117E" w:rsidTr="00512645">
        <w:tc>
          <w:tcPr>
            <w:tcW w:w="3227" w:type="dxa"/>
            <w:tcBorders>
              <w:top w:val="single" w:sz="6" w:space="0" w:color="C00000"/>
              <w:left w:val="single" w:sz="4" w:space="0" w:color="C00000"/>
              <w:bottom w:val="single" w:sz="6" w:space="0" w:color="C00000"/>
              <w:right w:val="single" w:sz="6" w:space="0" w:color="C00000"/>
            </w:tcBorders>
            <w:shd w:val="clear" w:color="auto" w:fill="FFFFFF"/>
            <w:tcMar>
              <w:top w:w="0" w:type="dxa"/>
              <w:left w:w="108" w:type="dxa"/>
              <w:bottom w:w="0" w:type="dxa"/>
              <w:right w:w="108" w:type="dxa"/>
            </w:tcMar>
            <w:vAlign w:val="center"/>
            <w:hideMark/>
          </w:tcPr>
          <w:p w:rsidR="00E71FB2" w:rsidRPr="00FA117E" w:rsidRDefault="00E71FB2" w:rsidP="00FC68F7">
            <w:pPr>
              <w:rPr>
                <w:rFonts w:cs="Arial"/>
                <w:szCs w:val="20"/>
                <w:lang w:val="en-GB" w:eastAsia="en-GB"/>
              </w:rPr>
            </w:pPr>
            <w:r w:rsidRPr="00FA117E">
              <w:rPr>
                <w:lang w:val="en-GB"/>
              </w:rPr>
              <w:t xml:space="preserve">More than -4.2 MHz offset from MFCN </w:t>
            </w:r>
            <w:r w:rsidR="00CD294A" w:rsidRPr="00FA117E">
              <w:rPr>
                <w:lang w:val="en-GB"/>
              </w:rPr>
              <w:t xml:space="preserve">or PPDR </w:t>
            </w:r>
            <w:r w:rsidRPr="00FA117E">
              <w:rPr>
                <w:lang w:val="en-GB"/>
              </w:rPr>
              <w:t xml:space="preserve">downlink lower band edge or </w:t>
            </w:r>
            <w:r w:rsidRPr="00FA117E">
              <w:rPr>
                <w:rFonts w:eastAsia="MS Mincho" w:cs="Arial"/>
                <w:lang w:val="en-GB" w:eastAsia="ja-JP"/>
              </w:rPr>
              <w:t>lower edge of the lowest SDL block</w:t>
            </w:r>
          </w:p>
        </w:tc>
        <w:tc>
          <w:tcPr>
            <w:tcW w:w="3118" w:type="dxa"/>
            <w:tcBorders>
              <w:top w:val="single" w:sz="6" w:space="0" w:color="C00000"/>
              <w:left w:val="single" w:sz="6" w:space="0" w:color="C00000"/>
              <w:bottom w:val="single" w:sz="6" w:space="0" w:color="C00000"/>
              <w:right w:val="single" w:sz="6" w:space="0" w:color="C00000"/>
            </w:tcBorders>
            <w:shd w:val="clear" w:color="auto" w:fill="FFFFFF"/>
            <w:vAlign w:val="center"/>
          </w:tcPr>
          <w:p w:rsidR="00E71FB2" w:rsidRPr="00512645" w:rsidRDefault="00E71FB2" w:rsidP="00512645">
            <w:pPr>
              <w:spacing w:line="288" w:lineRule="auto"/>
              <w:rPr>
                <w:lang w:val="en-GB"/>
              </w:rPr>
            </w:pPr>
            <w:r w:rsidRPr="00512645">
              <w:rPr>
                <w:lang w:val="en-GB"/>
              </w:rPr>
              <w:t xml:space="preserve">19 </w:t>
            </w:r>
            <w:proofErr w:type="spellStart"/>
            <w:r w:rsidRPr="00512645">
              <w:rPr>
                <w:lang w:val="en-GB"/>
              </w:rPr>
              <w:t>dBm</w:t>
            </w:r>
            <w:proofErr w:type="spellEnd"/>
            <w:r w:rsidRPr="00FA117E">
              <w:rPr>
                <w:lang w:val="en-GB"/>
              </w:rPr>
              <w:t>(in-block power)</w:t>
            </w:r>
          </w:p>
        </w:tc>
        <w:tc>
          <w:tcPr>
            <w:tcW w:w="1418" w:type="dxa"/>
            <w:tcBorders>
              <w:top w:val="single" w:sz="6" w:space="0" w:color="C00000"/>
              <w:left w:val="single" w:sz="6" w:space="0" w:color="C00000"/>
              <w:bottom w:val="single" w:sz="6" w:space="0" w:color="C00000"/>
              <w:right w:val="single" w:sz="6" w:space="0" w:color="C00000"/>
            </w:tcBorders>
            <w:shd w:val="clear" w:color="auto" w:fill="FFFFFF"/>
            <w:vAlign w:val="center"/>
          </w:tcPr>
          <w:p w:rsidR="00E71FB2" w:rsidRPr="00FA117E" w:rsidRDefault="00E71FB2" w:rsidP="00512645">
            <w:pPr>
              <w:ind w:left="142"/>
              <w:rPr>
                <w:rFonts w:cs="Arial"/>
                <w:szCs w:val="20"/>
                <w:lang w:val="en-GB" w:eastAsia="en-GB"/>
              </w:rPr>
            </w:pPr>
            <w:r w:rsidRPr="00FA117E">
              <w:rPr>
                <w:rFonts w:cs="Arial"/>
                <w:szCs w:val="20"/>
                <w:lang w:val="en-GB" w:eastAsia="en-GB"/>
              </w:rPr>
              <w:t>200 kHz</w:t>
            </w:r>
          </w:p>
        </w:tc>
        <w:tc>
          <w:tcPr>
            <w:tcW w:w="2126" w:type="dxa"/>
            <w:vMerge w:val="restart"/>
            <w:tcBorders>
              <w:top w:val="single" w:sz="6" w:space="0" w:color="C00000"/>
              <w:left w:val="single" w:sz="6" w:space="0" w:color="C00000"/>
              <w:bottom w:val="single" w:sz="6" w:space="0" w:color="C00000"/>
              <w:right w:val="single" w:sz="4" w:space="0" w:color="C00000"/>
            </w:tcBorders>
            <w:shd w:val="clear" w:color="auto" w:fill="FFFFFF"/>
            <w:tcMar>
              <w:top w:w="0" w:type="dxa"/>
              <w:left w:w="108" w:type="dxa"/>
              <w:bottom w:w="0" w:type="dxa"/>
              <w:right w:w="108" w:type="dxa"/>
            </w:tcMar>
            <w:vAlign w:val="center"/>
          </w:tcPr>
          <w:p w:rsidR="00E71FB2" w:rsidRPr="00FA117E" w:rsidRDefault="00E71FB2" w:rsidP="00690853">
            <w:pPr>
              <w:rPr>
                <w:rFonts w:eastAsiaTheme="minorHAnsi" w:cs="Arial"/>
                <w:szCs w:val="20"/>
                <w:lang w:val="en-GB"/>
              </w:rPr>
            </w:pPr>
            <w:r w:rsidRPr="00FA117E">
              <w:rPr>
                <w:rFonts w:eastAsiaTheme="minorHAnsi" w:cs="Arial"/>
                <w:szCs w:val="20"/>
                <w:lang w:val="en-GB"/>
              </w:rPr>
              <w:t xml:space="preserve">Annex 2 of ECC Report 221 </w:t>
            </w:r>
            <w:r w:rsidR="00690853" w:rsidRPr="00FA117E">
              <w:rPr>
                <w:lang w:val="en-GB"/>
              </w:rPr>
              <w:fldChar w:fldCharType="begin"/>
            </w:r>
            <w:r w:rsidR="00690853" w:rsidRPr="00FA117E">
              <w:rPr>
                <w:lang w:val="en-GB"/>
              </w:rPr>
              <w:instrText xml:space="preserve"> REF _Ref422930862 \n \h </w:instrText>
            </w:r>
            <w:r w:rsidR="00532417" w:rsidRPr="00FA117E">
              <w:rPr>
                <w:lang w:val="en-GB"/>
              </w:rPr>
              <w:instrText xml:space="preserve"> \* MERGEFORMAT </w:instrText>
            </w:r>
            <w:r w:rsidR="00690853" w:rsidRPr="00FA117E">
              <w:rPr>
                <w:lang w:val="en-GB"/>
              </w:rPr>
            </w:r>
            <w:r w:rsidR="00690853" w:rsidRPr="00FA117E">
              <w:rPr>
                <w:lang w:val="en-GB"/>
              </w:rPr>
              <w:fldChar w:fldCharType="separate"/>
            </w:r>
            <w:r w:rsidR="005C651F" w:rsidRPr="00FA117E">
              <w:rPr>
                <w:lang w:val="en-GB"/>
              </w:rPr>
              <w:t>[6]</w:t>
            </w:r>
            <w:r w:rsidR="00690853" w:rsidRPr="00FA117E">
              <w:rPr>
                <w:lang w:val="en-GB"/>
              </w:rPr>
              <w:fldChar w:fldCharType="end"/>
            </w:r>
          </w:p>
        </w:tc>
      </w:tr>
      <w:tr w:rsidR="00E71FB2" w:rsidRPr="00FA117E" w:rsidTr="00512645">
        <w:tc>
          <w:tcPr>
            <w:tcW w:w="3227" w:type="dxa"/>
            <w:tcBorders>
              <w:top w:val="single" w:sz="6" w:space="0" w:color="C00000"/>
              <w:left w:val="single" w:sz="4" w:space="0" w:color="C00000"/>
              <w:bottom w:val="single" w:sz="6" w:space="0" w:color="C00000"/>
              <w:right w:val="single" w:sz="6" w:space="0" w:color="C00000"/>
            </w:tcBorders>
            <w:shd w:val="clear" w:color="auto" w:fill="FFFFFF"/>
            <w:tcMar>
              <w:top w:w="0" w:type="dxa"/>
              <w:left w:w="108" w:type="dxa"/>
              <w:bottom w:w="0" w:type="dxa"/>
              <w:right w:w="108" w:type="dxa"/>
            </w:tcMar>
            <w:vAlign w:val="center"/>
            <w:hideMark/>
          </w:tcPr>
          <w:p w:rsidR="00E71FB2" w:rsidRPr="00FA117E" w:rsidRDefault="0000568B" w:rsidP="00FC68F7">
            <w:pPr>
              <w:rPr>
                <w:rFonts w:cs="Arial"/>
                <w:szCs w:val="20"/>
                <w:lang w:val="en-GB" w:eastAsia="en-GB"/>
              </w:rPr>
            </w:pPr>
            <w:r w:rsidRPr="00FA117E">
              <w:rPr>
                <w:rFonts w:cs="Arial"/>
                <w:szCs w:val="20"/>
                <w:lang w:val="en-GB" w:eastAsia="en-GB"/>
              </w:rPr>
              <w:t>-4.2 to -</w:t>
            </w:r>
            <w:r w:rsidR="00E71FB2" w:rsidRPr="00FA117E">
              <w:rPr>
                <w:rFonts w:cs="Arial"/>
                <w:szCs w:val="20"/>
                <w:lang w:val="en-GB" w:eastAsia="en-GB"/>
              </w:rPr>
              <w:t xml:space="preserve">2.8 MHz offset from MFCN </w:t>
            </w:r>
            <w:r w:rsidR="00CD294A" w:rsidRPr="00FA117E">
              <w:rPr>
                <w:rFonts w:cs="Arial"/>
                <w:szCs w:val="20"/>
                <w:lang w:val="en-GB" w:eastAsia="en-GB"/>
              </w:rPr>
              <w:t xml:space="preserve">or PPDR </w:t>
            </w:r>
            <w:r w:rsidR="00E71FB2" w:rsidRPr="00FA117E">
              <w:rPr>
                <w:rFonts w:cs="Arial"/>
                <w:szCs w:val="20"/>
                <w:lang w:val="en-GB" w:eastAsia="en-GB"/>
              </w:rPr>
              <w:t xml:space="preserve">downlink lower band edge </w:t>
            </w:r>
            <w:r w:rsidR="00E71FB2" w:rsidRPr="00FA117E">
              <w:rPr>
                <w:lang w:val="en-GB"/>
              </w:rPr>
              <w:t xml:space="preserve">or </w:t>
            </w:r>
            <w:r w:rsidR="00E71FB2" w:rsidRPr="00FA117E">
              <w:rPr>
                <w:rFonts w:eastAsia="MS Mincho" w:cs="Arial"/>
                <w:lang w:val="en-GB" w:eastAsia="ja-JP"/>
              </w:rPr>
              <w:t>lower edge of the lowest SDL block</w:t>
            </w:r>
          </w:p>
        </w:tc>
        <w:tc>
          <w:tcPr>
            <w:tcW w:w="3118" w:type="dxa"/>
            <w:tcBorders>
              <w:top w:val="single" w:sz="6" w:space="0" w:color="C00000"/>
              <w:left w:val="single" w:sz="6" w:space="0" w:color="C00000"/>
              <w:bottom w:val="single" w:sz="6" w:space="0" w:color="C00000"/>
              <w:right w:val="single" w:sz="6" w:space="0" w:color="C00000"/>
            </w:tcBorders>
            <w:shd w:val="clear" w:color="auto" w:fill="FFFFFF"/>
            <w:vAlign w:val="center"/>
          </w:tcPr>
          <w:p w:rsidR="00E71FB2" w:rsidRPr="00FA117E" w:rsidRDefault="00E71FB2" w:rsidP="00512645">
            <w:pPr>
              <w:rPr>
                <w:rFonts w:cs="Arial"/>
                <w:szCs w:val="20"/>
                <w:lang w:val="en-GB" w:eastAsia="en-GB"/>
              </w:rPr>
            </w:pPr>
            <w:r w:rsidRPr="00FA117E">
              <w:rPr>
                <w:rFonts w:cs="Arial"/>
                <w:szCs w:val="20"/>
                <w:lang w:val="en-GB" w:eastAsia="en-GB"/>
              </w:rPr>
              <w:t xml:space="preserve">13 </w:t>
            </w:r>
            <w:proofErr w:type="spellStart"/>
            <w:r w:rsidRPr="00FA117E">
              <w:rPr>
                <w:rFonts w:cs="Arial"/>
                <w:szCs w:val="20"/>
                <w:lang w:val="en-GB" w:eastAsia="en-GB"/>
              </w:rPr>
              <w:t>dBm</w:t>
            </w:r>
            <w:proofErr w:type="spellEnd"/>
            <w:r w:rsidRPr="00FA117E">
              <w:rPr>
                <w:lang w:val="en-GB"/>
              </w:rPr>
              <w:t>(in-block power)</w:t>
            </w:r>
          </w:p>
        </w:tc>
        <w:tc>
          <w:tcPr>
            <w:tcW w:w="1418" w:type="dxa"/>
            <w:tcBorders>
              <w:top w:val="single" w:sz="6" w:space="0" w:color="C00000"/>
              <w:left w:val="single" w:sz="6" w:space="0" w:color="C00000"/>
              <w:bottom w:val="single" w:sz="6" w:space="0" w:color="C00000"/>
              <w:right w:val="single" w:sz="6" w:space="0" w:color="C00000"/>
            </w:tcBorders>
            <w:shd w:val="clear" w:color="auto" w:fill="FFFFFF"/>
            <w:vAlign w:val="center"/>
          </w:tcPr>
          <w:p w:rsidR="00E71FB2" w:rsidRPr="00FA117E" w:rsidRDefault="00E71FB2" w:rsidP="00512645">
            <w:pPr>
              <w:ind w:left="142"/>
              <w:rPr>
                <w:rFonts w:cs="Arial"/>
                <w:szCs w:val="20"/>
                <w:lang w:val="en-GB" w:eastAsia="en-GB"/>
              </w:rPr>
            </w:pPr>
            <w:r w:rsidRPr="00FA117E">
              <w:rPr>
                <w:rFonts w:cs="Arial"/>
                <w:szCs w:val="20"/>
                <w:lang w:val="en-GB" w:eastAsia="en-GB"/>
              </w:rPr>
              <w:t>200 kHz</w:t>
            </w:r>
          </w:p>
        </w:tc>
        <w:tc>
          <w:tcPr>
            <w:tcW w:w="2126" w:type="dxa"/>
            <w:vMerge/>
            <w:tcBorders>
              <w:top w:val="single" w:sz="6" w:space="0" w:color="C00000"/>
              <w:left w:val="single" w:sz="6" w:space="0" w:color="C00000"/>
              <w:bottom w:val="single" w:sz="6" w:space="0" w:color="C00000"/>
              <w:right w:val="single" w:sz="4" w:space="0" w:color="C00000"/>
            </w:tcBorders>
            <w:shd w:val="clear" w:color="auto" w:fill="FFFFFF"/>
            <w:tcMar>
              <w:top w:w="0" w:type="dxa"/>
              <w:left w:w="108" w:type="dxa"/>
              <w:bottom w:w="0" w:type="dxa"/>
              <w:right w:w="108" w:type="dxa"/>
            </w:tcMar>
            <w:vAlign w:val="center"/>
          </w:tcPr>
          <w:p w:rsidR="00E71FB2" w:rsidRPr="00FA117E" w:rsidRDefault="00E71FB2" w:rsidP="00690853">
            <w:pPr>
              <w:rPr>
                <w:rFonts w:eastAsiaTheme="minorHAnsi" w:cs="Arial"/>
                <w:szCs w:val="20"/>
                <w:lang w:val="en-GB"/>
              </w:rPr>
            </w:pPr>
          </w:p>
        </w:tc>
      </w:tr>
      <w:tr w:rsidR="00E71FB2" w:rsidRPr="00FA117E" w:rsidTr="00512645">
        <w:tc>
          <w:tcPr>
            <w:tcW w:w="3227" w:type="dxa"/>
            <w:tcBorders>
              <w:top w:val="single" w:sz="6" w:space="0" w:color="C00000"/>
              <w:left w:val="single" w:sz="4" w:space="0" w:color="C00000"/>
              <w:bottom w:val="single" w:sz="6" w:space="0" w:color="C00000"/>
              <w:right w:val="single" w:sz="6" w:space="0" w:color="C00000"/>
            </w:tcBorders>
            <w:shd w:val="clear" w:color="auto" w:fill="FFFFFF"/>
            <w:tcMar>
              <w:top w:w="0" w:type="dxa"/>
              <w:left w:w="108" w:type="dxa"/>
              <w:bottom w:w="0" w:type="dxa"/>
              <w:right w:w="108" w:type="dxa"/>
            </w:tcMar>
            <w:vAlign w:val="center"/>
            <w:hideMark/>
          </w:tcPr>
          <w:p w:rsidR="00E71FB2" w:rsidRPr="00FA117E" w:rsidRDefault="00E71FB2" w:rsidP="00FC68F7">
            <w:pPr>
              <w:rPr>
                <w:rFonts w:cs="Arial"/>
                <w:szCs w:val="20"/>
                <w:lang w:val="en-GB" w:eastAsia="en-GB"/>
              </w:rPr>
            </w:pPr>
            <w:r w:rsidRPr="00FA117E">
              <w:rPr>
                <w:rFonts w:cs="Arial"/>
                <w:szCs w:val="20"/>
                <w:lang w:val="en-GB" w:eastAsia="en-GB"/>
              </w:rPr>
              <w:t xml:space="preserve">- 2.8 to 0 MHz offset from MFCN downlink lower band edge </w:t>
            </w:r>
            <w:r w:rsidRPr="00FA117E">
              <w:rPr>
                <w:lang w:val="en-GB"/>
              </w:rPr>
              <w:t xml:space="preserve">or </w:t>
            </w:r>
            <w:r w:rsidRPr="00FA117E">
              <w:rPr>
                <w:rFonts w:eastAsia="MS Mincho" w:cs="Arial"/>
                <w:lang w:val="en-GB" w:eastAsia="ja-JP"/>
              </w:rPr>
              <w:t>lower edge of the lowest SDL block</w:t>
            </w:r>
            <w:r w:rsidRPr="00FA117E">
              <w:rPr>
                <w:lang w:val="en-GB"/>
              </w:rPr>
              <w:t xml:space="preserve"> </w:t>
            </w:r>
            <w:r w:rsidRPr="00FA117E">
              <w:rPr>
                <w:rFonts w:cs="Arial"/>
                <w:szCs w:val="20"/>
                <w:lang w:val="en-GB" w:eastAsia="en-GB"/>
              </w:rPr>
              <w:t>(guard band)</w:t>
            </w:r>
          </w:p>
        </w:tc>
        <w:tc>
          <w:tcPr>
            <w:tcW w:w="3118" w:type="dxa"/>
            <w:tcBorders>
              <w:top w:val="single" w:sz="6" w:space="0" w:color="C00000"/>
              <w:left w:val="single" w:sz="6" w:space="0" w:color="C00000"/>
              <w:bottom w:val="single" w:sz="6" w:space="0" w:color="C00000"/>
              <w:right w:val="single" w:sz="6" w:space="0" w:color="C00000"/>
            </w:tcBorders>
            <w:shd w:val="clear" w:color="auto" w:fill="FFFFFF"/>
            <w:vAlign w:val="center"/>
          </w:tcPr>
          <w:p w:rsidR="00E71FB2" w:rsidRPr="00FA117E" w:rsidRDefault="00D7066E" w:rsidP="00512645">
            <w:pPr>
              <w:rPr>
                <w:rFonts w:cs="Arial"/>
                <w:szCs w:val="20"/>
                <w:lang w:val="en-GB" w:eastAsia="en-GB"/>
              </w:rPr>
            </w:pPr>
            <w:r w:rsidRPr="00FA117E">
              <w:rPr>
                <w:rFonts w:cs="Arial"/>
                <w:szCs w:val="20"/>
                <w:lang w:val="en-GB" w:eastAsia="en-GB"/>
              </w:rPr>
              <w:t>guard band</w:t>
            </w:r>
          </w:p>
        </w:tc>
        <w:tc>
          <w:tcPr>
            <w:tcW w:w="1418" w:type="dxa"/>
            <w:tcBorders>
              <w:top w:val="single" w:sz="6" w:space="0" w:color="C00000"/>
              <w:left w:val="single" w:sz="6" w:space="0" w:color="C00000"/>
              <w:bottom w:val="single" w:sz="6" w:space="0" w:color="C00000"/>
              <w:right w:val="single" w:sz="6" w:space="0" w:color="C00000"/>
            </w:tcBorders>
            <w:shd w:val="clear" w:color="auto" w:fill="FFFFFF"/>
            <w:vAlign w:val="center"/>
          </w:tcPr>
          <w:p w:rsidR="00E71FB2" w:rsidRPr="00FA117E" w:rsidRDefault="00532417" w:rsidP="00512645">
            <w:pPr>
              <w:ind w:left="142"/>
              <w:rPr>
                <w:rFonts w:cs="Arial"/>
                <w:szCs w:val="20"/>
                <w:lang w:val="en-GB" w:eastAsia="en-GB"/>
              </w:rPr>
            </w:pPr>
            <w:r w:rsidRPr="00FA117E">
              <w:rPr>
                <w:rFonts w:cs="Arial"/>
                <w:szCs w:val="20"/>
                <w:lang w:val="en-GB" w:eastAsia="en-GB"/>
              </w:rPr>
              <w:t>-</w:t>
            </w:r>
          </w:p>
        </w:tc>
        <w:tc>
          <w:tcPr>
            <w:tcW w:w="2126" w:type="dxa"/>
            <w:vMerge/>
            <w:tcBorders>
              <w:top w:val="single" w:sz="6" w:space="0" w:color="C00000"/>
              <w:left w:val="single" w:sz="6" w:space="0" w:color="C00000"/>
              <w:bottom w:val="single" w:sz="6" w:space="0" w:color="C00000"/>
              <w:right w:val="single" w:sz="4" w:space="0" w:color="C00000"/>
            </w:tcBorders>
            <w:shd w:val="clear" w:color="auto" w:fill="FFFFFF"/>
            <w:tcMar>
              <w:top w:w="0" w:type="dxa"/>
              <w:left w:w="108" w:type="dxa"/>
              <w:bottom w:w="0" w:type="dxa"/>
              <w:right w:w="108" w:type="dxa"/>
            </w:tcMar>
            <w:vAlign w:val="center"/>
          </w:tcPr>
          <w:p w:rsidR="00E71FB2" w:rsidRPr="00FA117E" w:rsidRDefault="00E71FB2" w:rsidP="00690853">
            <w:pPr>
              <w:rPr>
                <w:rFonts w:eastAsiaTheme="minorHAnsi" w:cs="Arial"/>
                <w:szCs w:val="20"/>
                <w:lang w:val="en-GB"/>
              </w:rPr>
            </w:pPr>
          </w:p>
        </w:tc>
      </w:tr>
      <w:tr w:rsidR="00E71FB2" w:rsidRPr="00FA117E" w:rsidTr="00512645">
        <w:trPr>
          <w:trHeight w:val="330"/>
        </w:trPr>
        <w:tc>
          <w:tcPr>
            <w:tcW w:w="3227" w:type="dxa"/>
            <w:tcBorders>
              <w:top w:val="single" w:sz="6" w:space="0" w:color="C00000"/>
              <w:left w:val="single" w:sz="4" w:space="0" w:color="C00000"/>
              <w:bottom w:val="single" w:sz="4" w:space="0" w:color="C00000"/>
              <w:right w:val="single" w:sz="6" w:space="0" w:color="C00000"/>
            </w:tcBorders>
            <w:shd w:val="clear" w:color="auto" w:fill="FFFFFF"/>
            <w:tcMar>
              <w:top w:w="0" w:type="dxa"/>
              <w:left w:w="108" w:type="dxa"/>
              <w:bottom w:w="0" w:type="dxa"/>
              <w:right w:w="108" w:type="dxa"/>
            </w:tcMar>
            <w:vAlign w:val="center"/>
            <w:hideMark/>
          </w:tcPr>
          <w:p w:rsidR="00E71FB2" w:rsidRPr="00FA117E" w:rsidRDefault="00E71FB2" w:rsidP="00690853">
            <w:pPr>
              <w:rPr>
                <w:rFonts w:cs="Arial"/>
                <w:szCs w:val="20"/>
                <w:lang w:val="en-GB" w:eastAsia="en-GB"/>
              </w:rPr>
            </w:pPr>
            <w:r w:rsidRPr="00FA117E">
              <w:rPr>
                <w:rFonts w:cs="Arial"/>
                <w:szCs w:val="20"/>
                <w:lang w:val="en-GB" w:eastAsia="en-GB"/>
              </w:rPr>
              <w:t>MFCN</w:t>
            </w:r>
            <w:r w:rsidR="00CD294A" w:rsidRPr="00FA117E">
              <w:rPr>
                <w:rFonts w:cs="Arial"/>
                <w:szCs w:val="20"/>
                <w:lang w:val="en-GB" w:eastAsia="en-GB"/>
              </w:rPr>
              <w:t>, PPDR</w:t>
            </w:r>
            <w:r w:rsidRPr="00FA117E">
              <w:rPr>
                <w:rFonts w:cs="Arial"/>
                <w:szCs w:val="20"/>
                <w:lang w:val="en-GB" w:eastAsia="en-GB"/>
              </w:rPr>
              <w:t xml:space="preserve"> downlink </w:t>
            </w:r>
            <w:r w:rsidR="00CD294A" w:rsidRPr="00FA117E">
              <w:rPr>
                <w:rFonts w:cs="Arial"/>
                <w:szCs w:val="20"/>
                <w:lang w:val="en-GB" w:eastAsia="en-GB"/>
              </w:rPr>
              <w:t>and SDL</w:t>
            </w:r>
            <w:r w:rsidR="0028467B" w:rsidRPr="00FA117E">
              <w:rPr>
                <w:rFonts w:cs="Arial"/>
                <w:szCs w:val="20"/>
                <w:lang w:val="en-GB" w:eastAsia="en-GB"/>
              </w:rPr>
              <w:t xml:space="preserve"> </w:t>
            </w:r>
            <w:r w:rsidRPr="00FA117E">
              <w:rPr>
                <w:rFonts w:cs="Arial"/>
                <w:szCs w:val="20"/>
                <w:lang w:val="en-GB" w:eastAsia="en-GB"/>
              </w:rPr>
              <w:t>frequencies</w:t>
            </w:r>
          </w:p>
        </w:tc>
        <w:tc>
          <w:tcPr>
            <w:tcW w:w="3118" w:type="dxa"/>
            <w:tcBorders>
              <w:top w:val="single" w:sz="6" w:space="0" w:color="C00000"/>
              <w:left w:val="single" w:sz="6" w:space="0" w:color="C00000"/>
              <w:bottom w:val="single" w:sz="4" w:space="0" w:color="C00000"/>
              <w:right w:val="single" w:sz="6" w:space="0" w:color="C00000"/>
            </w:tcBorders>
            <w:shd w:val="clear" w:color="auto" w:fill="FFFFFF"/>
            <w:vAlign w:val="center"/>
          </w:tcPr>
          <w:p w:rsidR="00E71FB2" w:rsidRPr="00FA117E" w:rsidRDefault="00E71FB2" w:rsidP="00512645">
            <w:pPr>
              <w:rPr>
                <w:rFonts w:cs="Arial"/>
                <w:szCs w:val="20"/>
                <w:lang w:val="en-GB" w:eastAsia="en-GB"/>
              </w:rPr>
            </w:pPr>
            <w:r w:rsidRPr="00FA117E">
              <w:rPr>
                <w:rFonts w:cs="Arial"/>
                <w:szCs w:val="20"/>
                <w:lang w:val="en-GB" w:eastAsia="en-GB"/>
              </w:rPr>
              <w:t xml:space="preserve">-45 </w:t>
            </w:r>
            <w:proofErr w:type="spellStart"/>
            <w:r w:rsidRPr="00FA117E">
              <w:rPr>
                <w:rFonts w:cs="Arial"/>
                <w:szCs w:val="20"/>
                <w:lang w:val="en-GB" w:eastAsia="en-GB"/>
              </w:rPr>
              <w:t>dBm</w:t>
            </w:r>
            <w:proofErr w:type="spellEnd"/>
            <w:r w:rsidRPr="00FA117E">
              <w:rPr>
                <w:rFonts w:cs="Arial"/>
                <w:szCs w:val="20"/>
                <w:lang w:val="en-GB" w:eastAsia="en-GB"/>
              </w:rPr>
              <w:t>(unwanted emissions)</w:t>
            </w:r>
          </w:p>
        </w:tc>
        <w:tc>
          <w:tcPr>
            <w:tcW w:w="1418" w:type="dxa"/>
            <w:tcBorders>
              <w:top w:val="single" w:sz="6" w:space="0" w:color="C00000"/>
              <w:left w:val="single" w:sz="6" w:space="0" w:color="C00000"/>
              <w:bottom w:val="single" w:sz="4" w:space="0" w:color="C00000"/>
              <w:right w:val="single" w:sz="6" w:space="0" w:color="C00000"/>
            </w:tcBorders>
            <w:shd w:val="clear" w:color="auto" w:fill="FFFFFF"/>
            <w:vAlign w:val="center"/>
          </w:tcPr>
          <w:p w:rsidR="00E71FB2" w:rsidRPr="00FA117E" w:rsidRDefault="00E71FB2" w:rsidP="00512645">
            <w:pPr>
              <w:ind w:left="142"/>
              <w:rPr>
                <w:rFonts w:cs="Arial"/>
                <w:szCs w:val="20"/>
                <w:lang w:val="en-GB" w:eastAsia="en-GB"/>
              </w:rPr>
            </w:pPr>
            <w:r w:rsidRPr="00FA117E">
              <w:rPr>
                <w:rFonts w:cs="Arial"/>
                <w:szCs w:val="20"/>
                <w:lang w:val="en-GB" w:eastAsia="en-GB"/>
              </w:rPr>
              <w:t>200 kHz</w:t>
            </w:r>
          </w:p>
        </w:tc>
        <w:tc>
          <w:tcPr>
            <w:tcW w:w="2126" w:type="dxa"/>
            <w:tcBorders>
              <w:top w:val="single" w:sz="6" w:space="0" w:color="C00000"/>
              <w:left w:val="single" w:sz="6" w:space="0" w:color="C00000"/>
              <w:bottom w:val="single" w:sz="4" w:space="0" w:color="C00000"/>
              <w:right w:val="single" w:sz="4" w:space="0" w:color="C00000"/>
            </w:tcBorders>
            <w:shd w:val="clear" w:color="auto" w:fill="FFFFFF"/>
            <w:tcMar>
              <w:top w:w="0" w:type="dxa"/>
              <w:left w:w="108" w:type="dxa"/>
              <w:bottom w:w="0" w:type="dxa"/>
              <w:right w:w="108" w:type="dxa"/>
            </w:tcMar>
            <w:vAlign w:val="center"/>
          </w:tcPr>
          <w:p w:rsidR="00E71FB2" w:rsidRPr="00FA117E" w:rsidRDefault="00E71FB2" w:rsidP="00690853">
            <w:pPr>
              <w:rPr>
                <w:rFonts w:eastAsiaTheme="minorHAnsi" w:cs="Arial"/>
                <w:szCs w:val="20"/>
                <w:lang w:val="en-GB"/>
              </w:rPr>
            </w:pPr>
            <w:r w:rsidRPr="00FA117E">
              <w:rPr>
                <w:rFonts w:eastAsiaTheme="minorHAnsi" w:cs="Arial"/>
                <w:szCs w:val="20"/>
                <w:lang w:val="en-GB"/>
              </w:rPr>
              <w:t>ETSI EN 300 422</w:t>
            </w:r>
            <w:r w:rsidR="006F75CE" w:rsidRPr="00FA117E">
              <w:rPr>
                <w:rFonts w:eastAsiaTheme="minorHAnsi" w:cs="Arial"/>
                <w:szCs w:val="20"/>
                <w:lang w:val="en-GB"/>
              </w:rPr>
              <w:t xml:space="preserve"> </w:t>
            </w:r>
            <w:r w:rsidR="006F75CE" w:rsidRPr="00FA117E">
              <w:rPr>
                <w:rFonts w:eastAsiaTheme="minorHAnsi" w:cs="Arial"/>
                <w:szCs w:val="20"/>
                <w:lang w:val="en-GB"/>
              </w:rPr>
              <w:fldChar w:fldCharType="begin"/>
            </w:r>
            <w:r w:rsidR="006F75CE" w:rsidRPr="00FA117E">
              <w:rPr>
                <w:rFonts w:eastAsiaTheme="minorHAnsi" w:cs="Arial"/>
                <w:szCs w:val="20"/>
                <w:lang w:val="en-GB"/>
              </w:rPr>
              <w:instrText xml:space="preserve"> REF _Ref422930265 \n \h </w:instrText>
            </w:r>
            <w:r w:rsidR="00532417" w:rsidRPr="00FA117E">
              <w:rPr>
                <w:rFonts w:eastAsiaTheme="minorHAnsi" w:cs="Arial"/>
                <w:szCs w:val="20"/>
                <w:lang w:val="en-GB"/>
              </w:rPr>
              <w:instrText xml:space="preserve"> \* MERGEFORMAT </w:instrText>
            </w:r>
            <w:r w:rsidR="006F75CE" w:rsidRPr="00FA117E">
              <w:rPr>
                <w:rFonts w:eastAsiaTheme="minorHAnsi" w:cs="Arial"/>
                <w:szCs w:val="20"/>
                <w:lang w:val="en-GB"/>
              </w:rPr>
            </w:r>
            <w:r w:rsidR="006F75CE" w:rsidRPr="00FA117E">
              <w:rPr>
                <w:rFonts w:eastAsiaTheme="minorHAnsi" w:cs="Arial"/>
                <w:szCs w:val="20"/>
                <w:lang w:val="en-GB"/>
              </w:rPr>
              <w:fldChar w:fldCharType="separate"/>
            </w:r>
            <w:r w:rsidR="005C651F" w:rsidRPr="00FA117E">
              <w:rPr>
                <w:rFonts w:eastAsiaTheme="minorHAnsi" w:cs="Arial"/>
                <w:szCs w:val="20"/>
                <w:lang w:val="en-GB"/>
              </w:rPr>
              <w:t>[5]</w:t>
            </w:r>
            <w:r w:rsidR="006F75CE" w:rsidRPr="00FA117E">
              <w:rPr>
                <w:rFonts w:eastAsiaTheme="minorHAnsi" w:cs="Arial"/>
                <w:szCs w:val="20"/>
                <w:lang w:val="en-GB"/>
              </w:rPr>
              <w:fldChar w:fldCharType="end"/>
            </w:r>
          </w:p>
        </w:tc>
      </w:tr>
    </w:tbl>
    <w:p w:rsidR="00E71FB2" w:rsidRPr="00FA117E" w:rsidRDefault="00E71FB2" w:rsidP="008974D4">
      <w:pPr>
        <w:pStyle w:val="ECCTabletitle"/>
        <w:keepNext/>
      </w:pPr>
      <w:bookmarkStart w:id="34" w:name="_Ref260527418"/>
      <w:r w:rsidRPr="00FA117E">
        <w:lastRenderedPageBreak/>
        <w:t>Power restrictions for body worn microphone</w:t>
      </w:r>
      <w:bookmarkEnd w:id="34"/>
    </w:p>
    <w:tbl>
      <w:tblPr>
        <w:tblW w:w="9889" w:type="dxa"/>
        <w:tblBorders>
          <w:left w:val="single" w:sz="4" w:space="0" w:color="C00000"/>
          <w:bottom w:val="single" w:sz="4" w:space="0" w:color="C00000"/>
          <w:right w:val="single" w:sz="4" w:space="0" w:color="C00000"/>
          <w:insideH w:val="single" w:sz="4" w:space="0" w:color="C00000"/>
          <w:insideV w:val="single" w:sz="4" w:space="0" w:color="C00000"/>
        </w:tblBorders>
        <w:tblLayout w:type="fixed"/>
        <w:tblCellMar>
          <w:top w:w="11" w:type="dxa"/>
          <w:bottom w:w="11" w:type="dxa"/>
        </w:tblCellMar>
        <w:tblLook w:val="04A0" w:firstRow="1" w:lastRow="0" w:firstColumn="1" w:lastColumn="0" w:noHBand="0" w:noVBand="1"/>
      </w:tblPr>
      <w:tblGrid>
        <w:gridCol w:w="3227"/>
        <w:gridCol w:w="2977"/>
        <w:gridCol w:w="1559"/>
        <w:gridCol w:w="2126"/>
      </w:tblGrid>
      <w:tr w:rsidR="00E71FB2" w:rsidRPr="00FA117E" w:rsidTr="004209A3">
        <w:tc>
          <w:tcPr>
            <w:tcW w:w="3227" w:type="dxa"/>
            <w:tcBorders>
              <w:top w:val="nil"/>
              <w:right w:val="single" w:sz="4" w:space="0" w:color="FFFFFF" w:themeColor="background1"/>
            </w:tcBorders>
            <w:shd w:val="clear" w:color="auto" w:fill="D2232A"/>
            <w:tcMar>
              <w:top w:w="0" w:type="dxa"/>
              <w:left w:w="108" w:type="dxa"/>
              <w:bottom w:w="0" w:type="dxa"/>
              <w:right w:w="108" w:type="dxa"/>
            </w:tcMar>
            <w:vAlign w:val="center"/>
            <w:hideMark/>
          </w:tcPr>
          <w:p w:rsidR="00E71FB2" w:rsidRPr="00FA117E" w:rsidRDefault="00E71FB2" w:rsidP="00FD4F42">
            <w:pPr>
              <w:keepNext/>
              <w:spacing w:before="120" w:after="120" w:line="288" w:lineRule="auto"/>
              <w:jc w:val="center"/>
              <w:rPr>
                <w:b/>
                <w:color w:val="FFFFFF"/>
                <w:lang w:val="en-GB"/>
              </w:rPr>
            </w:pPr>
            <w:r w:rsidRPr="00FA117E">
              <w:rPr>
                <w:b/>
                <w:color w:val="FFFFFF"/>
                <w:lang w:val="en-GB"/>
              </w:rPr>
              <w:t>Frequency Range</w:t>
            </w:r>
          </w:p>
        </w:tc>
        <w:tc>
          <w:tcPr>
            <w:tcW w:w="2977" w:type="dxa"/>
            <w:tcBorders>
              <w:top w:val="nil"/>
              <w:left w:val="single" w:sz="4" w:space="0" w:color="FFFFFF" w:themeColor="background1"/>
              <w:right w:val="single" w:sz="4" w:space="0" w:color="FFFFFF" w:themeColor="background1"/>
            </w:tcBorders>
            <w:shd w:val="clear" w:color="auto" w:fill="D2232A"/>
          </w:tcPr>
          <w:p w:rsidR="00E71FB2" w:rsidRPr="00FA117E" w:rsidRDefault="00E71FB2" w:rsidP="00FD4F42">
            <w:pPr>
              <w:keepNext/>
              <w:spacing w:before="240" w:after="120" w:line="288" w:lineRule="auto"/>
              <w:jc w:val="center"/>
              <w:rPr>
                <w:b/>
                <w:color w:val="FFFFFF"/>
                <w:lang w:val="en-GB"/>
              </w:rPr>
            </w:pPr>
            <w:proofErr w:type="spellStart"/>
            <w:r w:rsidRPr="00FA117E">
              <w:rPr>
                <w:b/>
                <w:color w:val="FFFFFF"/>
                <w:lang w:val="en-GB"/>
              </w:rPr>
              <w:t>e.i.r.p</w:t>
            </w:r>
            <w:proofErr w:type="spellEnd"/>
            <w:r w:rsidRPr="00FA117E">
              <w:rPr>
                <w:b/>
                <w:color w:val="FFFFFF"/>
                <w:lang w:val="en-GB"/>
              </w:rPr>
              <w:t>.</w:t>
            </w:r>
          </w:p>
        </w:tc>
        <w:tc>
          <w:tcPr>
            <w:tcW w:w="1559" w:type="dxa"/>
            <w:tcBorders>
              <w:top w:val="nil"/>
              <w:left w:val="single" w:sz="4" w:space="0" w:color="FFFFFF" w:themeColor="background1"/>
              <w:right w:val="single" w:sz="4" w:space="0" w:color="FFFFFF" w:themeColor="background1"/>
            </w:tcBorders>
            <w:shd w:val="clear" w:color="auto" w:fill="D2232A"/>
            <w:tcMar>
              <w:top w:w="0" w:type="dxa"/>
              <w:left w:w="108" w:type="dxa"/>
              <w:bottom w:w="0" w:type="dxa"/>
              <w:right w:w="108" w:type="dxa"/>
            </w:tcMar>
            <w:vAlign w:val="center"/>
            <w:hideMark/>
          </w:tcPr>
          <w:p w:rsidR="00E71FB2" w:rsidRPr="00FA117E" w:rsidRDefault="00E71FB2" w:rsidP="00FD4F42">
            <w:pPr>
              <w:keepNext/>
              <w:spacing w:before="120" w:after="120" w:line="288" w:lineRule="auto"/>
              <w:jc w:val="center"/>
              <w:rPr>
                <w:b/>
                <w:color w:val="FFFFFF"/>
                <w:lang w:val="en-GB"/>
              </w:rPr>
            </w:pPr>
            <w:r w:rsidRPr="00FA117E">
              <w:rPr>
                <w:b/>
                <w:color w:val="FFFFFF"/>
                <w:lang w:val="en-GB"/>
              </w:rPr>
              <w:t>Measurement bandwidth</w:t>
            </w:r>
          </w:p>
        </w:tc>
        <w:tc>
          <w:tcPr>
            <w:tcW w:w="2126" w:type="dxa"/>
            <w:tcBorders>
              <w:top w:val="nil"/>
              <w:left w:val="single" w:sz="4" w:space="0" w:color="FFFFFF" w:themeColor="background1"/>
            </w:tcBorders>
            <w:shd w:val="clear" w:color="auto" w:fill="D2232A"/>
            <w:tcMar>
              <w:top w:w="0" w:type="dxa"/>
              <w:left w:w="108" w:type="dxa"/>
              <w:bottom w:w="0" w:type="dxa"/>
              <w:right w:w="108" w:type="dxa"/>
            </w:tcMar>
            <w:vAlign w:val="center"/>
            <w:hideMark/>
          </w:tcPr>
          <w:p w:rsidR="00E71FB2" w:rsidRPr="00FA117E" w:rsidRDefault="00E71FB2" w:rsidP="00FD4F42">
            <w:pPr>
              <w:keepNext/>
              <w:spacing w:before="120" w:after="120" w:line="288" w:lineRule="auto"/>
              <w:jc w:val="center"/>
              <w:rPr>
                <w:b/>
                <w:color w:val="FFFFFF"/>
                <w:lang w:val="en-GB"/>
              </w:rPr>
            </w:pPr>
            <w:r w:rsidRPr="00FA117E">
              <w:rPr>
                <w:b/>
                <w:color w:val="FFFFFF"/>
                <w:lang w:val="en-GB"/>
              </w:rPr>
              <w:t>Reasoning</w:t>
            </w:r>
          </w:p>
        </w:tc>
      </w:tr>
      <w:tr w:rsidR="00E71FB2" w:rsidRPr="00FA117E" w:rsidTr="004209A3">
        <w:trPr>
          <w:trHeight w:val="399"/>
        </w:trPr>
        <w:tc>
          <w:tcPr>
            <w:tcW w:w="3227" w:type="dxa"/>
            <w:shd w:val="clear" w:color="auto" w:fill="FFFFFF"/>
            <w:tcMar>
              <w:top w:w="0" w:type="dxa"/>
              <w:left w:w="108" w:type="dxa"/>
              <w:bottom w:w="0" w:type="dxa"/>
              <w:right w:w="108" w:type="dxa"/>
            </w:tcMar>
            <w:vAlign w:val="center"/>
            <w:hideMark/>
          </w:tcPr>
          <w:p w:rsidR="00E71FB2" w:rsidRPr="00FA117E" w:rsidRDefault="00E71FB2" w:rsidP="00FD4F42">
            <w:pPr>
              <w:keepNext/>
              <w:rPr>
                <w:rFonts w:cs="Arial"/>
                <w:szCs w:val="20"/>
                <w:lang w:val="en-GB" w:eastAsia="en-GB"/>
              </w:rPr>
            </w:pPr>
            <w:r w:rsidRPr="00FA117E">
              <w:rPr>
                <w:rFonts w:cs="Arial"/>
                <w:szCs w:val="20"/>
                <w:lang w:val="en-GB" w:eastAsia="en-GB"/>
              </w:rPr>
              <w:t>MFCN</w:t>
            </w:r>
            <w:r w:rsidR="00CD294A" w:rsidRPr="00FA117E">
              <w:rPr>
                <w:rFonts w:cs="Arial"/>
                <w:szCs w:val="20"/>
                <w:lang w:val="en-GB" w:eastAsia="en-GB"/>
              </w:rPr>
              <w:t>, PPDR and M2M</w:t>
            </w:r>
            <w:r w:rsidRPr="00FA117E">
              <w:rPr>
                <w:rFonts w:cs="Arial"/>
                <w:szCs w:val="20"/>
                <w:lang w:val="en-GB" w:eastAsia="en-GB"/>
              </w:rPr>
              <w:t xml:space="preserve"> uplink frequencies</w:t>
            </w:r>
          </w:p>
        </w:tc>
        <w:tc>
          <w:tcPr>
            <w:tcW w:w="2977" w:type="dxa"/>
            <w:shd w:val="clear" w:color="auto" w:fill="FFFFFF"/>
            <w:vAlign w:val="center"/>
          </w:tcPr>
          <w:p w:rsidR="00E71FB2" w:rsidRPr="00FA117E" w:rsidRDefault="00E71FB2" w:rsidP="004209A3">
            <w:pPr>
              <w:keepNext/>
              <w:rPr>
                <w:rFonts w:cs="Arial"/>
                <w:szCs w:val="20"/>
                <w:lang w:val="en-GB" w:eastAsia="en-GB"/>
              </w:rPr>
            </w:pPr>
            <w:r w:rsidRPr="00FA117E">
              <w:rPr>
                <w:rFonts w:cs="Arial"/>
                <w:szCs w:val="20"/>
                <w:lang w:val="en-GB" w:eastAsia="en-GB"/>
              </w:rPr>
              <w:t xml:space="preserve">-45 </w:t>
            </w:r>
            <w:proofErr w:type="spellStart"/>
            <w:r w:rsidRPr="00FA117E">
              <w:rPr>
                <w:rFonts w:cs="Arial"/>
                <w:szCs w:val="20"/>
                <w:lang w:val="en-GB" w:eastAsia="en-GB"/>
              </w:rPr>
              <w:t>dBm</w:t>
            </w:r>
            <w:proofErr w:type="spellEnd"/>
            <w:r w:rsidRPr="00FA117E">
              <w:rPr>
                <w:rFonts w:cs="Arial"/>
                <w:szCs w:val="20"/>
                <w:lang w:val="en-GB" w:eastAsia="en-GB"/>
              </w:rPr>
              <w:t>(unwanted emissions)</w:t>
            </w:r>
          </w:p>
        </w:tc>
        <w:tc>
          <w:tcPr>
            <w:tcW w:w="1559" w:type="dxa"/>
            <w:shd w:val="clear" w:color="auto" w:fill="FFFFFF"/>
            <w:tcMar>
              <w:top w:w="0" w:type="dxa"/>
              <w:left w:w="108" w:type="dxa"/>
              <w:bottom w:w="0" w:type="dxa"/>
              <w:right w:w="108" w:type="dxa"/>
            </w:tcMar>
            <w:vAlign w:val="center"/>
          </w:tcPr>
          <w:p w:rsidR="00E71FB2" w:rsidRPr="00FA117E" w:rsidRDefault="00E71FB2" w:rsidP="00FD4F42">
            <w:pPr>
              <w:keepNext/>
              <w:rPr>
                <w:rFonts w:cs="Arial"/>
                <w:szCs w:val="20"/>
                <w:lang w:val="en-GB" w:eastAsia="en-GB"/>
              </w:rPr>
            </w:pPr>
            <w:r w:rsidRPr="00FA117E">
              <w:rPr>
                <w:rFonts w:cs="Arial"/>
                <w:szCs w:val="20"/>
                <w:lang w:val="en-GB" w:eastAsia="en-GB"/>
              </w:rPr>
              <w:t>200 kHz</w:t>
            </w:r>
          </w:p>
        </w:tc>
        <w:tc>
          <w:tcPr>
            <w:tcW w:w="2126" w:type="dxa"/>
            <w:shd w:val="clear" w:color="auto" w:fill="FFFFFF"/>
            <w:tcMar>
              <w:top w:w="0" w:type="dxa"/>
              <w:left w:w="108" w:type="dxa"/>
              <w:bottom w:w="0" w:type="dxa"/>
              <w:right w:w="108" w:type="dxa"/>
            </w:tcMar>
            <w:vAlign w:val="center"/>
          </w:tcPr>
          <w:p w:rsidR="00E71FB2" w:rsidRPr="00FA117E" w:rsidRDefault="00E71FB2" w:rsidP="00FD4F42">
            <w:pPr>
              <w:keepNext/>
              <w:rPr>
                <w:rFonts w:eastAsiaTheme="minorHAnsi" w:cs="Arial"/>
                <w:szCs w:val="20"/>
                <w:lang w:val="en-GB"/>
              </w:rPr>
            </w:pPr>
            <w:r w:rsidRPr="00FA117E">
              <w:rPr>
                <w:rFonts w:eastAsiaTheme="minorHAnsi" w:cs="Arial"/>
                <w:szCs w:val="20"/>
                <w:lang w:val="en-GB"/>
              </w:rPr>
              <w:t>ETSI EN 300 422</w:t>
            </w:r>
            <w:r w:rsidR="006F75CE" w:rsidRPr="00FA117E">
              <w:rPr>
                <w:rFonts w:eastAsiaTheme="minorHAnsi" w:cs="Arial"/>
                <w:szCs w:val="20"/>
                <w:lang w:val="en-GB"/>
              </w:rPr>
              <w:t xml:space="preserve"> </w:t>
            </w:r>
            <w:r w:rsidR="006F75CE" w:rsidRPr="00FA117E">
              <w:rPr>
                <w:rFonts w:eastAsiaTheme="minorHAnsi" w:cs="Arial"/>
                <w:szCs w:val="20"/>
                <w:lang w:val="en-GB"/>
              </w:rPr>
              <w:fldChar w:fldCharType="begin"/>
            </w:r>
            <w:r w:rsidR="006F75CE" w:rsidRPr="00FA117E">
              <w:rPr>
                <w:rFonts w:eastAsiaTheme="minorHAnsi" w:cs="Arial"/>
                <w:szCs w:val="20"/>
                <w:lang w:val="en-GB"/>
              </w:rPr>
              <w:instrText xml:space="preserve"> REF _Ref422930265 \n \h </w:instrText>
            </w:r>
            <w:r w:rsidR="00532417" w:rsidRPr="00FA117E">
              <w:rPr>
                <w:rFonts w:eastAsiaTheme="minorHAnsi" w:cs="Arial"/>
                <w:szCs w:val="20"/>
                <w:lang w:val="en-GB"/>
              </w:rPr>
              <w:instrText xml:space="preserve"> \* MERGEFORMAT </w:instrText>
            </w:r>
            <w:r w:rsidR="006F75CE" w:rsidRPr="00FA117E">
              <w:rPr>
                <w:rFonts w:eastAsiaTheme="minorHAnsi" w:cs="Arial"/>
                <w:szCs w:val="20"/>
                <w:lang w:val="en-GB"/>
              </w:rPr>
            </w:r>
            <w:r w:rsidR="006F75CE" w:rsidRPr="00FA117E">
              <w:rPr>
                <w:rFonts w:eastAsiaTheme="minorHAnsi" w:cs="Arial"/>
                <w:szCs w:val="20"/>
                <w:lang w:val="en-GB"/>
              </w:rPr>
              <w:fldChar w:fldCharType="separate"/>
            </w:r>
            <w:r w:rsidR="005C651F" w:rsidRPr="00FA117E">
              <w:rPr>
                <w:rFonts w:eastAsiaTheme="minorHAnsi" w:cs="Arial"/>
                <w:szCs w:val="20"/>
                <w:lang w:val="en-GB"/>
              </w:rPr>
              <w:t>[5]</w:t>
            </w:r>
            <w:r w:rsidR="006F75CE" w:rsidRPr="00FA117E">
              <w:rPr>
                <w:rFonts w:eastAsiaTheme="minorHAnsi" w:cs="Arial"/>
                <w:szCs w:val="20"/>
                <w:lang w:val="en-GB"/>
              </w:rPr>
              <w:fldChar w:fldCharType="end"/>
            </w:r>
          </w:p>
        </w:tc>
      </w:tr>
      <w:tr w:rsidR="00E71FB2" w:rsidRPr="00FA117E" w:rsidTr="004209A3">
        <w:trPr>
          <w:trHeight w:val="411"/>
        </w:trPr>
        <w:tc>
          <w:tcPr>
            <w:tcW w:w="3227" w:type="dxa"/>
            <w:shd w:val="clear" w:color="auto" w:fill="FFFFFF"/>
            <w:tcMar>
              <w:top w:w="0" w:type="dxa"/>
              <w:left w:w="108" w:type="dxa"/>
              <w:bottom w:w="0" w:type="dxa"/>
              <w:right w:w="108" w:type="dxa"/>
            </w:tcMar>
            <w:vAlign w:val="center"/>
            <w:hideMark/>
          </w:tcPr>
          <w:p w:rsidR="00E71FB2" w:rsidRPr="00FA117E" w:rsidRDefault="00E71FB2" w:rsidP="00690853">
            <w:pPr>
              <w:rPr>
                <w:rFonts w:cs="Arial"/>
                <w:szCs w:val="20"/>
                <w:lang w:val="en-GB" w:eastAsia="en-GB"/>
              </w:rPr>
            </w:pPr>
            <w:r w:rsidRPr="00FA117E">
              <w:rPr>
                <w:lang w:val="en-GB"/>
              </w:rPr>
              <w:t xml:space="preserve">More than -1.2 MHz offset from MFCN </w:t>
            </w:r>
            <w:r w:rsidR="00CD294A" w:rsidRPr="00FA117E">
              <w:rPr>
                <w:lang w:val="en-GB"/>
              </w:rPr>
              <w:t xml:space="preserve">or PPDR </w:t>
            </w:r>
            <w:r w:rsidRPr="00FA117E">
              <w:rPr>
                <w:lang w:val="en-GB"/>
              </w:rPr>
              <w:t xml:space="preserve">downlink lower band edge or </w:t>
            </w:r>
            <w:r w:rsidRPr="00FA117E">
              <w:rPr>
                <w:rFonts w:eastAsia="MS Mincho" w:cs="Arial"/>
                <w:lang w:val="en-GB" w:eastAsia="ja-JP"/>
              </w:rPr>
              <w:t>lower edge of the lowest SDL block</w:t>
            </w:r>
          </w:p>
        </w:tc>
        <w:tc>
          <w:tcPr>
            <w:tcW w:w="2977" w:type="dxa"/>
            <w:shd w:val="clear" w:color="auto" w:fill="FFFFFF"/>
            <w:vAlign w:val="center"/>
          </w:tcPr>
          <w:p w:rsidR="00E71FB2" w:rsidRPr="00FA117E" w:rsidRDefault="00E71FB2" w:rsidP="004209A3">
            <w:pPr>
              <w:rPr>
                <w:rFonts w:cs="Arial"/>
                <w:szCs w:val="20"/>
                <w:lang w:val="en-GB" w:eastAsia="en-GB"/>
              </w:rPr>
            </w:pPr>
            <w:r w:rsidRPr="00FA117E">
              <w:rPr>
                <w:rFonts w:cs="Arial"/>
                <w:szCs w:val="20"/>
                <w:lang w:val="en-GB" w:eastAsia="en-GB"/>
              </w:rPr>
              <w:t xml:space="preserve">19 </w:t>
            </w:r>
            <w:proofErr w:type="spellStart"/>
            <w:r w:rsidRPr="00FA117E">
              <w:rPr>
                <w:rFonts w:cs="Arial"/>
                <w:szCs w:val="20"/>
                <w:lang w:val="en-GB" w:eastAsia="en-GB"/>
              </w:rPr>
              <w:t>dBm</w:t>
            </w:r>
            <w:proofErr w:type="spellEnd"/>
            <w:r w:rsidRPr="00FA117E">
              <w:rPr>
                <w:lang w:val="en-GB"/>
              </w:rPr>
              <w:t>(in-block power)</w:t>
            </w:r>
          </w:p>
        </w:tc>
        <w:tc>
          <w:tcPr>
            <w:tcW w:w="1559" w:type="dxa"/>
            <w:shd w:val="clear" w:color="auto" w:fill="FFFFFF"/>
            <w:tcMar>
              <w:top w:w="0" w:type="dxa"/>
              <w:left w:w="108" w:type="dxa"/>
              <w:bottom w:w="0" w:type="dxa"/>
              <w:right w:w="108" w:type="dxa"/>
            </w:tcMar>
            <w:vAlign w:val="center"/>
          </w:tcPr>
          <w:p w:rsidR="00E71FB2" w:rsidRPr="00FA117E" w:rsidRDefault="00E71FB2" w:rsidP="00690853">
            <w:pPr>
              <w:rPr>
                <w:rFonts w:cs="Arial"/>
                <w:szCs w:val="20"/>
                <w:lang w:val="en-GB" w:eastAsia="en-GB"/>
              </w:rPr>
            </w:pPr>
            <w:r w:rsidRPr="00FA117E">
              <w:rPr>
                <w:rFonts w:cs="Arial"/>
                <w:szCs w:val="20"/>
                <w:lang w:val="en-GB" w:eastAsia="en-GB"/>
              </w:rPr>
              <w:t>200 kHz</w:t>
            </w:r>
          </w:p>
        </w:tc>
        <w:tc>
          <w:tcPr>
            <w:tcW w:w="2126" w:type="dxa"/>
            <w:vMerge w:val="restart"/>
            <w:shd w:val="clear" w:color="auto" w:fill="FFFFFF"/>
            <w:tcMar>
              <w:top w:w="0" w:type="dxa"/>
              <w:left w:w="108" w:type="dxa"/>
              <w:bottom w:w="0" w:type="dxa"/>
              <w:right w:w="108" w:type="dxa"/>
            </w:tcMar>
            <w:vAlign w:val="center"/>
          </w:tcPr>
          <w:p w:rsidR="00E71FB2" w:rsidRPr="00FA117E" w:rsidRDefault="00E71FB2" w:rsidP="00A61528">
            <w:pPr>
              <w:rPr>
                <w:rFonts w:eastAsiaTheme="minorHAnsi" w:cs="Arial"/>
                <w:szCs w:val="20"/>
                <w:lang w:val="en-GB"/>
              </w:rPr>
            </w:pPr>
            <w:r w:rsidRPr="00FA117E">
              <w:rPr>
                <w:rFonts w:eastAsiaTheme="minorHAnsi" w:cs="Arial"/>
                <w:szCs w:val="20"/>
                <w:lang w:val="en-GB"/>
              </w:rPr>
              <w:t xml:space="preserve">Annex 2 of ECC Report </w:t>
            </w:r>
            <w:r w:rsidRPr="00FA117E">
              <w:rPr>
                <w:lang w:val="en-GB"/>
              </w:rPr>
              <w:t xml:space="preserve">221 </w:t>
            </w:r>
            <w:r w:rsidR="00A61528" w:rsidRPr="00FA117E">
              <w:rPr>
                <w:lang w:val="en-GB"/>
              </w:rPr>
              <w:fldChar w:fldCharType="begin"/>
            </w:r>
            <w:r w:rsidR="00A61528" w:rsidRPr="00FA117E">
              <w:rPr>
                <w:lang w:val="en-GB"/>
              </w:rPr>
              <w:instrText xml:space="preserve"> REF _Ref422930862 \r \h </w:instrText>
            </w:r>
            <w:r w:rsidR="00532417" w:rsidRPr="00FA117E">
              <w:rPr>
                <w:lang w:val="en-GB"/>
              </w:rPr>
              <w:instrText xml:space="preserve"> \* MERGEFORMAT </w:instrText>
            </w:r>
            <w:r w:rsidR="00A61528" w:rsidRPr="00FA117E">
              <w:rPr>
                <w:lang w:val="en-GB"/>
              </w:rPr>
            </w:r>
            <w:r w:rsidR="00A61528" w:rsidRPr="00FA117E">
              <w:rPr>
                <w:lang w:val="en-GB"/>
              </w:rPr>
              <w:fldChar w:fldCharType="separate"/>
            </w:r>
            <w:r w:rsidR="005C651F" w:rsidRPr="00FA117E">
              <w:rPr>
                <w:lang w:val="en-GB"/>
              </w:rPr>
              <w:t>[6]</w:t>
            </w:r>
            <w:r w:rsidR="00A61528" w:rsidRPr="00FA117E">
              <w:rPr>
                <w:lang w:val="en-GB"/>
              </w:rPr>
              <w:fldChar w:fldCharType="end"/>
            </w:r>
          </w:p>
        </w:tc>
      </w:tr>
      <w:tr w:rsidR="00E71FB2" w:rsidRPr="00FA117E" w:rsidTr="004209A3">
        <w:tc>
          <w:tcPr>
            <w:tcW w:w="3227" w:type="dxa"/>
            <w:shd w:val="clear" w:color="auto" w:fill="FFFFFF"/>
            <w:tcMar>
              <w:top w:w="0" w:type="dxa"/>
              <w:left w:w="108" w:type="dxa"/>
              <w:bottom w:w="0" w:type="dxa"/>
              <w:right w:w="108" w:type="dxa"/>
            </w:tcMar>
            <w:vAlign w:val="center"/>
            <w:hideMark/>
          </w:tcPr>
          <w:p w:rsidR="00E71FB2" w:rsidRPr="00FA117E" w:rsidRDefault="00E71FB2" w:rsidP="00690853">
            <w:pPr>
              <w:rPr>
                <w:rFonts w:cs="Arial"/>
                <w:szCs w:val="20"/>
                <w:lang w:val="en-GB" w:eastAsia="en-GB"/>
              </w:rPr>
            </w:pPr>
            <w:r w:rsidRPr="00FA117E">
              <w:rPr>
                <w:rFonts w:cs="Arial"/>
                <w:szCs w:val="20"/>
                <w:lang w:val="en-GB" w:eastAsia="en-GB"/>
              </w:rPr>
              <w:t>- 1.2 to 0 MHz offset from MFCN</w:t>
            </w:r>
            <w:r w:rsidR="00CD294A" w:rsidRPr="00FA117E">
              <w:rPr>
                <w:rFonts w:cs="Arial"/>
                <w:szCs w:val="20"/>
                <w:lang w:val="en-GB" w:eastAsia="en-GB"/>
              </w:rPr>
              <w:t xml:space="preserve"> or PPDR</w:t>
            </w:r>
            <w:r w:rsidRPr="00FA117E">
              <w:rPr>
                <w:rFonts w:cs="Arial"/>
                <w:szCs w:val="20"/>
                <w:lang w:val="en-GB" w:eastAsia="en-GB"/>
              </w:rPr>
              <w:t xml:space="preserve"> downlink lower band edge </w:t>
            </w:r>
            <w:r w:rsidRPr="00FA117E">
              <w:rPr>
                <w:lang w:val="en-GB"/>
              </w:rPr>
              <w:t xml:space="preserve">or </w:t>
            </w:r>
            <w:r w:rsidRPr="00FA117E">
              <w:rPr>
                <w:rFonts w:eastAsia="MS Mincho" w:cs="Arial"/>
                <w:lang w:val="en-GB" w:eastAsia="ja-JP"/>
              </w:rPr>
              <w:t>lower edge of the lowest SDL block</w:t>
            </w:r>
            <w:r w:rsidRPr="00FA117E">
              <w:rPr>
                <w:lang w:val="en-GB"/>
              </w:rPr>
              <w:t xml:space="preserve"> </w:t>
            </w:r>
            <w:r w:rsidRPr="00FA117E">
              <w:rPr>
                <w:rFonts w:cs="Arial"/>
                <w:szCs w:val="20"/>
                <w:lang w:val="en-GB" w:eastAsia="en-GB"/>
              </w:rPr>
              <w:t>(guard band)</w:t>
            </w:r>
          </w:p>
        </w:tc>
        <w:tc>
          <w:tcPr>
            <w:tcW w:w="2977" w:type="dxa"/>
            <w:shd w:val="clear" w:color="auto" w:fill="FFFFFF"/>
            <w:vAlign w:val="center"/>
          </w:tcPr>
          <w:p w:rsidR="00E71FB2" w:rsidRPr="00FA117E" w:rsidRDefault="00D7066E" w:rsidP="004209A3">
            <w:pPr>
              <w:rPr>
                <w:rFonts w:cs="Arial"/>
                <w:szCs w:val="20"/>
                <w:lang w:val="en-GB" w:eastAsia="en-GB"/>
              </w:rPr>
            </w:pPr>
            <w:r w:rsidRPr="00FA117E">
              <w:rPr>
                <w:rFonts w:cs="Arial"/>
                <w:szCs w:val="20"/>
                <w:lang w:val="en-GB" w:eastAsia="en-GB"/>
              </w:rPr>
              <w:t>guard band</w:t>
            </w:r>
          </w:p>
        </w:tc>
        <w:tc>
          <w:tcPr>
            <w:tcW w:w="1559" w:type="dxa"/>
            <w:shd w:val="clear" w:color="auto" w:fill="FFFFFF"/>
            <w:tcMar>
              <w:top w:w="0" w:type="dxa"/>
              <w:left w:w="108" w:type="dxa"/>
              <w:bottom w:w="0" w:type="dxa"/>
              <w:right w:w="108" w:type="dxa"/>
            </w:tcMar>
            <w:vAlign w:val="center"/>
          </w:tcPr>
          <w:p w:rsidR="00E71FB2" w:rsidRPr="00FA117E" w:rsidRDefault="00532417" w:rsidP="00532417">
            <w:pPr>
              <w:jc w:val="center"/>
              <w:rPr>
                <w:rFonts w:cs="Arial"/>
                <w:szCs w:val="20"/>
                <w:lang w:val="en-GB" w:eastAsia="en-GB"/>
              </w:rPr>
            </w:pPr>
            <w:r w:rsidRPr="00FA117E">
              <w:rPr>
                <w:rFonts w:cs="Arial"/>
                <w:szCs w:val="20"/>
                <w:lang w:val="en-GB" w:eastAsia="en-GB"/>
              </w:rPr>
              <w:t>-</w:t>
            </w:r>
          </w:p>
        </w:tc>
        <w:tc>
          <w:tcPr>
            <w:tcW w:w="2126" w:type="dxa"/>
            <w:vMerge/>
            <w:shd w:val="clear" w:color="auto" w:fill="FFFFFF"/>
            <w:tcMar>
              <w:top w:w="0" w:type="dxa"/>
              <w:left w:w="108" w:type="dxa"/>
              <w:bottom w:w="0" w:type="dxa"/>
              <w:right w:w="108" w:type="dxa"/>
            </w:tcMar>
            <w:vAlign w:val="center"/>
          </w:tcPr>
          <w:p w:rsidR="00E71FB2" w:rsidRPr="00FA117E" w:rsidRDefault="00E71FB2" w:rsidP="00690853">
            <w:pPr>
              <w:rPr>
                <w:rFonts w:eastAsiaTheme="minorHAnsi" w:cs="Arial"/>
                <w:szCs w:val="20"/>
                <w:lang w:val="en-GB"/>
              </w:rPr>
            </w:pPr>
          </w:p>
        </w:tc>
      </w:tr>
      <w:tr w:rsidR="00E71FB2" w:rsidRPr="00FA117E" w:rsidTr="004209A3">
        <w:trPr>
          <w:trHeight w:val="355"/>
        </w:trPr>
        <w:tc>
          <w:tcPr>
            <w:tcW w:w="3227" w:type="dxa"/>
            <w:shd w:val="clear" w:color="auto" w:fill="FFFFFF"/>
            <w:tcMar>
              <w:top w:w="0" w:type="dxa"/>
              <w:left w:w="108" w:type="dxa"/>
              <w:bottom w:w="0" w:type="dxa"/>
              <w:right w:w="108" w:type="dxa"/>
            </w:tcMar>
            <w:vAlign w:val="center"/>
            <w:hideMark/>
          </w:tcPr>
          <w:p w:rsidR="00E71FB2" w:rsidRPr="00FA117E" w:rsidRDefault="00E71FB2" w:rsidP="00690853">
            <w:pPr>
              <w:rPr>
                <w:rFonts w:cs="Arial"/>
                <w:szCs w:val="20"/>
                <w:lang w:val="en-GB" w:eastAsia="en-GB"/>
              </w:rPr>
            </w:pPr>
            <w:r w:rsidRPr="00FA117E">
              <w:rPr>
                <w:rFonts w:cs="Arial"/>
                <w:szCs w:val="20"/>
                <w:lang w:val="en-GB" w:eastAsia="en-GB"/>
              </w:rPr>
              <w:t>MFCN</w:t>
            </w:r>
            <w:r w:rsidR="00CD294A" w:rsidRPr="00FA117E">
              <w:rPr>
                <w:rFonts w:cs="Arial"/>
                <w:szCs w:val="20"/>
                <w:lang w:val="en-GB" w:eastAsia="en-GB"/>
              </w:rPr>
              <w:t xml:space="preserve">,PPDR </w:t>
            </w:r>
            <w:r w:rsidRPr="00FA117E">
              <w:rPr>
                <w:rFonts w:cs="Arial"/>
                <w:szCs w:val="20"/>
                <w:lang w:val="en-GB" w:eastAsia="en-GB"/>
              </w:rPr>
              <w:t xml:space="preserve">downlink </w:t>
            </w:r>
            <w:r w:rsidR="00CD294A" w:rsidRPr="00FA117E">
              <w:rPr>
                <w:rFonts w:cs="Arial"/>
                <w:szCs w:val="20"/>
                <w:lang w:val="en-GB" w:eastAsia="en-GB"/>
              </w:rPr>
              <w:t>and SDL</w:t>
            </w:r>
            <w:r w:rsidR="0000568B" w:rsidRPr="00FA117E">
              <w:rPr>
                <w:rFonts w:cs="Arial"/>
                <w:szCs w:val="20"/>
                <w:lang w:val="en-GB" w:eastAsia="en-GB"/>
              </w:rPr>
              <w:t xml:space="preserve"> </w:t>
            </w:r>
            <w:r w:rsidRPr="00FA117E">
              <w:rPr>
                <w:rFonts w:cs="Arial"/>
                <w:szCs w:val="20"/>
                <w:lang w:val="en-GB" w:eastAsia="en-GB"/>
              </w:rPr>
              <w:t>frequencies</w:t>
            </w:r>
          </w:p>
        </w:tc>
        <w:tc>
          <w:tcPr>
            <w:tcW w:w="2977" w:type="dxa"/>
            <w:shd w:val="clear" w:color="auto" w:fill="FFFFFF"/>
            <w:vAlign w:val="center"/>
          </w:tcPr>
          <w:p w:rsidR="00E71FB2" w:rsidRPr="00FA117E" w:rsidRDefault="00E71FB2" w:rsidP="004209A3">
            <w:pPr>
              <w:rPr>
                <w:rFonts w:cs="Arial"/>
                <w:szCs w:val="20"/>
                <w:lang w:val="en-GB" w:eastAsia="en-GB"/>
              </w:rPr>
            </w:pPr>
            <w:r w:rsidRPr="00FA117E">
              <w:rPr>
                <w:rFonts w:cs="Arial"/>
                <w:szCs w:val="20"/>
                <w:lang w:val="en-GB" w:eastAsia="en-GB"/>
              </w:rPr>
              <w:t xml:space="preserve">-45 </w:t>
            </w:r>
            <w:proofErr w:type="spellStart"/>
            <w:r w:rsidRPr="00FA117E">
              <w:rPr>
                <w:rFonts w:cs="Arial"/>
                <w:szCs w:val="20"/>
                <w:lang w:val="en-GB" w:eastAsia="en-GB"/>
              </w:rPr>
              <w:t>dBm</w:t>
            </w:r>
            <w:proofErr w:type="spellEnd"/>
            <w:r w:rsidRPr="00FA117E">
              <w:rPr>
                <w:rFonts w:cs="Arial"/>
                <w:szCs w:val="20"/>
                <w:lang w:val="en-GB" w:eastAsia="en-GB"/>
              </w:rPr>
              <w:t>(unwanted emissions)</w:t>
            </w:r>
          </w:p>
        </w:tc>
        <w:tc>
          <w:tcPr>
            <w:tcW w:w="1559" w:type="dxa"/>
            <w:shd w:val="clear" w:color="auto" w:fill="FFFFFF"/>
            <w:tcMar>
              <w:top w:w="0" w:type="dxa"/>
              <w:left w:w="108" w:type="dxa"/>
              <w:bottom w:w="0" w:type="dxa"/>
              <w:right w:w="108" w:type="dxa"/>
            </w:tcMar>
            <w:vAlign w:val="center"/>
          </w:tcPr>
          <w:p w:rsidR="00E71FB2" w:rsidRPr="00FA117E" w:rsidRDefault="00E71FB2" w:rsidP="00690853">
            <w:pPr>
              <w:rPr>
                <w:rFonts w:cs="Arial"/>
                <w:szCs w:val="20"/>
                <w:lang w:val="en-GB" w:eastAsia="en-GB"/>
              </w:rPr>
            </w:pPr>
            <w:r w:rsidRPr="00FA117E">
              <w:rPr>
                <w:rFonts w:cs="Arial"/>
                <w:szCs w:val="20"/>
                <w:lang w:val="en-GB" w:eastAsia="en-GB"/>
              </w:rPr>
              <w:t>200 kHz</w:t>
            </w:r>
          </w:p>
        </w:tc>
        <w:tc>
          <w:tcPr>
            <w:tcW w:w="2126" w:type="dxa"/>
            <w:shd w:val="clear" w:color="auto" w:fill="FFFFFF"/>
            <w:tcMar>
              <w:top w:w="0" w:type="dxa"/>
              <w:left w:w="108" w:type="dxa"/>
              <w:bottom w:w="0" w:type="dxa"/>
              <w:right w:w="108" w:type="dxa"/>
            </w:tcMar>
            <w:vAlign w:val="center"/>
          </w:tcPr>
          <w:p w:rsidR="00E71FB2" w:rsidRPr="00FA117E" w:rsidRDefault="00E71FB2" w:rsidP="00690853">
            <w:pPr>
              <w:rPr>
                <w:rFonts w:eastAsiaTheme="minorHAnsi" w:cs="Arial"/>
                <w:szCs w:val="20"/>
                <w:lang w:val="en-GB"/>
              </w:rPr>
            </w:pPr>
            <w:r w:rsidRPr="00FA117E">
              <w:rPr>
                <w:rFonts w:eastAsiaTheme="minorHAnsi" w:cs="Arial"/>
                <w:szCs w:val="20"/>
                <w:lang w:val="en-GB"/>
              </w:rPr>
              <w:t>ETSI EN 300 422</w:t>
            </w:r>
            <w:r w:rsidR="006F75CE" w:rsidRPr="00FA117E">
              <w:rPr>
                <w:rFonts w:eastAsiaTheme="minorHAnsi" w:cs="Arial"/>
                <w:szCs w:val="20"/>
                <w:lang w:val="en-GB"/>
              </w:rPr>
              <w:t xml:space="preserve"> </w:t>
            </w:r>
            <w:r w:rsidR="006F75CE" w:rsidRPr="00FA117E">
              <w:rPr>
                <w:rFonts w:eastAsiaTheme="minorHAnsi" w:cs="Arial"/>
                <w:szCs w:val="20"/>
                <w:lang w:val="en-GB"/>
              </w:rPr>
              <w:fldChar w:fldCharType="begin"/>
            </w:r>
            <w:r w:rsidR="006F75CE" w:rsidRPr="00FA117E">
              <w:rPr>
                <w:rFonts w:eastAsiaTheme="minorHAnsi" w:cs="Arial"/>
                <w:szCs w:val="20"/>
                <w:lang w:val="en-GB"/>
              </w:rPr>
              <w:instrText xml:space="preserve"> REF _Ref422930265 \n \h </w:instrText>
            </w:r>
            <w:r w:rsidR="00532417" w:rsidRPr="00FA117E">
              <w:rPr>
                <w:rFonts w:eastAsiaTheme="minorHAnsi" w:cs="Arial"/>
                <w:szCs w:val="20"/>
                <w:lang w:val="en-GB"/>
              </w:rPr>
              <w:instrText xml:space="preserve"> \* MERGEFORMAT </w:instrText>
            </w:r>
            <w:r w:rsidR="006F75CE" w:rsidRPr="00FA117E">
              <w:rPr>
                <w:rFonts w:eastAsiaTheme="minorHAnsi" w:cs="Arial"/>
                <w:szCs w:val="20"/>
                <w:lang w:val="en-GB"/>
              </w:rPr>
            </w:r>
            <w:r w:rsidR="006F75CE" w:rsidRPr="00FA117E">
              <w:rPr>
                <w:rFonts w:eastAsiaTheme="minorHAnsi" w:cs="Arial"/>
                <w:szCs w:val="20"/>
                <w:lang w:val="en-GB"/>
              </w:rPr>
              <w:fldChar w:fldCharType="separate"/>
            </w:r>
            <w:r w:rsidR="005C651F" w:rsidRPr="00FA117E">
              <w:rPr>
                <w:rFonts w:eastAsiaTheme="minorHAnsi" w:cs="Arial"/>
                <w:szCs w:val="20"/>
                <w:lang w:val="en-GB"/>
              </w:rPr>
              <w:t>[5]</w:t>
            </w:r>
            <w:r w:rsidR="006F75CE" w:rsidRPr="00FA117E">
              <w:rPr>
                <w:rFonts w:eastAsiaTheme="minorHAnsi" w:cs="Arial"/>
                <w:szCs w:val="20"/>
                <w:lang w:val="en-GB"/>
              </w:rPr>
              <w:fldChar w:fldCharType="end"/>
            </w:r>
          </w:p>
        </w:tc>
      </w:tr>
    </w:tbl>
    <w:p w:rsidR="008F5B6A" w:rsidRPr="00FA117E" w:rsidRDefault="008F5B6A">
      <w:pPr>
        <w:pStyle w:val="ECCParagraph"/>
      </w:pPr>
    </w:p>
    <w:p w:rsidR="00E71FB2" w:rsidRPr="00FA117E" w:rsidRDefault="008F5B6A">
      <w:pPr>
        <w:pStyle w:val="ECCParagraph"/>
      </w:pPr>
      <w:r w:rsidRPr="00FA117E">
        <w:fldChar w:fldCharType="begin"/>
      </w:r>
      <w:r w:rsidRPr="00FA117E">
        <w:instrText xml:space="preserve"> REF _Ref260526207 \r \h </w:instrText>
      </w:r>
      <w:r w:rsidR="00532417" w:rsidRPr="00FA117E">
        <w:instrText xml:space="preserve"> \* MERGEFORMAT </w:instrText>
      </w:r>
      <w:r w:rsidRPr="00FA117E">
        <w:fldChar w:fldCharType="separate"/>
      </w:r>
      <w:r w:rsidR="005C651F" w:rsidRPr="00FA117E">
        <w:t>Table 13:</w:t>
      </w:r>
      <w:r w:rsidRPr="00FA117E">
        <w:fldChar w:fldCharType="end"/>
      </w:r>
      <w:r w:rsidR="003A1647" w:rsidRPr="00FA117E">
        <w:t xml:space="preserve"> and </w:t>
      </w:r>
      <w:r w:rsidRPr="00FA117E">
        <w:fldChar w:fldCharType="begin"/>
      </w:r>
      <w:r w:rsidRPr="00FA117E">
        <w:instrText xml:space="preserve"> REF _Ref260527418 \r \h </w:instrText>
      </w:r>
      <w:r w:rsidR="00532417" w:rsidRPr="00FA117E">
        <w:instrText xml:space="preserve"> \* MERGEFORMAT </w:instrText>
      </w:r>
      <w:r w:rsidRPr="00FA117E">
        <w:fldChar w:fldCharType="separate"/>
      </w:r>
      <w:r w:rsidR="005C651F" w:rsidRPr="00FA117E">
        <w:t>Table 14:</w:t>
      </w:r>
      <w:r w:rsidRPr="00FA117E">
        <w:fldChar w:fldCharType="end"/>
      </w:r>
      <w:r w:rsidR="00E71FB2" w:rsidRPr="00FA117E">
        <w:t xml:space="preserve"> provid</w:t>
      </w:r>
      <w:r w:rsidR="004209A3">
        <w:t>e</w:t>
      </w:r>
      <w:r w:rsidR="00E71FB2" w:rsidRPr="00FA117E">
        <w:t xml:space="preserve"> power restrictions for PMSE in order to protect MFCN. These power restrictions are based on </w:t>
      </w:r>
      <w:r w:rsidR="004209A3">
        <w:t xml:space="preserve">the </w:t>
      </w:r>
      <w:r w:rsidR="00E71FB2" w:rsidRPr="00FA117E">
        <w:t xml:space="preserve">body loss </w:t>
      </w:r>
      <w:r w:rsidR="004209A3">
        <w:t xml:space="preserve">values </w:t>
      </w:r>
      <w:r w:rsidR="00E71FB2" w:rsidRPr="00FA117E">
        <w:t>assumed in CEPT Report 50</w:t>
      </w:r>
      <w:r w:rsidR="00DD0080" w:rsidRPr="00FA117E">
        <w:t xml:space="preserve"> </w:t>
      </w:r>
      <w:r w:rsidR="00DD0080" w:rsidRPr="00FA117E">
        <w:fldChar w:fldCharType="begin"/>
      </w:r>
      <w:r w:rsidR="00DD0080" w:rsidRPr="00FA117E">
        <w:instrText xml:space="preserve"> REF _Ref420684018 \r \h </w:instrText>
      </w:r>
      <w:r w:rsidR="00532417" w:rsidRPr="00FA117E">
        <w:instrText xml:space="preserve"> \* MERGEFORMAT </w:instrText>
      </w:r>
      <w:r w:rsidR="00DD0080" w:rsidRPr="00FA117E">
        <w:fldChar w:fldCharType="separate"/>
      </w:r>
      <w:r w:rsidR="005C651F" w:rsidRPr="00FA117E">
        <w:t>[4]</w:t>
      </w:r>
      <w:r w:rsidR="00DD0080" w:rsidRPr="00FA117E">
        <w:fldChar w:fldCharType="end"/>
      </w:r>
      <w:r w:rsidR="00E71FB2" w:rsidRPr="00FA117E">
        <w:t>, applicable to the frequency range 1785</w:t>
      </w:r>
      <w:r w:rsidR="0000568B" w:rsidRPr="00FA117E">
        <w:t>-1805 </w:t>
      </w:r>
      <w:proofErr w:type="spellStart"/>
      <w:r w:rsidR="00E71FB2" w:rsidRPr="00FA117E">
        <w:t>MHz</w:t>
      </w:r>
      <w:r w:rsidR="00C50EB2" w:rsidRPr="00FA117E">
        <w:t>.</w:t>
      </w:r>
      <w:proofErr w:type="spellEnd"/>
    </w:p>
    <w:p w:rsidR="00E71FB2" w:rsidRPr="00FA117E" w:rsidRDefault="00E71FB2" w:rsidP="00E71FB2">
      <w:pPr>
        <w:pStyle w:val="ECCParagraph"/>
      </w:pPr>
      <w:r w:rsidRPr="00FA117E">
        <w:t xml:space="preserve">It can be concluded that audio PMSE equipment will not be able to operate in the compatibility scenarios that were studied. However PMSE is able to find an operational channel with sufficient Quality of Service with the assumption of certain spatial distances between the PMSE equipment and the MFCN equipment. The most critical case is when the PMSE is close to a MFCN </w:t>
      </w:r>
      <w:r w:rsidR="006B577D" w:rsidRPr="00FA117E">
        <w:t>TS</w:t>
      </w:r>
      <w:r w:rsidRPr="00FA117E">
        <w:t xml:space="preserve"> but if the separation distance is increased the probability of interference decreases accordingly.</w:t>
      </w:r>
    </w:p>
    <w:p w:rsidR="00E71FB2" w:rsidRPr="00FA117E" w:rsidRDefault="00E71FB2" w:rsidP="00E71FB2">
      <w:pPr>
        <w:pStyle w:val="ECCParagraph"/>
      </w:pPr>
      <w:r w:rsidRPr="00FA117E">
        <w:t xml:space="preserve">PMSE should be operated only if a check of quality of service in the radio environment is performed before use and results in sufficient quality. The PMSE setup indicates whether enough PMSE channels with no interference are available to guarantee the needed quality of service. This procedure is described in Annex 5 of the ECC Report 191 </w:t>
      </w:r>
      <w:r w:rsidR="00A61528" w:rsidRPr="00FA117E">
        <w:fldChar w:fldCharType="begin"/>
      </w:r>
      <w:r w:rsidR="00A61528" w:rsidRPr="00FA117E">
        <w:instrText xml:space="preserve"> REF _Ref422931600 \r \h </w:instrText>
      </w:r>
      <w:r w:rsidR="00532417" w:rsidRPr="00FA117E">
        <w:instrText xml:space="preserve"> \* MERGEFORMAT </w:instrText>
      </w:r>
      <w:r w:rsidR="00A61528" w:rsidRPr="00FA117E">
        <w:fldChar w:fldCharType="separate"/>
      </w:r>
      <w:r w:rsidR="005C651F" w:rsidRPr="00FA117E">
        <w:t>[7]</w:t>
      </w:r>
      <w:r w:rsidR="00A61528" w:rsidRPr="00FA117E">
        <w:fldChar w:fldCharType="end"/>
      </w:r>
      <w:r w:rsidRPr="00FA117E">
        <w:t>.</w:t>
      </w:r>
    </w:p>
    <w:p w:rsidR="00E71FB2" w:rsidRPr="00FA117E" w:rsidRDefault="00E71FB2" w:rsidP="00E71FB2">
      <w:pPr>
        <w:pStyle w:val="Heading2"/>
        <w:rPr>
          <w:lang w:val="en-GB"/>
        </w:rPr>
      </w:pPr>
      <w:bookmarkStart w:id="35" w:name="_Toc405388842"/>
      <w:bookmarkStart w:id="36" w:name="_Toc441229624"/>
      <w:r w:rsidRPr="00FA117E">
        <w:rPr>
          <w:lang w:val="en-GB"/>
        </w:rPr>
        <w:t>Protection of PMSE below 694 MH</w:t>
      </w:r>
      <w:r w:rsidRPr="00FA117E">
        <w:rPr>
          <w:sz w:val="16"/>
          <w:lang w:val="en-GB"/>
        </w:rPr>
        <w:t>z</w:t>
      </w:r>
      <w:bookmarkEnd w:id="35"/>
      <w:bookmarkEnd w:id="36"/>
      <w:r w:rsidRPr="00FA117E">
        <w:rPr>
          <w:sz w:val="16"/>
          <w:lang w:val="en-GB"/>
        </w:rPr>
        <w:t xml:space="preserve"> </w:t>
      </w:r>
    </w:p>
    <w:p w:rsidR="00907DF3" w:rsidRPr="00FA117E" w:rsidRDefault="00E71FB2" w:rsidP="00E71FB2">
      <w:pPr>
        <w:pStyle w:val="ECCParagraph"/>
      </w:pPr>
      <w:r w:rsidRPr="00FA117E">
        <w:t xml:space="preserve">The CEPT noted that the 470-694 MHz band is currently available and will continue to be available for PMSE equipment on a sharing basis with the broadcasting service and that it is used on a daily basis. </w:t>
      </w:r>
    </w:p>
    <w:p w:rsidR="00E71FB2" w:rsidRPr="00FA117E" w:rsidRDefault="00E71FB2" w:rsidP="00E71FB2">
      <w:pPr>
        <w:pStyle w:val="ECCParagraph"/>
      </w:pPr>
      <w:r w:rsidRPr="00FA117E">
        <w:t xml:space="preserve">Based on </w:t>
      </w:r>
      <w:r w:rsidR="00907DF3" w:rsidRPr="00FA117E">
        <w:t xml:space="preserve">Monte Carlo SEAMCAT </w:t>
      </w:r>
      <w:r w:rsidRPr="00FA117E">
        <w:t>results and also with consideration of requirements on MFCN TS OOB emissions to protect the broadcasting service below 694 MHz</w:t>
      </w:r>
      <w:r w:rsidR="006B577D" w:rsidRPr="00FA117E">
        <w:t xml:space="preserve"> (see CEPT R</w:t>
      </w:r>
      <w:r w:rsidR="00907DF3" w:rsidRPr="00FA117E">
        <w:t>eport 53</w:t>
      </w:r>
      <w:r w:rsidR="006B577D" w:rsidRPr="00FA117E">
        <w:t xml:space="preserve"> </w:t>
      </w:r>
      <w:r w:rsidR="006B577D" w:rsidRPr="00FA117E">
        <w:fldChar w:fldCharType="begin"/>
      </w:r>
      <w:r w:rsidR="006B577D" w:rsidRPr="00FA117E">
        <w:instrText xml:space="preserve"> REF _Ref420684125 \r \h </w:instrText>
      </w:r>
      <w:r w:rsidR="00532417" w:rsidRPr="00FA117E">
        <w:instrText xml:space="preserve"> \* MERGEFORMAT </w:instrText>
      </w:r>
      <w:r w:rsidR="006B577D" w:rsidRPr="00FA117E">
        <w:fldChar w:fldCharType="separate"/>
      </w:r>
      <w:r w:rsidR="005C651F" w:rsidRPr="00FA117E">
        <w:t>[1]</w:t>
      </w:r>
      <w:r w:rsidR="006B577D" w:rsidRPr="00FA117E">
        <w:fldChar w:fldCharType="end"/>
      </w:r>
      <w:r w:rsidR="00907DF3" w:rsidRPr="00FA117E">
        <w:t>)</w:t>
      </w:r>
      <w:r w:rsidRPr="00FA117E">
        <w:t>, it can be concluded that MFCN TS above 703 MHz and PMSE below 694 MHz can coexist.</w:t>
      </w:r>
    </w:p>
    <w:p w:rsidR="00EB497B" w:rsidRPr="00FA117E" w:rsidRDefault="00EB497B" w:rsidP="00E71FB2">
      <w:pPr>
        <w:pStyle w:val="ECCParagraph"/>
      </w:pPr>
    </w:p>
    <w:p w:rsidR="00AB46DF" w:rsidRPr="00FA117E" w:rsidRDefault="003C3EE4" w:rsidP="00AB46DF">
      <w:pPr>
        <w:pStyle w:val="Heading1"/>
      </w:pPr>
      <w:bookmarkStart w:id="37" w:name="_Toc441229625"/>
      <w:bookmarkEnd w:id="11"/>
      <w:r w:rsidRPr="00FA117E">
        <w:lastRenderedPageBreak/>
        <w:t>Conclusions</w:t>
      </w:r>
      <w:bookmarkEnd w:id="37"/>
    </w:p>
    <w:p w:rsidR="00E33CF6" w:rsidRPr="00FA117E" w:rsidRDefault="00E33CF6" w:rsidP="00E33CF6">
      <w:pPr>
        <w:pStyle w:val="ECCParagraph"/>
        <w:tabs>
          <w:tab w:val="left" w:pos="2281"/>
        </w:tabs>
      </w:pPr>
      <w:r w:rsidRPr="00FA117E">
        <w:t xml:space="preserve">The channelling arrangement for MFCN </w:t>
      </w:r>
      <w:r w:rsidR="00D166DE" w:rsidRPr="00FA117E">
        <w:t xml:space="preserve">including an optional unpaired channelling arrangement (SDL) </w:t>
      </w:r>
      <w:r w:rsidRPr="00FA117E">
        <w:t xml:space="preserve">as contained in CEPT Report 53 </w:t>
      </w:r>
      <w:r w:rsidR="00801FBB" w:rsidRPr="00FA117E">
        <w:fldChar w:fldCharType="begin"/>
      </w:r>
      <w:r w:rsidR="00801FBB" w:rsidRPr="00FA117E">
        <w:instrText xml:space="preserve"> REF _Ref420684125 \r \h </w:instrText>
      </w:r>
      <w:r w:rsidR="00532417" w:rsidRPr="00FA117E">
        <w:instrText xml:space="preserve"> \* MERGEFORMAT </w:instrText>
      </w:r>
      <w:r w:rsidR="00801FBB" w:rsidRPr="00FA117E">
        <w:fldChar w:fldCharType="separate"/>
      </w:r>
      <w:r w:rsidR="005C651F" w:rsidRPr="00FA117E">
        <w:t>[1]</w:t>
      </w:r>
      <w:r w:rsidR="00801FBB" w:rsidRPr="00FA117E">
        <w:fldChar w:fldCharType="end"/>
      </w:r>
      <w:r w:rsidR="00801FBB" w:rsidRPr="00FA117E">
        <w:t xml:space="preserve"> </w:t>
      </w:r>
      <w:r w:rsidRPr="00FA117E">
        <w:t>was reviewed and no need to revise this arrangement was identified. The channelling arrangement for MFCN as contained in CEPT Report 53 is therefore confirmed.</w:t>
      </w:r>
    </w:p>
    <w:p w:rsidR="00D166DE" w:rsidRPr="00FA117E" w:rsidRDefault="00D166DE" w:rsidP="00D166DE">
      <w:pPr>
        <w:pStyle w:val="ECCParagraph"/>
        <w:tabs>
          <w:tab w:val="left" w:pos="2281"/>
        </w:tabs>
      </w:pPr>
      <w:r w:rsidRPr="00FA117E">
        <w:t xml:space="preserve">The information on national options other than SDL (PMSE, PPDR and M2M) as contained in CEPT Report 53 was reviewed and updated, concerning BB PPDR band plans, based on the latest information available within CEPT. However, all these options are to be realised on </w:t>
      </w:r>
      <w:r w:rsidR="005C651F" w:rsidRPr="00FA117E">
        <w:t xml:space="preserve">a </w:t>
      </w:r>
      <w:r w:rsidRPr="00FA117E">
        <w:t>national basis</w:t>
      </w:r>
      <w:r w:rsidR="00932574" w:rsidRPr="00FA117E">
        <w:t xml:space="preserve"> only</w:t>
      </w:r>
      <w:r w:rsidRPr="00FA117E">
        <w:t xml:space="preserve"> according to national needs.</w:t>
      </w:r>
    </w:p>
    <w:p w:rsidR="00D166DE" w:rsidRPr="00FA117E" w:rsidRDefault="00D166DE" w:rsidP="00D166DE">
      <w:pPr>
        <w:pStyle w:val="ECCParagraph"/>
        <w:tabs>
          <w:tab w:val="left" w:pos="2281"/>
        </w:tabs>
      </w:pPr>
      <w:r w:rsidRPr="00FA117E">
        <w:t xml:space="preserve">Furthermore, the information on the Least Restrictive Technical Conditions / BEM as contained in CEPT Report 53 was reviewed and </w:t>
      </w:r>
      <w:r w:rsidR="003704F4" w:rsidRPr="00FA117E">
        <w:t xml:space="preserve">is </w:t>
      </w:r>
      <w:r w:rsidRPr="00FA117E">
        <w:t>updated</w:t>
      </w:r>
      <w:r w:rsidR="003704F4" w:rsidRPr="00FA117E">
        <w:t xml:space="preserve"> in this report</w:t>
      </w:r>
      <w:r w:rsidRPr="00FA117E">
        <w:t xml:space="preserve"> based on the latest information available within CEPT. CEPT recommends the technical conditions </w:t>
      </w:r>
      <w:r w:rsidR="0028467B" w:rsidRPr="00FA117E">
        <w:t>in this report</w:t>
      </w:r>
      <w:r w:rsidRPr="00FA117E">
        <w:t xml:space="preserve"> as the basis for the LRTC to be included in the future harmonisation measure</w:t>
      </w:r>
      <w:r w:rsidR="003704F4" w:rsidRPr="00FA117E">
        <w:t>s for this band.</w:t>
      </w:r>
      <w:r w:rsidRPr="00FA117E">
        <w:t xml:space="preserve"> </w:t>
      </w:r>
      <w:r w:rsidRPr="00FA117E" w:rsidDel="0028467B">
        <w:t>The bilateral cross border coordination agreements signed by national administrations will not impact those technical conditions.</w:t>
      </w:r>
    </w:p>
    <w:p w:rsidR="0028467B" w:rsidRPr="00FA117E" w:rsidRDefault="00E33CF6" w:rsidP="00CD0D17">
      <w:pPr>
        <w:pStyle w:val="ECCParagraph"/>
        <w:tabs>
          <w:tab w:val="left" w:pos="2281"/>
        </w:tabs>
      </w:pPr>
      <w:r w:rsidRPr="00FA117E">
        <w:t xml:space="preserve">Finally, the technical conditions for PMSE as contained in CEPT Report 53 </w:t>
      </w:r>
      <w:r w:rsidR="004209A3">
        <w:t>were</w:t>
      </w:r>
      <w:r w:rsidRPr="00FA117E">
        <w:t xml:space="preserve"> reviewed and </w:t>
      </w:r>
      <w:r w:rsidR="00CE7D32" w:rsidRPr="00FA117E">
        <w:t>clarified</w:t>
      </w:r>
      <w:r w:rsidRPr="00FA117E">
        <w:t xml:space="preserve"> based on the latest information available within CEPT</w:t>
      </w:r>
      <w:r w:rsidR="00907DF3" w:rsidRPr="00FA117E">
        <w:t>.</w:t>
      </w:r>
      <w:r w:rsidR="0028467B" w:rsidRPr="00FA117E">
        <w:t xml:space="preserve"> </w:t>
      </w:r>
    </w:p>
    <w:p w:rsidR="007532D5" w:rsidRPr="00FA117E" w:rsidRDefault="007532D5" w:rsidP="007532D5">
      <w:pPr>
        <w:pStyle w:val="ECCParagraph"/>
        <w:tabs>
          <w:tab w:val="left" w:pos="2281"/>
        </w:tabs>
      </w:pPr>
      <w:r w:rsidRPr="00FA117E">
        <w:t xml:space="preserve">CEPT confirms that for the following items, the results in CEPT Report 53 remain valid, and they are thus not addressed in this report: </w:t>
      </w:r>
    </w:p>
    <w:p w:rsidR="007532D5" w:rsidRPr="00FA117E" w:rsidRDefault="007532D5" w:rsidP="007532D5">
      <w:pPr>
        <w:pStyle w:val="ECCParagraph"/>
        <w:numPr>
          <w:ilvl w:val="0"/>
          <w:numId w:val="36"/>
        </w:numPr>
        <w:tabs>
          <w:tab w:val="left" w:pos="2281"/>
        </w:tabs>
      </w:pPr>
      <w:r w:rsidRPr="00FA117E">
        <w:t>Additional considerations on the coexistence between MFCN and broadcasting below 694 MHz</w:t>
      </w:r>
      <w:r w:rsidR="008974D4" w:rsidRPr="00FA117E">
        <w:t>;</w:t>
      </w:r>
    </w:p>
    <w:p w:rsidR="007532D5" w:rsidRPr="00FA117E" w:rsidRDefault="007532D5" w:rsidP="007532D5">
      <w:pPr>
        <w:pStyle w:val="ECCParagraph"/>
        <w:numPr>
          <w:ilvl w:val="0"/>
          <w:numId w:val="36"/>
        </w:numPr>
        <w:tabs>
          <w:tab w:val="left" w:pos="2281"/>
        </w:tabs>
      </w:pPr>
      <w:r w:rsidRPr="00FA117E">
        <w:t>Interference from broadcasting to MFCN</w:t>
      </w:r>
      <w:r w:rsidR="008974D4" w:rsidRPr="00FA117E">
        <w:t>;</w:t>
      </w:r>
    </w:p>
    <w:p w:rsidR="007532D5" w:rsidRPr="00FA117E" w:rsidRDefault="007532D5" w:rsidP="007532D5">
      <w:pPr>
        <w:pStyle w:val="ECCParagraph"/>
        <w:numPr>
          <w:ilvl w:val="0"/>
          <w:numId w:val="36"/>
        </w:numPr>
        <w:tabs>
          <w:tab w:val="left" w:pos="2281"/>
        </w:tabs>
      </w:pPr>
      <w:r w:rsidRPr="00FA117E">
        <w:t>Compatibility with harmonised conditions of wireless broadband at 790-862 MHz</w:t>
      </w:r>
      <w:r w:rsidR="008974D4" w:rsidRPr="00FA117E">
        <w:t>;</w:t>
      </w:r>
    </w:p>
    <w:p w:rsidR="00AB46DF" w:rsidRPr="00FA117E" w:rsidRDefault="008F3E5F" w:rsidP="00CD0D17">
      <w:pPr>
        <w:pStyle w:val="ECCParagraph"/>
        <w:numPr>
          <w:ilvl w:val="0"/>
          <w:numId w:val="36"/>
        </w:numPr>
        <w:tabs>
          <w:tab w:val="left" w:pos="2281"/>
        </w:tabs>
      </w:pPr>
      <w:r w:rsidRPr="00FA117E">
        <w:t>Non radio issue</w:t>
      </w:r>
      <w:r w:rsidR="009A7E4C" w:rsidRPr="00FA117E">
        <w:t>s</w:t>
      </w:r>
      <w:r w:rsidRPr="00FA117E">
        <w:t xml:space="preserve"> (potential impact on non-radio end-user equipment for fixed broadcasting and broadband electronic communication services)</w:t>
      </w:r>
      <w:r w:rsidR="008974D4" w:rsidRPr="00FA117E">
        <w:t>.</w:t>
      </w:r>
    </w:p>
    <w:p w:rsidR="00AB46DF" w:rsidRPr="00FA117E" w:rsidRDefault="00AB46DF" w:rsidP="00AB46DF">
      <w:pPr>
        <w:outlineLvl w:val="2"/>
        <w:rPr>
          <w:lang w:val="en-GB"/>
        </w:rPr>
      </w:pPr>
    </w:p>
    <w:p w:rsidR="00AB46DF" w:rsidRPr="00FA117E" w:rsidRDefault="00AB46DF">
      <w:pPr>
        <w:rPr>
          <w:lang w:val="en-GB"/>
        </w:rPr>
        <w:sectPr w:rsidR="00AB46DF" w:rsidRPr="00FA117E">
          <w:headerReference w:type="even" r:id="rId10"/>
          <w:headerReference w:type="default" r:id="rId11"/>
          <w:headerReference w:type="first" r:id="rId12"/>
          <w:pgSz w:w="11907" w:h="16840" w:code="9"/>
          <w:pgMar w:top="1440" w:right="1134" w:bottom="1440" w:left="1134" w:header="709" w:footer="709" w:gutter="0"/>
          <w:cols w:space="708"/>
          <w:docGrid w:linePitch="360"/>
        </w:sectPr>
      </w:pPr>
    </w:p>
    <w:p w:rsidR="000F7A81" w:rsidRPr="00FA117E" w:rsidRDefault="000F7A81" w:rsidP="005273A4">
      <w:pPr>
        <w:pStyle w:val="ECCAnnexheading1"/>
        <w:numPr>
          <w:ilvl w:val="0"/>
          <w:numId w:val="20"/>
        </w:numPr>
      </w:pPr>
      <w:bookmarkStart w:id="38" w:name="_Ref422930461"/>
      <w:bookmarkStart w:id="39" w:name="_Toc441229626"/>
      <w:r w:rsidRPr="00FA117E">
        <w:lastRenderedPageBreak/>
        <w:t>EC mandate 700 MH</w:t>
      </w:r>
      <w:r w:rsidRPr="00FA117E">
        <w:rPr>
          <w:sz w:val="16"/>
        </w:rPr>
        <w:t>Z</w:t>
      </w:r>
      <w:bookmarkEnd w:id="38"/>
      <w:bookmarkEnd w:id="39"/>
    </w:p>
    <w:tbl>
      <w:tblPr>
        <w:tblW w:w="9469" w:type="dxa"/>
        <w:tblLayout w:type="fixed"/>
        <w:tblCellMar>
          <w:left w:w="0" w:type="dxa"/>
          <w:right w:w="0" w:type="dxa"/>
        </w:tblCellMar>
        <w:tblLook w:val="0000" w:firstRow="0" w:lastRow="0" w:firstColumn="0" w:lastColumn="0" w:noHBand="0" w:noVBand="0"/>
      </w:tblPr>
      <w:tblGrid>
        <w:gridCol w:w="1814"/>
        <w:gridCol w:w="7655"/>
      </w:tblGrid>
      <w:tr w:rsidR="000F7A81" w:rsidRPr="00FA117E" w:rsidTr="00842E21">
        <w:trPr>
          <w:trHeight w:val="1440"/>
        </w:trPr>
        <w:tc>
          <w:tcPr>
            <w:tcW w:w="1814" w:type="dxa"/>
            <w:tcBorders>
              <w:top w:val="nil"/>
              <w:left w:val="nil"/>
              <w:bottom w:val="nil"/>
              <w:right w:val="nil"/>
            </w:tcBorders>
          </w:tcPr>
          <w:p w:rsidR="000F7A81" w:rsidRPr="00FA117E" w:rsidRDefault="000F7A81" w:rsidP="0064147E">
            <w:pPr>
              <w:widowControl w:val="0"/>
              <w:ind w:right="85"/>
              <w:jc w:val="both"/>
              <w:rPr>
                <w:snapToGrid w:val="0"/>
                <w:sz w:val="24"/>
                <w:szCs w:val="20"/>
                <w:lang w:val="en-GB"/>
              </w:rPr>
            </w:pPr>
            <w:r w:rsidRPr="00FA117E">
              <w:rPr>
                <w:noProof/>
                <w:snapToGrid w:val="0"/>
                <w:sz w:val="24"/>
                <w:szCs w:val="20"/>
                <w:lang w:val="da-DK" w:eastAsia="da-DK"/>
              </w:rPr>
              <w:drawing>
                <wp:inline distT="0" distB="0" distL="0" distR="0" wp14:anchorId="4E9D9799" wp14:editId="0ECD96A9">
                  <wp:extent cx="1143000" cy="563880"/>
                  <wp:effectExtent l="0" t="0" r="0" b="762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563880"/>
                          </a:xfrm>
                          <a:prstGeom prst="rect">
                            <a:avLst/>
                          </a:prstGeom>
                          <a:noFill/>
                          <a:ln>
                            <a:noFill/>
                          </a:ln>
                        </pic:spPr>
                      </pic:pic>
                    </a:graphicData>
                  </a:graphic>
                </wp:inline>
              </w:drawing>
            </w:r>
          </w:p>
        </w:tc>
        <w:tc>
          <w:tcPr>
            <w:tcW w:w="7655" w:type="dxa"/>
            <w:tcBorders>
              <w:top w:val="nil"/>
              <w:left w:val="nil"/>
              <w:bottom w:val="nil"/>
              <w:right w:val="nil"/>
            </w:tcBorders>
          </w:tcPr>
          <w:p w:rsidR="000F7A81" w:rsidRPr="00993E18" w:rsidRDefault="00993E18" w:rsidP="0064147E">
            <w:pPr>
              <w:widowControl w:val="0"/>
              <w:ind w:right="85"/>
              <w:rPr>
                <w:sz w:val="28"/>
                <w:szCs w:val="28"/>
              </w:rPr>
            </w:pPr>
            <w:r w:rsidRPr="00993E18">
              <w:rPr>
                <w:sz w:val="28"/>
                <w:szCs w:val="28"/>
              </w:rPr>
              <w:t>EUROPEAN COMMISSION</w:t>
            </w:r>
          </w:p>
          <w:p w:rsidR="00993E18" w:rsidRPr="00993E18" w:rsidRDefault="00993E18" w:rsidP="00993E18">
            <w:pPr>
              <w:spacing w:after="240"/>
              <w:rPr>
                <w:rFonts w:cs="Arial"/>
                <w:sz w:val="16"/>
                <w:szCs w:val="16"/>
                <w:lang w:val="en-GB" w:eastAsia="en-GB"/>
              </w:rPr>
            </w:pPr>
            <w:r w:rsidRPr="00993E18">
              <w:rPr>
                <w:rFonts w:cs="Arial"/>
                <w:sz w:val="16"/>
                <w:szCs w:val="16"/>
                <w:lang w:val="en-GB" w:eastAsia="en-GB"/>
              </w:rPr>
              <w:t>Directorate-General for Communications Networks, Content and Technology</w:t>
            </w:r>
          </w:p>
          <w:p w:rsidR="00993E18" w:rsidRPr="00993E18" w:rsidRDefault="00993E18" w:rsidP="00993E18">
            <w:pPr>
              <w:spacing w:after="240"/>
              <w:rPr>
                <w:rFonts w:cs="Arial"/>
                <w:sz w:val="16"/>
                <w:szCs w:val="16"/>
                <w:lang w:val="en-GB" w:eastAsia="en-GB"/>
              </w:rPr>
            </w:pPr>
            <w:r w:rsidRPr="00993E18">
              <w:rPr>
                <w:rFonts w:cs="Arial"/>
                <w:sz w:val="16"/>
                <w:szCs w:val="16"/>
                <w:lang w:val="en-GB" w:eastAsia="en-GB"/>
              </w:rPr>
              <w:t>The Director General</w:t>
            </w:r>
          </w:p>
          <w:p w:rsidR="00993E18" w:rsidRPr="00FA117E" w:rsidRDefault="00993E18" w:rsidP="0064147E">
            <w:pPr>
              <w:widowControl w:val="0"/>
              <w:ind w:right="85"/>
              <w:rPr>
                <w:snapToGrid w:val="0"/>
                <w:sz w:val="16"/>
                <w:szCs w:val="20"/>
                <w:lang w:val="en-GB"/>
              </w:rPr>
            </w:pPr>
          </w:p>
        </w:tc>
      </w:tr>
    </w:tbl>
    <w:p w:rsidR="000F7A81" w:rsidRPr="00FA117E" w:rsidRDefault="000F7A81" w:rsidP="000F7A81">
      <w:pPr>
        <w:rPr>
          <w:lang w:val="en-GB"/>
        </w:rPr>
      </w:pPr>
    </w:p>
    <w:p w:rsidR="000F7A81" w:rsidRPr="00FA117E" w:rsidRDefault="000F7A81" w:rsidP="000F7A81">
      <w:pPr>
        <w:ind w:left="5103" w:right="-567"/>
        <w:rPr>
          <w:rFonts w:ascii="Times New Roman" w:hAnsi="Times New Roman"/>
          <w:sz w:val="24"/>
          <w:szCs w:val="20"/>
          <w:lang w:val="en-GB" w:eastAsia="fr-BE"/>
        </w:rPr>
      </w:pPr>
      <w:r w:rsidRPr="00FA117E">
        <w:rPr>
          <w:rFonts w:ascii="Times New Roman" w:hAnsi="Times New Roman"/>
          <w:sz w:val="24"/>
          <w:szCs w:val="20"/>
          <w:lang w:val="en-GB" w:eastAsia="fr-BE"/>
        </w:rPr>
        <w:t xml:space="preserve">Brussels, </w:t>
      </w:r>
    </w:p>
    <w:p w:rsidR="000F7A81" w:rsidRPr="00FA117E" w:rsidRDefault="000F7A81" w:rsidP="000F7A81">
      <w:pPr>
        <w:spacing w:after="240"/>
        <w:ind w:left="5103"/>
        <w:rPr>
          <w:rFonts w:ascii="Times New Roman" w:hAnsi="Times New Roman"/>
          <w:szCs w:val="20"/>
          <w:lang w:val="en-GB" w:eastAsia="fr-BE"/>
        </w:rPr>
      </w:pPr>
      <w:r w:rsidRPr="00FA117E">
        <w:rPr>
          <w:rFonts w:ascii="Times New Roman" w:hAnsi="Times New Roman"/>
          <w:szCs w:val="20"/>
          <w:lang w:val="en-GB" w:eastAsia="fr-BE"/>
        </w:rPr>
        <w:t>DG CONNECT/B4</w:t>
      </w:r>
    </w:p>
    <w:p w:rsidR="000F7A81" w:rsidRPr="00FA117E" w:rsidRDefault="000F7A81" w:rsidP="000F7A81">
      <w:pPr>
        <w:rPr>
          <w:b/>
          <w:lang w:val="en-GB"/>
        </w:rPr>
      </w:pPr>
    </w:p>
    <w:p w:rsidR="000F7A81" w:rsidRPr="00FA117E" w:rsidRDefault="000F7A81" w:rsidP="000F7A81">
      <w:pPr>
        <w:spacing w:after="600"/>
        <w:rPr>
          <w:b/>
          <w:smallCaps/>
          <w:lang w:val="en-GB"/>
        </w:rPr>
      </w:pPr>
      <w:r w:rsidRPr="00FA117E">
        <w:rPr>
          <w:b/>
          <w:smallCaps/>
          <w:lang w:val="en-GB"/>
        </w:rPr>
        <w:t xml:space="preserve">Mandate to CEPT to develop harmonised technical conditions for the </w:t>
      </w:r>
      <w:r w:rsidRPr="00FA117E">
        <w:rPr>
          <w:b/>
          <w:smallCaps/>
          <w:lang w:val="en-GB"/>
        </w:rPr>
        <w:br/>
        <w:t>694</w:t>
      </w:r>
      <w:r w:rsidRPr="00FA117E">
        <w:rPr>
          <w:b/>
          <w:smallCaps/>
          <w:vertAlign w:val="superscript"/>
          <w:lang w:val="en-GB"/>
        </w:rPr>
        <w:footnoteReference w:id="9"/>
      </w:r>
      <w:r w:rsidRPr="00FA117E">
        <w:rPr>
          <w:b/>
          <w:smallCaps/>
          <w:lang w:val="en-GB"/>
        </w:rPr>
        <w:t>-790 MHz ('700 MHz') frequency band in the EU for the provision of wireless broadband electronic communications services and other uses in support of EU spectrum policy priorities</w:t>
      </w:r>
    </w:p>
    <w:p w:rsidR="000F7A81" w:rsidRPr="00FA117E" w:rsidRDefault="000F7A81" w:rsidP="000F7A81">
      <w:pPr>
        <w:rPr>
          <w:b/>
          <w:sz w:val="24"/>
          <w:lang w:val="en-GB"/>
        </w:rPr>
      </w:pPr>
      <w:r w:rsidRPr="00FA117E">
        <w:rPr>
          <w:b/>
          <w:sz w:val="24"/>
          <w:lang w:val="en-GB"/>
        </w:rPr>
        <w:t>1. Purpose</w:t>
      </w:r>
    </w:p>
    <w:p w:rsidR="000F7A81" w:rsidRPr="00FA117E" w:rsidRDefault="000F7A81" w:rsidP="000F7A81">
      <w:pPr>
        <w:rPr>
          <w:b/>
          <w:sz w:val="24"/>
          <w:lang w:val="en-GB"/>
        </w:rPr>
      </w:pPr>
    </w:p>
    <w:p w:rsidR="000F7A81" w:rsidRPr="00FA117E" w:rsidRDefault="000F7A81" w:rsidP="000F7A81">
      <w:pPr>
        <w:jc w:val="both"/>
        <w:rPr>
          <w:szCs w:val="20"/>
          <w:lang w:val="en-GB"/>
        </w:rPr>
      </w:pPr>
      <w:r w:rsidRPr="00FA117E">
        <w:rPr>
          <w:szCs w:val="20"/>
          <w:lang w:val="en-GB"/>
        </w:rPr>
        <w:t xml:space="preserve">The 2012 ITU World </w:t>
      </w:r>
      <w:proofErr w:type="spellStart"/>
      <w:r w:rsidRPr="00FA117E">
        <w:rPr>
          <w:szCs w:val="20"/>
          <w:lang w:val="en-GB"/>
        </w:rPr>
        <w:t>Radiocommunication</w:t>
      </w:r>
      <w:proofErr w:type="spellEnd"/>
      <w:r w:rsidRPr="00FA117E">
        <w:rPr>
          <w:szCs w:val="20"/>
          <w:lang w:val="en-GB"/>
        </w:rPr>
        <w:t xml:space="preserve"> Conference (WRC-12) agreed on an allocation of the 694</w:t>
      </w:r>
      <w:r w:rsidR="00AD571A" w:rsidRPr="00FA117E">
        <w:rPr>
          <w:szCs w:val="20"/>
          <w:vertAlign w:val="superscript"/>
          <w:lang w:val="en-GB"/>
        </w:rPr>
        <w:t>9</w:t>
      </w:r>
      <w:r w:rsidRPr="00FA117E">
        <w:rPr>
          <w:szCs w:val="20"/>
          <w:lang w:val="en-GB"/>
        </w:rPr>
        <w:t>-790 MHz ('700 MHz') band to the mobile service</w:t>
      </w:r>
      <w:r w:rsidRPr="00FA117E">
        <w:rPr>
          <w:szCs w:val="20"/>
          <w:vertAlign w:val="superscript"/>
          <w:lang w:val="en-GB"/>
        </w:rPr>
        <w:footnoteReference w:id="10"/>
      </w:r>
      <w:r w:rsidRPr="00FA117E">
        <w:rPr>
          <w:szCs w:val="20"/>
          <w:lang w:val="en-GB"/>
        </w:rPr>
        <w:t xml:space="preserve"> in ITU Region 1 with immediate effect after WRC-15, alongside broadcasting services., This created the challenge for EU spectrum policy to define a roadmap for a political decision-making process supported by technical specifications for the future use of the 700 MHz band in a coordinated way, in order to shape the ongoing process of international harmonisation of this band</w:t>
      </w:r>
      <w:r w:rsidRPr="00FA117E">
        <w:rPr>
          <w:szCs w:val="20"/>
          <w:vertAlign w:val="superscript"/>
          <w:lang w:val="en-GB"/>
        </w:rPr>
        <w:footnoteReference w:id="11"/>
      </w:r>
      <w:r w:rsidRPr="00FA117E">
        <w:rPr>
          <w:szCs w:val="20"/>
          <w:lang w:val="en-GB"/>
        </w:rPr>
        <w:t xml:space="preserve"> while ensuring a balance of interests between incumbent and new users of spectrum and taking into account trends in technology and consumer behaviour. </w:t>
      </w:r>
    </w:p>
    <w:p w:rsidR="000F7A81" w:rsidRPr="00FA117E" w:rsidRDefault="000F7A81" w:rsidP="000F7A81">
      <w:pPr>
        <w:jc w:val="both"/>
        <w:rPr>
          <w:szCs w:val="20"/>
          <w:lang w:val="en-GB"/>
        </w:rPr>
      </w:pPr>
    </w:p>
    <w:p w:rsidR="000F7A81" w:rsidRPr="00FA117E" w:rsidRDefault="000F7A81" w:rsidP="000F7A81">
      <w:pPr>
        <w:jc w:val="both"/>
        <w:rPr>
          <w:szCs w:val="20"/>
          <w:lang w:val="en-GB"/>
        </w:rPr>
      </w:pPr>
      <w:r w:rsidRPr="00FA117E">
        <w:rPr>
          <w:szCs w:val="20"/>
          <w:lang w:val="en-GB"/>
        </w:rPr>
        <w:t>In order to deal with this challenge in an efficient and forward-looking manner, EU spectrum policy should establish a long-term view of the future use of the whole UHF band currently allocated to terrestrial TV broadcasting in the EU (470-790 MHz</w:t>
      </w:r>
      <w:r w:rsidRPr="00FA117E">
        <w:rPr>
          <w:szCs w:val="20"/>
          <w:vertAlign w:val="superscript"/>
          <w:lang w:val="en-GB"/>
        </w:rPr>
        <w:footnoteReference w:id="12"/>
      </w:r>
      <w:r w:rsidRPr="00FA117E">
        <w:rPr>
          <w:szCs w:val="20"/>
          <w:lang w:val="en-GB"/>
        </w:rPr>
        <w:t xml:space="preserve">) taking into account the long-term developments of digital terrestrial television and their societal value, as well as the possibility of long-term convergence in broadcasting and wireless broadband to deliver voice, data and audio-visual services via a converged platform. </w:t>
      </w:r>
    </w:p>
    <w:p w:rsidR="000F7A81" w:rsidRPr="00FA117E" w:rsidRDefault="000F7A81" w:rsidP="000F7A81">
      <w:pPr>
        <w:jc w:val="both"/>
        <w:rPr>
          <w:szCs w:val="20"/>
          <w:lang w:val="en-GB"/>
        </w:rPr>
      </w:pPr>
    </w:p>
    <w:p w:rsidR="000F7A81" w:rsidRPr="00FA117E" w:rsidRDefault="000F7A81" w:rsidP="000F7A81">
      <w:pPr>
        <w:jc w:val="both"/>
        <w:rPr>
          <w:szCs w:val="20"/>
          <w:lang w:val="en-GB"/>
        </w:rPr>
      </w:pPr>
      <w:r w:rsidRPr="00FA117E">
        <w:rPr>
          <w:szCs w:val="20"/>
          <w:lang w:val="en-GB"/>
        </w:rPr>
        <w:t xml:space="preserve">This mandate aims at developing </w:t>
      </w:r>
      <w:r w:rsidRPr="00FA117E">
        <w:rPr>
          <w:b/>
          <w:szCs w:val="20"/>
          <w:lang w:val="en-GB"/>
        </w:rPr>
        <w:t xml:space="preserve">technical conditions </w:t>
      </w:r>
      <w:r w:rsidRPr="00FA117E">
        <w:rPr>
          <w:szCs w:val="20"/>
          <w:lang w:val="en-GB"/>
        </w:rPr>
        <w:t xml:space="preserve">for the introduction of </w:t>
      </w:r>
      <w:r w:rsidRPr="00FA117E">
        <w:rPr>
          <w:b/>
          <w:szCs w:val="20"/>
          <w:lang w:val="en-GB"/>
        </w:rPr>
        <w:t>wireless broadband</w:t>
      </w:r>
      <w:r w:rsidRPr="00FA117E">
        <w:rPr>
          <w:szCs w:val="20"/>
          <w:lang w:val="en-GB"/>
        </w:rPr>
        <w:t xml:space="preserve"> in the 700 MHz band by also studying the possibility of </w:t>
      </w:r>
      <w:r w:rsidRPr="00FA117E">
        <w:rPr>
          <w:b/>
          <w:szCs w:val="20"/>
          <w:lang w:val="en-GB"/>
        </w:rPr>
        <w:t xml:space="preserve">shared spectrum use </w:t>
      </w:r>
      <w:r w:rsidRPr="00FA117E">
        <w:rPr>
          <w:szCs w:val="20"/>
          <w:lang w:val="en-GB"/>
        </w:rPr>
        <w:t xml:space="preserve">with certain incumbent uses such as PMSE. The technical conditions should ensure the deployment of wireless broadband services while also taking into account </w:t>
      </w:r>
      <w:r w:rsidRPr="00FA117E">
        <w:rPr>
          <w:b/>
          <w:szCs w:val="20"/>
          <w:lang w:val="en-GB"/>
        </w:rPr>
        <w:t>other priority areas of EU spectrum policy</w:t>
      </w:r>
      <w:r w:rsidRPr="00FA117E">
        <w:rPr>
          <w:szCs w:val="20"/>
          <w:lang w:val="en-GB"/>
        </w:rPr>
        <w:t xml:space="preserve"> such as public protection and disaster relief (PPDR) and should ensure appropriate protection for incumbent uses, primarily broadcasting services and PMSE, below the 700 MHz band, Appropriate protection of PMSE applications (such as wireless microphones) below the 700 MHz band should take into account the regulatory status of those applications.</w:t>
      </w:r>
    </w:p>
    <w:p w:rsidR="000F7A81" w:rsidRPr="00FA117E" w:rsidRDefault="000F7A81" w:rsidP="000F7A81">
      <w:pPr>
        <w:jc w:val="both"/>
        <w:rPr>
          <w:szCs w:val="20"/>
          <w:lang w:val="en-GB"/>
        </w:rPr>
      </w:pPr>
    </w:p>
    <w:p w:rsidR="000F7A81" w:rsidRPr="00FA117E" w:rsidRDefault="000F7A81" w:rsidP="000F7A81">
      <w:pPr>
        <w:jc w:val="both"/>
        <w:rPr>
          <w:szCs w:val="20"/>
          <w:lang w:val="en-GB"/>
        </w:rPr>
      </w:pPr>
      <w:r w:rsidRPr="00FA117E">
        <w:rPr>
          <w:szCs w:val="20"/>
          <w:lang w:val="en-GB"/>
        </w:rPr>
        <w:t xml:space="preserve">The results of this mandate should constitute a </w:t>
      </w:r>
      <w:r w:rsidRPr="00FA117E">
        <w:rPr>
          <w:b/>
          <w:szCs w:val="20"/>
          <w:lang w:val="en-GB"/>
        </w:rPr>
        <w:t>technical input to the EU-level political process</w:t>
      </w:r>
      <w:r w:rsidRPr="00FA117E">
        <w:rPr>
          <w:szCs w:val="20"/>
          <w:lang w:val="en-GB"/>
        </w:rPr>
        <w:t xml:space="preserve"> through a timely provision of the technical parameters for any strategic scenarios. The results of this mandate should also complement on high level deliverables of the Radio Spectrum Policy Group (RSPG), in particular the RSPG Opinions on wireless broadband</w:t>
      </w:r>
      <w:r w:rsidRPr="00FA117E">
        <w:rPr>
          <w:szCs w:val="20"/>
          <w:vertAlign w:val="superscript"/>
          <w:lang w:val="en-GB"/>
        </w:rPr>
        <w:footnoteReference w:id="13"/>
      </w:r>
      <w:r w:rsidRPr="00FA117E">
        <w:rPr>
          <w:szCs w:val="20"/>
          <w:lang w:val="en-GB"/>
        </w:rPr>
        <w:t xml:space="preserve"> and the definition of common policy objectives for WRC-15</w:t>
      </w:r>
      <w:r w:rsidRPr="00FA117E">
        <w:rPr>
          <w:szCs w:val="20"/>
          <w:vertAlign w:val="superscript"/>
          <w:lang w:val="en-GB"/>
        </w:rPr>
        <w:footnoteReference w:id="14"/>
      </w:r>
      <w:r w:rsidRPr="00FA117E">
        <w:rPr>
          <w:szCs w:val="20"/>
          <w:lang w:val="en-GB"/>
        </w:rPr>
        <w:t>.</w:t>
      </w:r>
    </w:p>
    <w:p w:rsidR="000F7A81" w:rsidRPr="00FA117E" w:rsidRDefault="000F7A81" w:rsidP="000F7A81">
      <w:pPr>
        <w:jc w:val="both"/>
        <w:rPr>
          <w:szCs w:val="20"/>
          <w:lang w:val="en-GB"/>
        </w:rPr>
      </w:pPr>
    </w:p>
    <w:p w:rsidR="000F7A81" w:rsidRPr="00FA117E" w:rsidRDefault="000F7A81" w:rsidP="000F7A81">
      <w:pPr>
        <w:jc w:val="both"/>
        <w:rPr>
          <w:szCs w:val="20"/>
          <w:lang w:val="en-GB"/>
        </w:rPr>
      </w:pPr>
      <w:r w:rsidRPr="00FA117E">
        <w:rPr>
          <w:szCs w:val="20"/>
          <w:lang w:val="en-GB"/>
        </w:rPr>
        <w:lastRenderedPageBreak/>
        <w:t xml:space="preserve">The exploitation of the results of this mandate does not necessarily entail the development of a technical implementation measure under the Radio Spectrum Decision. Any common regulatory action at EU-level should be guided by an EU-level political agreement on the long-term use of the 700 MHz band. In particular, the results of this mandate </w:t>
      </w:r>
      <w:r w:rsidRPr="00FA117E">
        <w:rPr>
          <w:b/>
          <w:szCs w:val="20"/>
          <w:lang w:val="en-GB"/>
        </w:rPr>
        <w:t>do not prejudice the outcome of the inventory process</w:t>
      </w:r>
      <w:r w:rsidRPr="00FA117E">
        <w:rPr>
          <w:szCs w:val="20"/>
          <w:lang w:val="en-GB"/>
        </w:rPr>
        <w:t xml:space="preserve"> set up by the Radio Spectrum Policy Programme (RSPP)</w:t>
      </w:r>
      <w:r w:rsidRPr="00FA117E">
        <w:rPr>
          <w:szCs w:val="20"/>
          <w:vertAlign w:val="superscript"/>
          <w:lang w:val="en-GB"/>
        </w:rPr>
        <w:footnoteReference w:id="15"/>
      </w:r>
      <w:r w:rsidRPr="00FA117E">
        <w:rPr>
          <w:szCs w:val="20"/>
          <w:lang w:val="en-GB"/>
        </w:rPr>
        <w:t>, which has to assist identifying suitable frequency bands in support of specific EU policies. The inventory process, which involves assessment of spectrum supply and demand, will examine the efficiency of spectrum use in WAPECS</w:t>
      </w:r>
      <w:r w:rsidRPr="00FA117E">
        <w:rPr>
          <w:szCs w:val="20"/>
          <w:vertAlign w:val="superscript"/>
          <w:lang w:val="en-GB"/>
        </w:rPr>
        <w:footnoteReference w:id="16"/>
      </w:r>
      <w:r w:rsidRPr="00FA117E">
        <w:rPr>
          <w:szCs w:val="20"/>
          <w:lang w:val="en-GB"/>
        </w:rPr>
        <w:t xml:space="preserve"> and other relevant frequency bands and may justify an implementation measure for re-organising the 700 MHz band at an early stage also in view of international developments.</w:t>
      </w:r>
    </w:p>
    <w:p w:rsidR="000F7A81" w:rsidRPr="00FA117E" w:rsidRDefault="000F7A81" w:rsidP="000F7A81">
      <w:pPr>
        <w:jc w:val="both"/>
        <w:rPr>
          <w:szCs w:val="20"/>
          <w:lang w:val="en-GB"/>
        </w:rPr>
      </w:pPr>
    </w:p>
    <w:p w:rsidR="000F7A81" w:rsidRPr="00FA117E" w:rsidRDefault="000F7A81" w:rsidP="000F7A81">
      <w:pPr>
        <w:jc w:val="both"/>
        <w:rPr>
          <w:szCs w:val="20"/>
          <w:lang w:val="en-GB"/>
        </w:rPr>
      </w:pPr>
      <w:r w:rsidRPr="00FA117E">
        <w:rPr>
          <w:szCs w:val="20"/>
          <w:lang w:val="en-GB"/>
        </w:rPr>
        <w:t>The deliverables on this mandate should contribute to consolidating Member States' positions in the ongoing activities at CEPT and ITU on defining the technical and regulatory conditions for use of the 700 MHz band for wireless broadband alongside broadcasting services</w:t>
      </w:r>
      <w:r w:rsidRPr="00FA117E">
        <w:rPr>
          <w:szCs w:val="20"/>
          <w:vertAlign w:val="superscript"/>
          <w:lang w:val="en-GB"/>
        </w:rPr>
        <w:footnoteReference w:id="17"/>
      </w:r>
      <w:r w:rsidRPr="00FA117E">
        <w:rPr>
          <w:szCs w:val="20"/>
          <w:lang w:val="en-GB"/>
        </w:rPr>
        <w:t>. In addition, they should provide a basis for any Member State that may decide to proceed with WBB in the 700 MHz band at an early stage after WRC-15, so as to avoid fragmentation in the internal market. Therefore, the scope and schedule of the mandate reflect the need for a timely and coordinated EU position on harmonised technical conditions in time for WRC-15.</w:t>
      </w:r>
    </w:p>
    <w:p w:rsidR="000F7A81" w:rsidRPr="00FA117E" w:rsidRDefault="000F7A81" w:rsidP="000F7A81">
      <w:pPr>
        <w:rPr>
          <w:lang w:val="en-GB"/>
        </w:rPr>
      </w:pPr>
    </w:p>
    <w:p w:rsidR="000F7A81" w:rsidRPr="00FA117E" w:rsidRDefault="000F7A81" w:rsidP="000F7A81">
      <w:pPr>
        <w:rPr>
          <w:b/>
          <w:sz w:val="24"/>
          <w:lang w:val="en-GB"/>
        </w:rPr>
      </w:pPr>
      <w:r w:rsidRPr="00FA117E">
        <w:rPr>
          <w:b/>
          <w:sz w:val="24"/>
          <w:lang w:val="en-GB"/>
        </w:rPr>
        <w:t>2. EU Policy objectives</w:t>
      </w:r>
    </w:p>
    <w:p w:rsidR="000F7A81" w:rsidRPr="00FA117E" w:rsidRDefault="000F7A81" w:rsidP="000F7A81">
      <w:pPr>
        <w:rPr>
          <w:b/>
          <w:sz w:val="24"/>
          <w:lang w:val="en-GB"/>
        </w:rPr>
      </w:pPr>
    </w:p>
    <w:p w:rsidR="000F7A81" w:rsidRPr="00FA117E" w:rsidRDefault="000F7A81" w:rsidP="000F7A81">
      <w:pPr>
        <w:spacing w:after="240"/>
        <w:jc w:val="both"/>
        <w:rPr>
          <w:rFonts w:cs="Arial"/>
          <w:szCs w:val="20"/>
          <w:lang w:val="en-GB"/>
        </w:rPr>
      </w:pPr>
      <w:r w:rsidRPr="00FA117E">
        <w:rPr>
          <w:rFonts w:cs="Arial"/>
          <w:szCs w:val="20"/>
          <w:lang w:val="en-GB"/>
        </w:rPr>
        <w:t xml:space="preserve">The Digital Agenda for Europe (DAE) has set ambitious </w:t>
      </w:r>
      <w:r w:rsidRPr="00FA117E">
        <w:rPr>
          <w:rFonts w:cs="Arial"/>
          <w:b/>
          <w:szCs w:val="20"/>
          <w:lang w:val="en-GB"/>
        </w:rPr>
        <w:t>broadband targets</w:t>
      </w:r>
      <w:r w:rsidRPr="00FA117E">
        <w:rPr>
          <w:rFonts w:cs="Arial"/>
          <w:szCs w:val="20"/>
          <w:lang w:val="en-GB"/>
        </w:rPr>
        <w:t xml:space="preserve"> by 2020, namely ubiquitous fast broadband coverage in the EU of at least 30 Mb/s as well subscriptions to super-fast broadband of at least 100 Mb/s for 50% of the EU households. WBB is expected to play an important role in achieving these objectives. </w:t>
      </w:r>
    </w:p>
    <w:p w:rsidR="000F7A81" w:rsidRPr="00FA117E" w:rsidRDefault="000F7A81" w:rsidP="000F7A81">
      <w:pPr>
        <w:spacing w:after="240"/>
        <w:jc w:val="both"/>
        <w:rPr>
          <w:rFonts w:cs="Arial"/>
          <w:szCs w:val="20"/>
          <w:lang w:val="en-GB"/>
        </w:rPr>
      </w:pPr>
      <w:r w:rsidRPr="00FA117E">
        <w:rPr>
          <w:rFonts w:cs="Arial"/>
          <w:szCs w:val="20"/>
          <w:lang w:val="en-GB"/>
        </w:rPr>
        <w:t xml:space="preserve">Pursuant to the adoption of the revised regulatory framework in electronic communications in 2009, the RSPP gives priority to ensuring sufficient spectrum for the implementation of </w:t>
      </w:r>
      <w:r w:rsidRPr="00FA117E">
        <w:rPr>
          <w:rFonts w:cs="Arial"/>
          <w:b/>
          <w:szCs w:val="20"/>
          <w:lang w:val="en-GB"/>
        </w:rPr>
        <w:t>specific Union policies</w:t>
      </w:r>
      <w:r w:rsidRPr="00FA117E">
        <w:rPr>
          <w:rFonts w:cs="Arial"/>
          <w:szCs w:val="20"/>
          <w:lang w:val="en-GB"/>
        </w:rPr>
        <w:t>, in particular wireless broadband access, the provision of innovative audio-visual media services (subject to clearly substantiated demand), public safety, civil protection and disaster relief as well as programme making and special events (PMSE)</w:t>
      </w:r>
      <w:r w:rsidRPr="00FA117E">
        <w:rPr>
          <w:rFonts w:ascii="Times New Roman" w:hAnsi="Times New Roman" w:cs="Arial"/>
          <w:szCs w:val="20"/>
          <w:vertAlign w:val="superscript"/>
          <w:lang w:val="en-GB"/>
        </w:rPr>
        <w:footnoteReference w:id="18"/>
      </w:r>
      <w:r w:rsidRPr="00FA117E">
        <w:rPr>
          <w:rFonts w:cs="Arial"/>
          <w:szCs w:val="20"/>
          <w:lang w:val="en-GB"/>
        </w:rPr>
        <w:t xml:space="preserve">.  </w:t>
      </w:r>
    </w:p>
    <w:p w:rsidR="000F7A81" w:rsidRPr="00FA117E" w:rsidRDefault="000F7A81" w:rsidP="000F7A81">
      <w:pPr>
        <w:jc w:val="both"/>
        <w:rPr>
          <w:rFonts w:cs="Arial"/>
          <w:szCs w:val="20"/>
          <w:lang w:val="en-GB"/>
        </w:rPr>
      </w:pPr>
      <w:r w:rsidRPr="00FA117E">
        <w:rPr>
          <w:rFonts w:cs="Arial"/>
          <w:szCs w:val="20"/>
          <w:lang w:val="en-GB"/>
        </w:rPr>
        <w:t>In its discussion paper on the future use of the 700 MHz band presented to the RSPG</w:t>
      </w:r>
      <w:r w:rsidRPr="00FA117E">
        <w:rPr>
          <w:rFonts w:cs="Arial"/>
          <w:szCs w:val="20"/>
          <w:vertAlign w:val="superscript"/>
          <w:lang w:val="en-GB"/>
        </w:rPr>
        <w:footnoteReference w:id="19"/>
      </w:r>
      <w:r w:rsidRPr="00FA117E">
        <w:rPr>
          <w:rFonts w:cs="Arial"/>
          <w:szCs w:val="20"/>
          <w:lang w:val="en-GB"/>
        </w:rPr>
        <w:t xml:space="preserve">, the Commission services set out some of the policy considerations and possible options from an EU perspective in order to launch a strategic discussion with Member States on a long-term vision on the future use of this band, including the scenario of </w:t>
      </w:r>
      <w:r w:rsidRPr="00FA117E">
        <w:rPr>
          <w:rFonts w:cs="Arial"/>
          <w:b/>
          <w:szCs w:val="20"/>
          <w:lang w:val="en-GB"/>
        </w:rPr>
        <w:t>broadband-broadcasting convergence</w:t>
      </w:r>
      <w:r w:rsidRPr="00FA117E">
        <w:rPr>
          <w:rFonts w:cs="Arial"/>
          <w:szCs w:val="20"/>
          <w:lang w:val="en-GB"/>
        </w:rPr>
        <w:t>.</w:t>
      </w:r>
    </w:p>
    <w:p w:rsidR="000F7A81" w:rsidRPr="00FA117E" w:rsidRDefault="000F7A81" w:rsidP="000F7A81">
      <w:pPr>
        <w:jc w:val="both"/>
        <w:rPr>
          <w:rFonts w:cs="Arial"/>
          <w:szCs w:val="20"/>
          <w:lang w:val="en-GB"/>
        </w:rPr>
      </w:pPr>
      <w:r w:rsidRPr="00FA117E">
        <w:rPr>
          <w:rFonts w:cs="Arial"/>
          <w:szCs w:val="20"/>
          <w:lang w:val="en-GB"/>
        </w:rPr>
        <w:t xml:space="preserve">Furthermore, in the course of the </w:t>
      </w:r>
      <w:r w:rsidRPr="00FA117E">
        <w:rPr>
          <w:rFonts w:cs="Arial"/>
          <w:b/>
          <w:szCs w:val="20"/>
          <w:lang w:val="en-GB"/>
        </w:rPr>
        <w:t>inventory process</w:t>
      </w:r>
      <w:r w:rsidRPr="00FA117E">
        <w:rPr>
          <w:rFonts w:cs="Arial"/>
          <w:szCs w:val="20"/>
          <w:lang w:val="en-GB"/>
        </w:rPr>
        <w:t xml:space="preserve"> established by the RSPP and in light of the objective to identify at least 1200 MHz for wireless broadband by 2015, opportunities are being studied to designate additional spectrum for WBB based on balancing spectrum supply and demand and an evaluation of whether efficiency gains can be envisaged (e.g. via re-allocation, re-farming or sharing). </w:t>
      </w:r>
    </w:p>
    <w:p w:rsidR="000F7A81" w:rsidRDefault="000F7A81" w:rsidP="000F7A81">
      <w:pPr>
        <w:jc w:val="both"/>
        <w:rPr>
          <w:rFonts w:cs="Arial"/>
          <w:szCs w:val="20"/>
          <w:lang w:val="en-GB"/>
        </w:rPr>
      </w:pPr>
      <w:r w:rsidRPr="00FA117E">
        <w:rPr>
          <w:rFonts w:cs="Arial"/>
          <w:szCs w:val="20"/>
          <w:lang w:val="en-GB"/>
        </w:rPr>
        <w:t xml:space="preserve">Therefore, within the tasks of this mandate as specified in the Section </w:t>
      </w:r>
      <w:r w:rsidR="003C62DB" w:rsidRPr="00FA117E">
        <w:rPr>
          <w:rFonts w:cs="Arial"/>
          <w:szCs w:val="20"/>
          <w:lang w:val="en-GB"/>
        </w:rPr>
        <w:t>“Task order and schedule”</w:t>
      </w:r>
      <w:r w:rsidRPr="00FA117E">
        <w:rPr>
          <w:rFonts w:cs="Arial"/>
          <w:szCs w:val="20"/>
          <w:lang w:val="en-GB"/>
        </w:rPr>
        <w:t xml:space="preserve">", the Commission requests CEPT to take into account that use of the 700 MHz band should contribute to several </w:t>
      </w:r>
      <w:r w:rsidRPr="00FA117E">
        <w:rPr>
          <w:rFonts w:cs="Arial"/>
          <w:b/>
          <w:szCs w:val="20"/>
          <w:lang w:val="en-GB"/>
        </w:rPr>
        <w:t>important EU policy objectives</w:t>
      </w:r>
      <w:r w:rsidR="00993E18">
        <w:rPr>
          <w:rFonts w:cs="Arial"/>
          <w:szCs w:val="20"/>
          <w:lang w:val="en-GB"/>
        </w:rPr>
        <w:t>, namely:</w:t>
      </w:r>
    </w:p>
    <w:p w:rsidR="00993E18" w:rsidRPr="00FA117E" w:rsidRDefault="00993E18" w:rsidP="000F7A81">
      <w:pPr>
        <w:jc w:val="both"/>
        <w:rPr>
          <w:rFonts w:cs="Arial"/>
          <w:szCs w:val="20"/>
          <w:lang w:val="en-GB"/>
        </w:rPr>
      </w:pPr>
    </w:p>
    <w:p w:rsidR="000F7A81" w:rsidRPr="00993E18" w:rsidRDefault="000F7A81" w:rsidP="00993E18">
      <w:pPr>
        <w:pStyle w:val="ListParagraph"/>
        <w:numPr>
          <w:ilvl w:val="0"/>
          <w:numId w:val="37"/>
        </w:numPr>
        <w:tabs>
          <w:tab w:val="num" w:pos="0"/>
        </w:tabs>
        <w:spacing w:after="240" w:line="360" w:lineRule="auto"/>
        <w:jc w:val="both"/>
        <w:rPr>
          <w:rFonts w:cs="Arial"/>
          <w:szCs w:val="20"/>
          <w:lang w:val="en-GB"/>
        </w:rPr>
      </w:pPr>
      <w:r w:rsidRPr="00993E18">
        <w:rPr>
          <w:rFonts w:cs="Arial"/>
          <w:szCs w:val="20"/>
          <w:lang w:val="en-GB"/>
        </w:rPr>
        <w:t>strengthen the Internal Market for potential mass market services and equipment which will operate in the band both for legacy uses and potential new uses;</w:t>
      </w:r>
    </w:p>
    <w:p w:rsidR="000F7A81" w:rsidRPr="00993E18" w:rsidRDefault="000F7A81" w:rsidP="00993E18">
      <w:pPr>
        <w:pStyle w:val="ListParagraph"/>
        <w:numPr>
          <w:ilvl w:val="0"/>
          <w:numId w:val="37"/>
        </w:numPr>
        <w:tabs>
          <w:tab w:val="num" w:pos="283"/>
        </w:tabs>
        <w:spacing w:after="240" w:line="360" w:lineRule="auto"/>
        <w:jc w:val="both"/>
        <w:rPr>
          <w:rFonts w:cs="Arial"/>
          <w:szCs w:val="20"/>
          <w:lang w:val="en-GB"/>
        </w:rPr>
      </w:pPr>
      <w:r w:rsidRPr="00993E18">
        <w:rPr>
          <w:rFonts w:cs="Arial"/>
          <w:szCs w:val="20"/>
          <w:lang w:val="en-GB"/>
        </w:rPr>
        <w:t>contribute to the DAE broadband targets, which rely on a mix of technologies, including wireless broadband;</w:t>
      </w:r>
    </w:p>
    <w:p w:rsidR="000F7A81" w:rsidRPr="00993E18" w:rsidRDefault="000F7A81" w:rsidP="00993E18">
      <w:pPr>
        <w:pStyle w:val="ListParagraph"/>
        <w:numPr>
          <w:ilvl w:val="0"/>
          <w:numId w:val="37"/>
        </w:numPr>
        <w:tabs>
          <w:tab w:val="num" w:pos="283"/>
        </w:tabs>
        <w:spacing w:after="240" w:line="360" w:lineRule="auto"/>
        <w:jc w:val="both"/>
        <w:rPr>
          <w:rFonts w:cs="Arial"/>
          <w:szCs w:val="20"/>
          <w:lang w:val="en-GB"/>
        </w:rPr>
      </w:pPr>
      <w:r w:rsidRPr="00993E18">
        <w:rPr>
          <w:rFonts w:cs="Arial"/>
          <w:szCs w:val="20"/>
          <w:lang w:val="en-GB"/>
        </w:rPr>
        <w:t>support the development of the audio-visual media sector in developing innovative and converging services also by ensuring an appropriate level of protection of media services against interference from other spectrum uses;</w:t>
      </w:r>
    </w:p>
    <w:p w:rsidR="000F7A81" w:rsidRPr="00993E18" w:rsidRDefault="000F7A81" w:rsidP="00993E18">
      <w:pPr>
        <w:pStyle w:val="ListParagraph"/>
        <w:numPr>
          <w:ilvl w:val="0"/>
          <w:numId w:val="37"/>
        </w:numPr>
        <w:tabs>
          <w:tab w:val="num" w:pos="283"/>
        </w:tabs>
        <w:spacing w:after="240" w:line="360" w:lineRule="auto"/>
        <w:jc w:val="both"/>
        <w:rPr>
          <w:rFonts w:cs="Arial"/>
          <w:szCs w:val="20"/>
          <w:lang w:val="en-GB"/>
        </w:rPr>
      </w:pPr>
      <w:r w:rsidRPr="00993E18">
        <w:rPr>
          <w:rFonts w:cs="Arial"/>
          <w:szCs w:val="20"/>
          <w:lang w:val="en-GB"/>
        </w:rPr>
        <w:lastRenderedPageBreak/>
        <w:t>meet spectrum demand in support of specific Union policies, in particular wireless broadband, public safety, civil protection and disaster relief, and PMSE;</w:t>
      </w:r>
    </w:p>
    <w:p w:rsidR="000F7A81" w:rsidRPr="00993E18" w:rsidRDefault="000F7A81" w:rsidP="00993E18">
      <w:pPr>
        <w:pStyle w:val="ListParagraph"/>
        <w:numPr>
          <w:ilvl w:val="0"/>
          <w:numId w:val="37"/>
        </w:numPr>
        <w:tabs>
          <w:tab w:val="num" w:pos="283"/>
        </w:tabs>
        <w:spacing w:after="240" w:line="360" w:lineRule="auto"/>
        <w:jc w:val="both"/>
        <w:rPr>
          <w:rFonts w:cs="Arial"/>
          <w:szCs w:val="20"/>
          <w:lang w:val="en-GB"/>
        </w:rPr>
      </w:pPr>
      <w:r w:rsidRPr="00993E18">
        <w:rPr>
          <w:rFonts w:cs="Arial"/>
          <w:szCs w:val="20"/>
          <w:lang w:val="en-GB"/>
        </w:rPr>
        <w:t>promote innovation and investment through enhanced flexibility in spectrum use;</w:t>
      </w:r>
    </w:p>
    <w:p w:rsidR="000F7A81" w:rsidRPr="00993E18" w:rsidRDefault="000F7A81" w:rsidP="00993E18">
      <w:pPr>
        <w:pStyle w:val="ListParagraph"/>
        <w:numPr>
          <w:ilvl w:val="0"/>
          <w:numId w:val="37"/>
        </w:numPr>
        <w:tabs>
          <w:tab w:val="num" w:pos="283"/>
        </w:tabs>
        <w:spacing w:after="240" w:line="360" w:lineRule="auto"/>
        <w:jc w:val="both"/>
        <w:rPr>
          <w:rFonts w:cs="Arial"/>
          <w:szCs w:val="20"/>
          <w:lang w:val="en-GB"/>
        </w:rPr>
      </w:pPr>
      <w:proofErr w:type="gramStart"/>
      <w:r w:rsidRPr="00993E18">
        <w:rPr>
          <w:rFonts w:cs="Arial"/>
          <w:szCs w:val="20"/>
          <w:lang w:val="en-GB"/>
        </w:rPr>
        <w:t>foster</w:t>
      </w:r>
      <w:proofErr w:type="gramEnd"/>
      <w:r w:rsidRPr="00993E18">
        <w:rPr>
          <w:rFonts w:cs="Arial"/>
          <w:szCs w:val="20"/>
          <w:lang w:val="en-GB"/>
        </w:rPr>
        <w:t xml:space="preserve"> shared use of spectrum as well as encourage passive infrastructure sharing.</w:t>
      </w:r>
    </w:p>
    <w:p w:rsidR="000F7A81" w:rsidRPr="00FA117E" w:rsidRDefault="000F7A81" w:rsidP="000F7A81">
      <w:pPr>
        <w:rPr>
          <w:b/>
          <w:sz w:val="24"/>
          <w:lang w:val="en-GB"/>
        </w:rPr>
      </w:pPr>
      <w:r w:rsidRPr="00FA117E">
        <w:rPr>
          <w:b/>
          <w:sz w:val="24"/>
          <w:lang w:val="en-GB"/>
        </w:rPr>
        <w:t>3. Justification</w:t>
      </w:r>
    </w:p>
    <w:p w:rsidR="000F7A81" w:rsidRPr="00FA117E" w:rsidRDefault="000F7A81" w:rsidP="000F7A81">
      <w:pPr>
        <w:rPr>
          <w:b/>
          <w:sz w:val="24"/>
          <w:lang w:val="en-GB"/>
        </w:rPr>
      </w:pPr>
    </w:p>
    <w:p w:rsidR="000F7A81" w:rsidRPr="00FA117E" w:rsidRDefault="000F7A81" w:rsidP="000F7A81">
      <w:pPr>
        <w:jc w:val="both"/>
        <w:rPr>
          <w:szCs w:val="20"/>
          <w:lang w:val="en-GB"/>
        </w:rPr>
      </w:pPr>
      <w:r w:rsidRPr="00FA117E">
        <w:rPr>
          <w:szCs w:val="20"/>
          <w:lang w:val="en-GB"/>
        </w:rPr>
        <w:t>Pursuant to Article 2 of the Radio Spectrum Decision, activities under the Decision must facilitate policy making with regard to the strategic planning and harmonisation of radio spectrum use as well as ensure the effective implementation of radio spectrum policy in the EU. Furthermore, they shall take due account of the work of international organisations related to spectrum management such as the ITU.</w:t>
      </w:r>
    </w:p>
    <w:p w:rsidR="000F7A81" w:rsidRPr="00FA117E" w:rsidRDefault="000F7A81" w:rsidP="000F7A81">
      <w:pPr>
        <w:jc w:val="both"/>
        <w:rPr>
          <w:szCs w:val="20"/>
          <w:lang w:val="en-GB"/>
        </w:rPr>
      </w:pPr>
    </w:p>
    <w:p w:rsidR="000F7A81" w:rsidRPr="00FA117E" w:rsidRDefault="000F7A81" w:rsidP="000F7A81">
      <w:pPr>
        <w:jc w:val="both"/>
        <w:rPr>
          <w:szCs w:val="20"/>
          <w:lang w:val="en-GB"/>
        </w:rPr>
      </w:pPr>
      <w:r w:rsidRPr="00FA117E">
        <w:rPr>
          <w:szCs w:val="20"/>
          <w:lang w:val="en-GB"/>
        </w:rPr>
        <w:t>Pursuant to Article 4(2) of the Radio Spectrum Decision</w:t>
      </w:r>
      <w:r w:rsidRPr="00FA117E">
        <w:rPr>
          <w:szCs w:val="20"/>
          <w:vertAlign w:val="superscript"/>
          <w:lang w:val="en-GB"/>
        </w:rPr>
        <w:footnoteReference w:id="20"/>
      </w:r>
      <w:r w:rsidRPr="00FA117E">
        <w:rPr>
          <w:szCs w:val="20"/>
          <w:lang w:val="en-GB"/>
        </w:rPr>
        <w:t xml:space="preserve">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 </w:t>
      </w:r>
    </w:p>
    <w:p w:rsidR="000F7A81" w:rsidRPr="00FA117E" w:rsidRDefault="000F7A81" w:rsidP="000F7A81">
      <w:pPr>
        <w:jc w:val="both"/>
        <w:rPr>
          <w:szCs w:val="20"/>
          <w:lang w:val="en-GB"/>
        </w:rPr>
      </w:pPr>
    </w:p>
    <w:p w:rsidR="000F7A81" w:rsidRPr="00FA117E" w:rsidRDefault="000F7A81" w:rsidP="000F7A81">
      <w:pPr>
        <w:jc w:val="both"/>
        <w:rPr>
          <w:szCs w:val="20"/>
          <w:lang w:val="en-GB"/>
        </w:rPr>
      </w:pPr>
      <w:r w:rsidRPr="00FA117E">
        <w:rPr>
          <w:szCs w:val="20"/>
          <w:lang w:val="en-GB"/>
        </w:rPr>
        <w:t>WRC-12 allocated on a co-primary basis the 694</w:t>
      </w:r>
      <w:r w:rsidR="00FD15CE" w:rsidRPr="00FA117E">
        <w:rPr>
          <w:szCs w:val="20"/>
          <w:vertAlign w:val="superscript"/>
          <w:lang w:val="en-GB"/>
        </w:rPr>
        <w:t>9</w:t>
      </w:r>
      <w:r w:rsidRPr="00FA117E">
        <w:rPr>
          <w:szCs w:val="20"/>
          <w:lang w:val="en-GB"/>
        </w:rPr>
        <w:t>-790 MHz band to the mobile service</w:t>
      </w:r>
      <w:r w:rsidR="00FD15CE" w:rsidRPr="00FA117E">
        <w:rPr>
          <w:szCs w:val="20"/>
          <w:vertAlign w:val="superscript"/>
          <w:lang w:val="en-GB"/>
        </w:rPr>
        <w:t>10</w:t>
      </w:r>
      <w:r w:rsidRPr="00FA117E">
        <w:rPr>
          <w:szCs w:val="20"/>
          <w:lang w:val="en-GB"/>
        </w:rPr>
        <w:t xml:space="preserve"> in ITU Region 1 (including all EU Member States) from 2015, and mandated the development of technical and regulatory conditions in time for WRC-15, subject to ongoing studies at ITU level. These studies have the objective to evaluate spectrum requirements, refine the lower edge of the band and define channelling arrangements. They must also take into account the existing EU harmonisation in the 800 MHz band ('digital dividend')</w:t>
      </w:r>
      <w:r w:rsidRPr="00FA117E">
        <w:rPr>
          <w:szCs w:val="20"/>
          <w:vertAlign w:val="superscript"/>
          <w:lang w:val="en-GB"/>
        </w:rPr>
        <w:footnoteReference w:id="21"/>
      </w:r>
      <w:r w:rsidRPr="00FA117E">
        <w:rPr>
          <w:szCs w:val="20"/>
          <w:lang w:val="en-GB"/>
        </w:rPr>
        <w:t>. The importance of shaping the international negotiations arises from the unique opportunity offered by the ITU process to promote global technical alignment in a particular spectrum band which potentially translates into economies of scale, lower cost of investment and improved conditions for roaming, thus bringing benefits to EU economy and citizens. Therefore, a coherent EU position in support of the single market should be developed when developing and promoting relevant proposals in international negotiations.</w:t>
      </w:r>
    </w:p>
    <w:p w:rsidR="000F7A81" w:rsidRPr="00FA117E" w:rsidRDefault="000F7A81" w:rsidP="000F7A81">
      <w:pPr>
        <w:jc w:val="both"/>
        <w:rPr>
          <w:szCs w:val="20"/>
          <w:lang w:val="en-GB"/>
        </w:rPr>
      </w:pPr>
    </w:p>
    <w:p w:rsidR="000F7A81" w:rsidRPr="00FA117E" w:rsidRDefault="000F7A81" w:rsidP="000F7A81">
      <w:pPr>
        <w:autoSpaceDE w:val="0"/>
        <w:autoSpaceDN w:val="0"/>
        <w:adjustRightInd w:val="0"/>
        <w:jc w:val="both"/>
        <w:rPr>
          <w:szCs w:val="20"/>
          <w:lang w:val="en-GB"/>
        </w:rPr>
      </w:pPr>
      <w:r w:rsidRPr="00FA117E">
        <w:rPr>
          <w:szCs w:val="20"/>
          <w:lang w:val="en-GB"/>
        </w:rPr>
        <w:t>Currently, the 700 MHz band is licensed for terrestrial TV broadcasting in Member States. The Geneva 2006 (GE-06) agreement has laid the framework for cross-border frequency coordination within the broadcasting services as well as between the broadcasting and other services. There is a need to assess the compatibility of any re-allocation of the 700 MHz band affecting broadcasting. While the technical conditions developed through this Mandate inter alia shall ensure coexistence between radio applications, the Mandate shall also indicate the potential impact on non-radio end-user equipment for fixed broadcasting and broadband electronic communications services in support of standardisation work relating to interference mitigation.</w:t>
      </w:r>
    </w:p>
    <w:p w:rsidR="000F7A81" w:rsidRPr="00FA117E" w:rsidRDefault="000F7A81" w:rsidP="000F7A81">
      <w:pPr>
        <w:autoSpaceDE w:val="0"/>
        <w:autoSpaceDN w:val="0"/>
        <w:adjustRightInd w:val="0"/>
        <w:jc w:val="both"/>
        <w:rPr>
          <w:szCs w:val="20"/>
          <w:lang w:val="en-GB"/>
        </w:rPr>
      </w:pPr>
    </w:p>
    <w:p w:rsidR="000F7A81" w:rsidRPr="00FA117E" w:rsidRDefault="000F7A81" w:rsidP="000F7A81">
      <w:pPr>
        <w:autoSpaceDE w:val="0"/>
        <w:autoSpaceDN w:val="0"/>
        <w:adjustRightInd w:val="0"/>
        <w:jc w:val="both"/>
        <w:rPr>
          <w:szCs w:val="20"/>
          <w:lang w:val="en-GB"/>
        </w:rPr>
      </w:pPr>
      <w:r w:rsidRPr="00FA117E">
        <w:rPr>
          <w:szCs w:val="20"/>
          <w:lang w:val="en-GB"/>
        </w:rPr>
        <w:t xml:space="preserve">Sub-1GHz spectrum is a valuable and scarce frequency resource suitable for ubiquitous wireless coverage. This could make the 700 MHz band suitable not only for electronic communications services or broadcasting delivery services but also for public safety services such as </w:t>
      </w:r>
      <w:r w:rsidRPr="00FA117E">
        <w:rPr>
          <w:b/>
          <w:szCs w:val="20"/>
          <w:lang w:val="en-GB"/>
        </w:rPr>
        <w:t>public protection and disaster relief (PPDR)</w:t>
      </w:r>
      <w:r w:rsidRPr="00FA117E">
        <w:rPr>
          <w:szCs w:val="20"/>
          <w:vertAlign w:val="superscript"/>
          <w:lang w:val="en-GB"/>
        </w:rPr>
        <w:footnoteReference w:id="22"/>
      </w:r>
      <w:r w:rsidRPr="00FA117E">
        <w:rPr>
          <w:szCs w:val="20"/>
          <w:lang w:val="en-GB"/>
        </w:rPr>
        <w:t xml:space="preserve">. In particular, broadband PPDR may in the future be deployed based on commercial WBB technology, which could result in synergies </w:t>
      </w:r>
      <w:r w:rsidRPr="00FA117E">
        <w:rPr>
          <w:i/>
          <w:szCs w:val="20"/>
          <w:lang w:val="en-GB"/>
        </w:rPr>
        <w:t>inter alia</w:t>
      </w:r>
      <w:r w:rsidRPr="00FA117E">
        <w:rPr>
          <w:szCs w:val="20"/>
          <w:lang w:val="en-GB"/>
        </w:rPr>
        <w:t xml:space="preserve"> for spectrum designation and use. Different options for spectrum use are currently under consideration for broadband PPDR, including the 700 MHz band. This Mandate addresses potential PPDR services in the 700 MHz band. Member States should benefit in terms of cost savings and interoperability from harmonised technical conditions for WBB spectrum use, which may also allow the deployment of broadband PPDR applications in the same frequency band already dedicated to WBB. This is without prejudice to national competences regarding the designation and authorisation of spectrum for PPDR and should not limit WBB use in those Member States which make use of the full spectrum range already dedicated to WBB.</w:t>
      </w:r>
    </w:p>
    <w:p w:rsidR="000F7A81" w:rsidRPr="00FA117E" w:rsidRDefault="000F7A81" w:rsidP="000F7A81">
      <w:pPr>
        <w:autoSpaceDE w:val="0"/>
        <w:autoSpaceDN w:val="0"/>
        <w:adjustRightInd w:val="0"/>
        <w:jc w:val="both"/>
        <w:rPr>
          <w:szCs w:val="20"/>
          <w:lang w:val="en-GB"/>
        </w:rPr>
      </w:pPr>
    </w:p>
    <w:p w:rsidR="000F7A81" w:rsidRPr="00FA117E" w:rsidRDefault="000F7A81" w:rsidP="000F7A81">
      <w:pPr>
        <w:autoSpaceDE w:val="0"/>
        <w:autoSpaceDN w:val="0"/>
        <w:adjustRightInd w:val="0"/>
        <w:jc w:val="both"/>
        <w:rPr>
          <w:szCs w:val="20"/>
          <w:lang w:val="en-GB"/>
        </w:rPr>
      </w:pPr>
      <w:r w:rsidRPr="00FA117E">
        <w:rPr>
          <w:szCs w:val="20"/>
          <w:lang w:val="en-GB"/>
        </w:rPr>
        <w:t xml:space="preserve">Furthermore, the 470-790 MHz band already accommodates other incumbent applications such as PMSE, in particular wireless microphones. It must be noted that finding enough available spectrum for PPDR and PMSE is also priority of the RSPP. Therefore, the exclusive designation of the 700 MHz band to a single </w:t>
      </w:r>
      <w:r w:rsidRPr="00FA117E">
        <w:rPr>
          <w:szCs w:val="20"/>
          <w:lang w:val="en-GB"/>
        </w:rPr>
        <w:lastRenderedPageBreak/>
        <w:t>application such as WBB may not appear to be a sustainable approach. It is the high socio-economic value of this spectrum that calls for studying sharing opportunities between certain incumbent and potential new uses, either based on traditional frequency separation or on innovative approaches. In this regard, a mandate has already been issued to CEPT</w:t>
      </w:r>
      <w:r w:rsidRPr="00FA117E">
        <w:rPr>
          <w:szCs w:val="20"/>
          <w:vertAlign w:val="superscript"/>
          <w:lang w:val="en-GB"/>
        </w:rPr>
        <w:footnoteReference w:id="23"/>
      </w:r>
      <w:r w:rsidRPr="00FA117E">
        <w:rPr>
          <w:szCs w:val="20"/>
          <w:lang w:val="en-GB"/>
        </w:rPr>
        <w:t xml:space="preserve"> to identify suitable frequency bands for wireless microphones and cordless cameras. Another mandate to CEPT to study alternative uses of the unpaired terrestrial 2 GHz band</w:t>
      </w:r>
      <w:r w:rsidRPr="00FA117E">
        <w:rPr>
          <w:szCs w:val="20"/>
          <w:vertAlign w:val="superscript"/>
          <w:lang w:val="en-GB"/>
        </w:rPr>
        <w:footnoteReference w:id="24"/>
      </w:r>
      <w:r w:rsidRPr="00FA117E">
        <w:rPr>
          <w:szCs w:val="20"/>
          <w:lang w:val="en-GB"/>
        </w:rPr>
        <w:t xml:space="preserve"> highlights PMSE as one priority application.</w:t>
      </w:r>
    </w:p>
    <w:p w:rsidR="000F7A81" w:rsidRPr="00FA117E" w:rsidRDefault="000F7A81" w:rsidP="000F7A81">
      <w:pPr>
        <w:autoSpaceDE w:val="0"/>
        <w:autoSpaceDN w:val="0"/>
        <w:adjustRightInd w:val="0"/>
        <w:jc w:val="both"/>
        <w:rPr>
          <w:szCs w:val="20"/>
          <w:lang w:val="en-GB"/>
        </w:rPr>
      </w:pPr>
    </w:p>
    <w:p w:rsidR="000F7A81" w:rsidRPr="00FA117E" w:rsidRDefault="000F7A81" w:rsidP="000F7A81">
      <w:pPr>
        <w:autoSpaceDE w:val="0"/>
        <w:autoSpaceDN w:val="0"/>
        <w:adjustRightInd w:val="0"/>
        <w:jc w:val="both"/>
        <w:rPr>
          <w:szCs w:val="20"/>
          <w:lang w:val="en-GB"/>
        </w:rPr>
      </w:pPr>
      <w:r w:rsidRPr="00FA117E">
        <w:rPr>
          <w:szCs w:val="20"/>
          <w:lang w:val="en-GB"/>
        </w:rPr>
        <w:t>Therefore, the Commission considers that international developments set in the context of consistent implementation of the RSPP objectives through the inventory process justify the need for technical studies to identify suitable spectrum in the 700 MHz band for WBB and other specific EU policy areas and harmonised technical conditions of use, in support of the EU-level policy process relating to the future use of this band.</w:t>
      </w:r>
    </w:p>
    <w:p w:rsidR="000F7A81" w:rsidRPr="00FA117E" w:rsidRDefault="000F7A81" w:rsidP="000F7A81">
      <w:pPr>
        <w:autoSpaceDE w:val="0"/>
        <w:autoSpaceDN w:val="0"/>
        <w:adjustRightInd w:val="0"/>
        <w:jc w:val="both"/>
        <w:rPr>
          <w:szCs w:val="20"/>
          <w:lang w:val="en-GB"/>
        </w:rPr>
      </w:pPr>
    </w:p>
    <w:p w:rsidR="000F7A81" w:rsidRPr="00FA117E" w:rsidRDefault="000F7A81" w:rsidP="000F7A81">
      <w:pPr>
        <w:rPr>
          <w:b/>
          <w:sz w:val="24"/>
          <w:lang w:val="en-GB"/>
        </w:rPr>
      </w:pPr>
      <w:r w:rsidRPr="00FA117E">
        <w:rPr>
          <w:b/>
          <w:sz w:val="24"/>
          <w:lang w:val="en-GB"/>
        </w:rPr>
        <w:t>4. Task order and schedule</w:t>
      </w:r>
    </w:p>
    <w:p w:rsidR="000F7A81" w:rsidRPr="00FA117E" w:rsidRDefault="000F7A81" w:rsidP="000F7A81">
      <w:pPr>
        <w:rPr>
          <w:b/>
          <w:sz w:val="24"/>
          <w:lang w:val="en-GB"/>
        </w:rPr>
      </w:pPr>
    </w:p>
    <w:p w:rsidR="000F7A81" w:rsidRPr="00FA117E" w:rsidRDefault="000F7A81" w:rsidP="000F7A81">
      <w:pPr>
        <w:jc w:val="both"/>
        <w:rPr>
          <w:rFonts w:cs="Arial"/>
          <w:szCs w:val="20"/>
          <w:lang w:val="en-GB"/>
        </w:rPr>
      </w:pPr>
      <w:r w:rsidRPr="00FA117E">
        <w:rPr>
          <w:rFonts w:cs="Arial"/>
          <w:szCs w:val="20"/>
          <w:lang w:val="en-GB"/>
        </w:rPr>
        <w:t>CEPT is herewith mandated to undertake work to develop technical harmonisation conditions for the use of the 694</w:t>
      </w:r>
      <w:r w:rsidR="005D63C0" w:rsidRPr="00FA117E">
        <w:rPr>
          <w:rFonts w:cs="Arial"/>
          <w:szCs w:val="20"/>
          <w:vertAlign w:val="superscript"/>
          <w:lang w:val="en-GB"/>
        </w:rPr>
        <w:t>9</w:t>
      </w:r>
      <w:r w:rsidRPr="00FA117E">
        <w:rPr>
          <w:rFonts w:cs="Arial"/>
          <w:szCs w:val="20"/>
          <w:lang w:val="en-GB"/>
        </w:rPr>
        <w:t xml:space="preserve">-790 MHz frequency band for the provision of wireless broadband electronic communications services and shared use with other services or applications in support of EU spectrum policy priorities. </w:t>
      </w:r>
    </w:p>
    <w:p w:rsidR="000F7A81" w:rsidRPr="00FA117E" w:rsidRDefault="000F7A81" w:rsidP="000F7A81">
      <w:pPr>
        <w:jc w:val="both"/>
        <w:rPr>
          <w:rFonts w:cs="Arial"/>
          <w:szCs w:val="20"/>
          <w:lang w:val="en-GB"/>
        </w:rPr>
      </w:pPr>
    </w:p>
    <w:p w:rsidR="000F7A81" w:rsidRPr="00FA117E" w:rsidRDefault="000F7A81" w:rsidP="000F7A81">
      <w:pPr>
        <w:jc w:val="both"/>
        <w:rPr>
          <w:rFonts w:cs="Arial"/>
          <w:szCs w:val="20"/>
          <w:lang w:val="en-GB"/>
        </w:rPr>
      </w:pPr>
      <w:r w:rsidRPr="00FA117E">
        <w:rPr>
          <w:rFonts w:cs="Arial"/>
          <w:szCs w:val="20"/>
          <w:lang w:val="en-GB"/>
        </w:rPr>
        <w:t xml:space="preserve">In the work carried out under the Mandate, the general and specific policy objectives of the RSPP, such as effective and efficient spectrum use and the support for specific Union policies shall be given utmost consideration. In implementing this mandate, CEPT shall, where relevant, take utmost account of EU law applicable and support the principles of service and technological neutrality, non-discrimination and proportionality insofar as technically possible. </w:t>
      </w:r>
    </w:p>
    <w:p w:rsidR="000F7A81" w:rsidRPr="00FA117E" w:rsidRDefault="000F7A81" w:rsidP="000F7A81">
      <w:pPr>
        <w:jc w:val="both"/>
        <w:rPr>
          <w:rFonts w:cs="Arial"/>
          <w:szCs w:val="20"/>
          <w:lang w:val="en-GB"/>
        </w:rPr>
      </w:pPr>
    </w:p>
    <w:p w:rsidR="000F7A81" w:rsidRPr="00FA117E" w:rsidRDefault="000F7A81" w:rsidP="000F7A81">
      <w:pPr>
        <w:jc w:val="both"/>
        <w:rPr>
          <w:rFonts w:cs="Arial"/>
          <w:szCs w:val="20"/>
          <w:lang w:val="en-GB"/>
        </w:rPr>
      </w:pPr>
      <w:r w:rsidRPr="00FA117E">
        <w:rPr>
          <w:rFonts w:cs="Arial"/>
          <w:szCs w:val="20"/>
          <w:lang w:val="en-GB"/>
        </w:rPr>
        <w:t xml:space="preserve">CEPT is also requested to collaborate actively with the European Telecommunications Standards Institute (ETSI) which develops harmonised standards for conformity under Directive 1999/5/EC. In this regard, CEPT must indicate the potential impact of the deliverables on this Mandate on non-radio end-user equipment for fixed broadcasting and broadband electronic communications services in support of standardisation work relating to interference mitigation. </w:t>
      </w:r>
    </w:p>
    <w:p w:rsidR="000F7A81" w:rsidRPr="00FA117E" w:rsidRDefault="000F7A81" w:rsidP="000F7A81">
      <w:pPr>
        <w:jc w:val="both"/>
        <w:rPr>
          <w:rFonts w:cs="Arial"/>
          <w:szCs w:val="20"/>
          <w:lang w:val="en-GB"/>
        </w:rPr>
      </w:pPr>
    </w:p>
    <w:p w:rsidR="000F7A81" w:rsidRPr="00FA117E" w:rsidRDefault="000F7A81" w:rsidP="000F7A81">
      <w:pPr>
        <w:jc w:val="both"/>
        <w:rPr>
          <w:rFonts w:cs="Arial"/>
          <w:szCs w:val="20"/>
          <w:lang w:val="en-GB"/>
        </w:rPr>
      </w:pPr>
      <w:r w:rsidRPr="00FA117E">
        <w:rPr>
          <w:rFonts w:cs="Arial"/>
          <w:szCs w:val="20"/>
          <w:lang w:val="en-GB"/>
        </w:rPr>
        <w:t xml:space="preserve">In particular, CEPT </w:t>
      </w:r>
      <w:r w:rsidRPr="00FA117E">
        <w:rPr>
          <w:rFonts w:cs="Arial"/>
          <w:szCs w:val="20"/>
          <w:shd w:val="clear" w:color="auto" w:fill="FFFFFF"/>
          <w:lang w:val="en-GB"/>
        </w:rPr>
        <w:t xml:space="preserve">is mandated </w:t>
      </w:r>
      <w:r w:rsidRPr="00FA117E">
        <w:rPr>
          <w:rFonts w:cs="Arial"/>
          <w:szCs w:val="20"/>
          <w:lang w:val="en-GB"/>
        </w:rPr>
        <w:t xml:space="preserve">to carry out technical studies intended to support the policy objectives presented above, in fulfilment of the following </w:t>
      </w:r>
      <w:r w:rsidRPr="00FA117E">
        <w:rPr>
          <w:rFonts w:cs="Arial"/>
          <w:szCs w:val="20"/>
          <w:u w:val="single"/>
          <w:lang w:val="en-GB"/>
        </w:rPr>
        <w:t>tasks</w:t>
      </w:r>
      <w:r w:rsidRPr="00FA117E">
        <w:rPr>
          <w:rFonts w:cs="Arial"/>
          <w:szCs w:val="20"/>
          <w:lang w:val="en-GB"/>
        </w:rPr>
        <w:t xml:space="preserve">: </w:t>
      </w:r>
    </w:p>
    <w:p w:rsidR="000F7A81" w:rsidRPr="00FA117E" w:rsidRDefault="000F7A81" w:rsidP="000F7A81">
      <w:pPr>
        <w:numPr>
          <w:ilvl w:val="0"/>
          <w:numId w:val="10"/>
        </w:numPr>
        <w:tabs>
          <w:tab w:val="num" w:pos="1191"/>
        </w:tabs>
        <w:spacing w:after="240"/>
        <w:ind w:left="1191"/>
        <w:jc w:val="both"/>
        <w:rPr>
          <w:rFonts w:cs="Arial"/>
          <w:szCs w:val="20"/>
          <w:lang w:val="en-GB" w:eastAsia="fr-BE"/>
        </w:rPr>
      </w:pPr>
      <w:r w:rsidRPr="00FA117E">
        <w:rPr>
          <w:rFonts w:cs="Arial"/>
          <w:szCs w:val="20"/>
          <w:lang w:val="en-GB" w:eastAsia="fr-BE"/>
        </w:rPr>
        <w:t xml:space="preserve">Develop a </w:t>
      </w:r>
      <w:r w:rsidRPr="00FA117E">
        <w:rPr>
          <w:rFonts w:cs="Arial"/>
          <w:i/>
          <w:szCs w:val="20"/>
          <w:lang w:val="en-GB" w:eastAsia="fr-BE"/>
        </w:rPr>
        <w:t>preferred technical (including channelling) arrangement</w:t>
      </w:r>
      <w:r w:rsidRPr="00FA117E">
        <w:rPr>
          <w:rFonts w:cs="Arial"/>
          <w:szCs w:val="20"/>
          <w:lang w:val="en-GB" w:eastAsia="fr-BE"/>
        </w:rPr>
        <w:t xml:space="preserve"> and identify </w:t>
      </w:r>
      <w:r w:rsidRPr="00FA117E">
        <w:rPr>
          <w:rFonts w:cs="Arial"/>
          <w:i/>
          <w:szCs w:val="20"/>
          <w:lang w:val="en-GB" w:eastAsia="fr-BE"/>
        </w:rPr>
        <w:t>common and minimal (least restrictive) technical conditions</w:t>
      </w:r>
      <w:r w:rsidRPr="00FA117E">
        <w:rPr>
          <w:rFonts w:ascii="Times New Roman" w:hAnsi="Times New Roman" w:cs="Arial"/>
          <w:i/>
          <w:szCs w:val="20"/>
          <w:vertAlign w:val="superscript"/>
          <w:lang w:val="en-GB" w:eastAsia="fr-BE"/>
        </w:rPr>
        <w:footnoteReference w:id="25"/>
      </w:r>
      <w:r w:rsidRPr="00FA117E">
        <w:rPr>
          <w:rFonts w:cs="Arial"/>
          <w:szCs w:val="20"/>
          <w:lang w:val="en-GB" w:eastAsia="fr-BE"/>
        </w:rPr>
        <w:t xml:space="preserve"> for wireless broadband use in the 694</w:t>
      </w:r>
      <w:r w:rsidR="005D63C0" w:rsidRPr="00FA117E">
        <w:rPr>
          <w:rFonts w:cs="Arial"/>
          <w:szCs w:val="20"/>
          <w:vertAlign w:val="superscript"/>
          <w:lang w:val="en-GB"/>
        </w:rPr>
        <w:t>9</w:t>
      </w:r>
      <w:r w:rsidRPr="00FA117E">
        <w:rPr>
          <w:rFonts w:cs="Arial"/>
          <w:szCs w:val="20"/>
          <w:lang w:val="en-GB" w:eastAsia="fr-BE"/>
        </w:rPr>
        <w:t>-790 MHz frequency band for the provision of electronic communications services, subject later to a precise definition of the lower band edge under task (3), as well as PPDR services that can make use of such technical conditions. These conditions should be sufficient:</w:t>
      </w:r>
    </w:p>
    <w:p w:rsidR="000F7A81" w:rsidRPr="00FA117E" w:rsidRDefault="000F7A81" w:rsidP="000F7A81">
      <w:pPr>
        <w:numPr>
          <w:ilvl w:val="1"/>
          <w:numId w:val="10"/>
        </w:numPr>
        <w:tabs>
          <w:tab w:val="num" w:pos="1899"/>
        </w:tabs>
        <w:spacing w:after="240"/>
        <w:ind w:left="1899"/>
        <w:jc w:val="both"/>
        <w:rPr>
          <w:rFonts w:cs="Arial"/>
          <w:szCs w:val="20"/>
          <w:lang w:val="en-GB" w:eastAsia="fr-BE"/>
        </w:rPr>
      </w:pPr>
      <w:r w:rsidRPr="00FA117E">
        <w:rPr>
          <w:rFonts w:cs="Arial"/>
          <w:szCs w:val="20"/>
          <w:lang w:val="en-GB" w:eastAsia="fr-BE"/>
        </w:rPr>
        <w:t>to avoid interference between wireless broadband use and other services in the 694</w:t>
      </w:r>
      <w:r w:rsidR="005D63C0" w:rsidRPr="00FA117E">
        <w:rPr>
          <w:rFonts w:cs="Arial"/>
          <w:szCs w:val="20"/>
          <w:vertAlign w:val="superscript"/>
          <w:lang w:val="en-GB"/>
        </w:rPr>
        <w:t>9</w:t>
      </w:r>
      <w:r w:rsidRPr="00FA117E">
        <w:rPr>
          <w:rFonts w:cs="Arial"/>
          <w:szCs w:val="20"/>
          <w:lang w:val="en-GB" w:eastAsia="fr-BE"/>
        </w:rPr>
        <w:t>-790 MHz band and in adjacent bands, and in particular to ensure the appropriate protection of broadcasting and PMSE services below the lower band edge, as well as compliance with EU harmonised conditions for the 790-862 MHz band</w:t>
      </w:r>
      <w:r w:rsidRPr="00FA117E">
        <w:rPr>
          <w:rFonts w:ascii="Times New Roman" w:hAnsi="Times New Roman" w:cs="Arial"/>
          <w:szCs w:val="20"/>
          <w:vertAlign w:val="superscript"/>
          <w:lang w:val="en-GB" w:eastAsia="fr-BE"/>
        </w:rPr>
        <w:footnoteReference w:id="26"/>
      </w:r>
      <w:r w:rsidRPr="00FA117E">
        <w:rPr>
          <w:rFonts w:cs="Arial"/>
          <w:szCs w:val="20"/>
          <w:lang w:val="en-GB" w:eastAsia="fr-BE"/>
        </w:rPr>
        <w:t>;</w:t>
      </w:r>
    </w:p>
    <w:p w:rsidR="000F7A81" w:rsidRPr="00FA117E" w:rsidRDefault="000F7A81" w:rsidP="000F7A81">
      <w:pPr>
        <w:numPr>
          <w:ilvl w:val="1"/>
          <w:numId w:val="10"/>
        </w:numPr>
        <w:tabs>
          <w:tab w:val="num" w:pos="1899"/>
        </w:tabs>
        <w:spacing w:after="240"/>
        <w:ind w:left="1899"/>
        <w:jc w:val="both"/>
        <w:rPr>
          <w:rFonts w:cs="Arial"/>
          <w:szCs w:val="20"/>
          <w:lang w:val="en-GB" w:eastAsia="fr-BE"/>
        </w:rPr>
      </w:pPr>
      <w:r w:rsidRPr="00FA117E">
        <w:rPr>
          <w:rFonts w:cs="Arial"/>
          <w:szCs w:val="20"/>
          <w:lang w:val="en-GB" w:eastAsia="fr-BE"/>
        </w:rPr>
        <w:t>to facilitate cross-border coordination, including at the EU external borders;</w:t>
      </w:r>
    </w:p>
    <w:p w:rsidR="000F7A81" w:rsidRPr="00FA117E" w:rsidRDefault="000F7A81" w:rsidP="000F7A81">
      <w:pPr>
        <w:numPr>
          <w:ilvl w:val="0"/>
          <w:numId w:val="10"/>
        </w:numPr>
        <w:tabs>
          <w:tab w:val="num" w:pos="1191"/>
        </w:tabs>
        <w:spacing w:after="240"/>
        <w:ind w:left="1191"/>
        <w:jc w:val="both"/>
        <w:rPr>
          <w:rFonts w:cs="Arial"/>
          <w:szCs w:val="20"/>
          <w:lang w:val="en-GB" w:eastAsia="fr-BE"/>
        </w:rPr>
      </w:pPr>
      <w:r w:rsidRPr="00FA117E">
        <w:rPr>
          <w:rFonts w:cs="Arial"/>
          <w:szCs w:val="20"/>
          <w:lang w:val="en-GB" w:eastAsia="fr-BE"/>
        </w:rPr>
        <w:t xml:space="preserve">In performing (1), study the possibility of identifying </w:t>
      </w:r>
      <w:r w:rsidRPr="00FA117E">
        <w:rPr>
          <w:rFonts w:cs="Arial"/>
          <w:i/>
          <w:szCs w:val="20"/>
          <w:lang w:val="en-GB" w:eastAsia="fr-BE"/>
        </w:rPr>
        <w:t>suitable spectrum to accommodate</w:t>
      </w:r>
      <w:r w:rsidRPr="00FA117E">
        <w:rPr>
          <w:rFonts w:cs="Arial"/>
          <w:szCs w:val="20"/>
          <w:lang w:val="en-GB" w:eastAsia="fr-BE"/>
        </w:rPr>
        <w:t xml:space="preserve"> incumbent uses in the 694</w:t>
      </w:r>
      <w:r w:rsidR="005D63C0" w:rsidRPr="00FA117E">
        <w:rPr>
          <w:rFonts w:cs="Arial"/>
          <w:szCs w:val="20"/>
          <w:vertAlign w:val="superscript"/>
          <w:lang w:val="en-GB"/>
        </w:rPr>
        <w:t>9</w:t>
      </w:r>
      <w:r w:rsidRPr="00FA117E">
        <w:rPr>
          <w:rFonts w:cs="Arial"/>
          <w:szCs w:val="20"/>
          <w:lang w:val="en-GB" w:eastAsia="fr-BE"/>
        </w:rPr>
        <w:t>-790 MHz band such as PMSE (in particular wireless microphones)</w:t>
      </w:r>
      <w:r w:rsidRPr="00FA117E">
        <w:rPr>
          <w:rFonts w:ascii="Times New Roman" w:hAnsi="Times New Roman" w:cs="Arial"/>
          <w:szCs w:val="20"/>
          <w:vertAlign w:val="superscript"/>
          <w:lang w:val="en-GB" w:eastAsia="fr-BE"/>
        </w:rPr>
        <w:footnoteReference w:id="27"/>
      </w:r>
      <w:r w:rsidRPr="00FA117E">
        <w:rPr>
          <w:rFonts w:cs="Arial"/>
          <w:szCs w:val="20"/>
          <w:lang w:val="en-GB" w:eastAsia="fr-BE"/>
        </w:rPr>
        <w:t xml:space="preserve">, and develop </w:t>
      </w:r>
      <w:r w:rsidRPr="00FA117E">
        <w:rPr>
          <w:rFonts w:cs="Arial"/>
          <w:i/>
          <w:szCs w:val="20"/>
          <w:lang w:val="en-GB" w:eastAsia="fr-BE"/>
        </w:rPr>
        <w:t>common</w:t>
      </w:r>
      <w:r w:rsidRPr="00FA117E">
        <w:rPr>
          <w:rFonts w:cs="Arial"/>
          <w:szCs w:val="20"/>
          <w:lang w:val="en-GB" w:eastAsia="fr-BE"/>
        </w:rPr>
        <w:t xml:space="preserve"> </w:t>
      </w:r>
      <w:r w:rsidRPr="00FA117E">
        <w:rPr>
          <w:rFonts w:cs="Arial"/>
          <w:i/>
          <w:szCs w:val="20"/>
          <w:lang w:val="en-GB" w:eastAsia="fr-BE"/>
        </w:rPr>
        <w:t>technical conditions</w:t>
      </w:r>
      <w:r w:rsidRPr="00FA117E">
        <w:rPr>
          <w:rFonts w:cs="Arial"/>
          <w:szCs w:val="20"/>
          <w:lang w:val="en-GB" w:eastAsia="fr-BE"/>
        </w:rPr>
        <w:t xml:space="preserve"> for the coexistence of such uses with wireless broadband use in the band, taking into account spectrum sharing requirements and efficient spectrum use;</w:t>
      </w:r>
    </w:p>
    <w:p w:rsidR="000F7A81" w:rsidRPr="00FA117E" w:rsidRDefault="000F7A81" w:rsidP="000F7A81">
      <w:pPr>
        <w:numPr>
          <w:ilvl w:val="0"/>
          <w:numId w:val="10"/>
        </w:numPr>
        <w:tabs>
          <w:tab w:val="num" w:pos="1191"/>
        </w:tabs>
        <w:spacing w:after="240"/>
        <w:ind w:left="1191"/>
        <w:jc w:val="both"/>
        <w:rPr>
          <w:rFonts w:cs="Arial"/>
          <w:szCs w:val="20"/>
          <w:lang w:val="en-GB" w:eastAsia="fr-BE"/>
        </w:rPr>
      </w:pPr>
      <w:r w:rsidRPr="00FA117E">
        <w:rPr>
          <w:rFonts w:cs="Arial"/>
          <w:szCs w:val="20"/>
          <w:lang w:val="en-GB" w:eastAsia="fr-BE"/>
        </w:rPr>
        <w:lastRenderedPageBreak/>
        <w:t>In addition to and based on (1) and taking utmost account of the possibility of international harmonisation</w:t>
      </w:r>
      <w:r w:rsidRPr="00FA117E">
        <w:rPr>
          <w:rFonts w:ascii="Times New Roman" w:hAnsi="Times New Roman" w:cs="Arial"/>
          <w:szCs w:val="20"/>
          <w:vertAlign w:val="superscript"/>
          <w:lang w:val="en-GB" w:eastAsia="fr-BE"/>
        </w:rPr>
        <w:footnoteReference w:id="28"/>
      </w:r>
      <w:r w:rsidRPr="00FA117E">
        <w:rPr>
          <w:rFonts w:cs="Arial"/>
          <w:szCs w:val="20"/>
          <w:lang w:val="en-GB" w:eastAsia="fr-BE"/>
        </w:rPr>
        <w:t>, assess the need to</w:t>
      </w:r>
      <w:r w:rsidRPr="00FA117E">
        <w:rPr>
          <w:rFonts w:cs="Arial"/>
          <w:i/>
          <w:szCs w:val="20"/>
          <w:lang w:val="en-GB" w:eastAsia="fr-BE"/>
        </w:rPr>
        <w:t xml:space="preserve"> </w:t>
      </w:r>
      <w:r w:rsidRPr="00FA117E">
        <w:rPr>
          <w:rFonts w:cs="Arial"/>
          <w:szCs w:val="20"/>
          <w:lang w:val="en-GB" w:eastAsia="fr-BE"/>
        </w:rPr>
        <w:t xml:space="preserve">refine the conditions developed under (1), in particular </w:t>
      </w:r>
      <w:r w:rsidRPr="00FA117E">
        <w:rPr>
          <w:rFonts w:cs="Arial"/>
          <w:i/>
          <w:szCs w:val="20"/>
          <w:lang w:val="en-GB" w:eastAsia="fr-BE"/>
        </w:rPr>
        <w:t>the common and minimal (least restrictive) technical conditions,</w:t>
      </w:r>
      <w:r w:rsidRPr="00FA117E">
        <w:rPr>
          <w:rFonts w:cs="Arial"/>
          <w:szCs w:val="20"/>
          <w:lang w:val="en-GB" w:eastAsia="fr-BE"/>
        </w:rPr>
        <w:t xml:space="preserve"> in order to ensure that they are sufficiently precise for the development of EU-wide equipment. The overall aim of a coordinated European approach should be considered, as implemented through detailed national decisions on frequency rearrangements in line with international frequency coordination obligations.</w:t>
      </w:r>
    </w:p>
    <w:p w:rsidR="000F7A81" w:rsidRPr="00FA117E" w:rsidRDefault="000F7A81" w:rsidP="000F7A81">
      <w:pPr>
        <w:shd w:val="clear" w:color="auto" w:fill="FFFFFF"/>
        <w:spacing w:after="240"/>
        <w:jc w:val="both"/>
        <w:rPr>
          <w:rFonts w:cs="Arial"/>
          <w:szCs w:val="20"/>
          <w:lang w:val="en-GB" w:eastAsia="fr-BE"/>
        </w:rPr>
      </w:pPr>
      <w:r w:rsidRPr="00FA117E">
        <w:rPr>
          <w:rFonts w:cs="Arial"/>
          <w:szCs w:val="20"/>
          <w:lang w:val="en-GB" w:eastAsia="fr-BE"/>
        </w:rPr>
        <w:t xml:space="preserve">The Commission may provide CEPT with further guidance on this mandate depending on future agreements at EU level (which may involve the European Parliament and the Council) concerning spectrum resources to be made available in the context of specific EU policies, as well as relevant impact assessments the Commission may undertake in this context. Also, the impact of spectrum demand assessments for different uses at national level may require to be taken into account during the work on the Mandate. </w:t>
      </w:r>
    </w:p>
    <w:p w:rsidR="000F7A81" w:rsidRPr="00FA117E" w:rsidRDefault="000F7A81" w:rsidP="000F7A81">
      <w:pPr>
        <w:shd w:val="clear" w:color="auto" w:fill="FFFFFF"/>
        <w:spacing w:after="240"/>
        <w:ind w:left="709" w:hanging="709"/>
        <w:jc w:val="both"/>
        <w:rPr>
          <w:rFonts w:cs="Arial"/>
          <w:szCs w:val="20"/>
          <w:lang w:val="en-GB" w:eastAsia="fr-BE"/>
        </w:rPr>
      </w:pPr>
      <w:r w:rsidRPr="00FA117E">
        <w:rPr>
          <w:rFonts w:cs="Arial"/>
          <w:szCs w:val="20"/>
          <w:lang w:val="en-GB" w:eastAsia="fr-BE"/>
        </w:rPr>
        <w:t>CEPT should provide deliverables under this Mandate according to the following schedule: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2878"/>
        <w:gridCol w:w="4082"/>
      </w:tblGrid>
      <w:tr w:rsidR="000F7A81" w:rsidRPr="00FA117E" w:rsidTr="00842E21">
        <w:tc>
          <w:tcPr>
            <w:tcW w:w="1800" w:type="dxa"/>
          </w:tcPr>
          <w:p w:rsidR="000F7A81" w:rsidRPr="00FA117E" w:rsidRDefault="000F7A81" w:rsidP="000F7A81">
            <w:pPr>
              <w:spacing w:before="120" w:after="120"/>
              <w:jc w:val="center"/>
              <w:rPr>
                <w:rFonts w:cs="Arial"/>
                <w:b/>
                <w:szCs w:val="20"/>
                <w:lang w:val="en-GB"/>
              </w:rPr>
            </w:pPr>
            <w:r w:rsidRPr="00FA117E">
              <w:rPr>
                <w:rFonts w:cs="Arial"/>
                <w:b/>
                <w:szCs w:val="20"/>
                <w:lang w:val="en-GB"/>
              </w:rPr>
              <w:t>Delivery date</w:t>
            </w:r>
          </w:p>
        </w:tc>
        <w:tc>
          <w:tcPr>
            <w:tcW w:w="2878" w:type="dxa"/>
          </w:tcPr>
          <w:p w:rsidR="000F7A81" w:rsidRPr="00FA117E" w:rsidRDefault="000F7A81" w:rsidP="000F7A81">
            <w:pPr>
              <w:spacing w:before="120" w:after="120"/>
              <w:jc w:val="center"/>
              <w:rPr>
                <w:rFonts w:cs="Arial"/>
                <w:b/>
                <w:szCs w:val="20"/>
                <w:lang w:val="en-GB"/>
              </w:rPr>
            </w:pPr>
            <w:r w:rsidRPr="00FA117E">
              <w:rPr>
                <w:rFonts w:cs="Arial"/>
                <w:b/>
                <w:szCs w:val="20"/>
                <w:lang w:val="en-GB"/>
              </w:rPr>
              <w:t>Deliverable</w:t>
            </w:r>
          </w:p>
        </w:tc>
        <w:tc>
          <w:tcPr>
            <w:tcW w:w="4082" w:type="dxa"/>
          </w:tcPr>
          <w:p w:rsidR="000F7A81" w:rsidRPr="00FA117E" w:rsidRDefault="000F7A81" w:rsidP="000F7A81">
            <w:pPr>
              <w:spacing w:before="120" w:after="120"/>
              <w:jc w:val="center"/>
              <w:rPr>
                <w:rFonts w:cs="Arial"/>
                <w:b/>
                <w:szCs w:val="20"/>
                <w:lang w:val="en-GB"/>
              </w:rPr>
            </w:pPr>
            <w:r w:rsidRPr="00FA117E">
              <w:rPr>
                <w:rFonts w:cs="Arial"/>
                <w:b/>
                <w:szCs w:val="20"/>
                <w:lang w:val="en-GB"/>
              </w:rPr>
              <w:t>Subject</w:t>
            </w:r>
          </w:p>
        </w:tc>
      </w:tr>
      <w:tr w:rsidR="000F7A81" w:rsidRPr="00FA117E" w:rsidTr="00842E21">
        <w:tc>
          <w:tcPr>
            <w:tcW w:w="1800" w:type="dxa"/>
          </w:tcPr>
          <w:p w:rsidR="000F7A81" w:rsidRPr="00FA117E" w:rsidRDefault="000F7A81" w:rsidP="000F7A81">
            <w:pPr>
              <w:spacing w:before="120" w:after="120"/>
              <w:rPr>
                <w:rFonts w:cs="Arial"/>
                <w:szCs w:val="20"/>
                <w:lang w:val="en-GB"/>
              </w:rPr>
            </w:pPr>
            <w:r w:rsidRPr="00FA117E">
              <w:rPr>
                <w:rFonts w:cs="Arial"/>
                <w:szCs w:val="20"/>
                <w:lang w:val="en-GB"/>
              </w:rPr>
              <w:t>November 2013</w:t>
            </w:r>
          </w:p>
        </w:tc>
        <w:tc>
          <w:tcPr>
            <w:tcW w:w="2878" w:type="dxa"/>
          </w:tcPr>
          <w:p w:rsidR="000F7A81" w:rsidRPr="00FA117E" w:rsidRDefault="000F7A81" w:rsidP="000F7A81">
            <w:pPr>
              <w:spacing w:before="120" w:after="120"/>
              <w:rPr>
                <w:rFonts w:cs="Arial"/>
                <w:szCs w:val="20"/>
                <w:lang w:val="en-GB"/>
              </w:rPr>
            </w:pPr>
            <w:r w:rsidRPr="00FA117E">
              <w:rPr>
                <w:rFonts w:cs="Arial"/>
                <w:szCs w:val="20"/>
                <w:lang w:val="en-GB"/>
              </w:rPr>
              <w:t>Interim Report from CEPT to the Commission</w:t>
            </w:r>
          </w:p>
        </w:tc>
        <w:tc>
          <w:tcPr>
            <w:tcW w:w="4082" w:type="dxa"/>
          </w:tcPr>
          <w:p w:rsidR="000F7A81" w:rsidRPr="00FA117E" w:rsidRDefault="000F7A81" w:rsidP="000F7A81">
            <w:pPr>
              <w:spacing w:before="120" w:after="120"/>
              <w:rPr>
                <w:rFonts w:cs="Arial"/>
                <w:szCs w:val="20"/>
                <w:lang w:val="en-GB"/>
              </w:rPr>
            </w:pPr>
            <w:r w:rsidRPr="00FA117E">
              <w:rPr>
                <w:rFonts w:cs="Arial"/>
                <w:szCs w:val="20"/>
                <w:lang w:val="en-GB"/>
              </w:rPr>
              <w:t xml:space="preserve">Description of work undertaken and interim results on tasks (1) and (2) </w:t>
            </w:r>
          </w:p>
        </w:tc>
      </w:tr>
      <w:tr w:rsidR="000F7A81" w:rsidRPr="00FA117E" w:rsidTr="00842E21">
        <w:tc>
          <w:tcPr>
            <w:tcW w:w="1800" w:type="dxa"/>
          </w:tcPr>
          <w:p w:rsidR="000F7A81" w:rsidRPr="00FA117E" w:rsidRDefault="000F7A81" w:rsidP="000F7A81">
            <w:pPr>
              <w:spacing w:before="120" w:after="120"/>
              <w:rPr>
                <w:rFonts w:cs="Arial"/>
                <w:szCs w:val="20"/>
                <w:lang w:val="en-GB"/>
              </w:rPr>
            </w:pPr>
            <w:r w:rsidRPr="00FA117E">
              <w:rPr>
                <w:rFonts w:cs="Arial"/>
                <w:szCs w:val="20"/>
                <w:lang w:val="en-GB"/>
              </w:rPr>
              <w:t>July 2014</w:t>
            </w:r>
            <w:r w:rsidRPr="00FA117E">
              <w:rPr>
                <w:rFonts w:cs="Arial"/>
                <w:szCs w:val="20"/>
                <w:vertAlign w:val="superscript"/>
                <w:lang w:val="en-GB"/>
              </w:rPr>
              <w:footnoteReference w:id="29"/>
            </w:r>
          </w:p>
        </w:tc>
        <w:tc>
          <w:tcPr>
            <w:tcW w:w="2878" w:type="dxa"/>
          </w:tcPr>
          <w:p w:rsidR="000F7A81" w:rsidRPr="00FA117E" w:rsidRDefault="000F7A81" w:rsidP="000F7A81">
            <w:pPr>
              <w:spacing w:before="120" w:after="120"/>
              <w:rPr>
                <w:rFonts w:cs="Arial"/>
                <w:szCs w:val="20"/>
                <w:lang w:val="en-GB"/>
              </w:rPr>
            </w:pPr>
            <w:r w:rsidRPr="00FA117E">
              <w:rPr>
                <w:rFonts w:cs="Arial"/>
                <w:szCs w:val="20"/>
                <w:lang w:val="en-GB"/>
              </w:rPr>
              <w:t>Final Draft Report A from CEPT to the Commission</w:t>
            </w:r>
          </w:p>
        </w:tc>
        <w:tc>
          <w:tcPr>
            <w:tcW w:w="4082" w:type="dxa"/>
          </w:tcPr>
          <w:p w:rsidR="000F7A81" w:rsidRPr="00FA117E" w:rsidRDefault="000F7A81" w:rsidP="000F7A81">
            <w:pPr>
              <w:spacing w:before="120" w:after="120"/>
              <w:rPr>
                <w:rFonts w:cs="Arial"/>
                <w:szCs w:val="20"/>
                <w:lang w:val="en-GB"/>
              </w:rPr>
            </w:pPr>
            <w:r w:rsidRPr="00FA117E">
              <w:rPr>
                <w:rFonts w:cs="Arial"/>
                <w:szCs w:val="20"/>
                <w:lang w:val="en-GB"/>
              </w:rPr>
              <w:t>Description of work undertaken and final results on tasks (1) and (2)</w:t>
            </w:r>
          </w:p>
        </w:tc>
      </w:tr>
      <w:tr w:rsidR="000F7A81" w:rsidRPr="00FA117E" w:rsidTr="00842E21">
        <w:tc>
          <w:tcPr>
            <w:tcW w:w="1800" w:type="dxa"/>
          </w:tcPr>
          <w:p w:rsidR="000F7A81" w:rsidRPr="00FA117E" w:rsidRDefault="000F7A81" w:rsidP="000F7A81">
            <w:pPr>
              <w:spacing w:before="120" w:after="120"/>
              <w:rPr>
                <w:rFonts w:cs="Arial"/>
                <w:szCs w:val="20"/>
                <w:lang w:val="en-GB"/>
              </w:rPr>
            </w:pPr>
            <w:r w:rsidRPr="00FA117E">
              <w:rPr>
                <w:rFonts w:cs="Arial"/>
                <w:szCs w:val="20"/>
                <w:lang w:val="en-GB"/>
              </w:rPr>
              <w:t>November 2014</w:t>
            </w:r>
          </w:p>
        </w:tc>
        <w:tc>
          <w:tcPr>
            <w:tcW w:w="2878" w:type="dxa"/>
          </w:tcPr>
          <w:p w:rsidR="000F7A81" w:rsidRPr="00FA117E" w:rsidRDefault="000F7A81" w:rsidP="000F7A81">
            <w:pPr>
              <w:spacing w:before="120" w:after="120"/>
              <w:rPr>
                <w:rFonts w:cs="Arial"/>
                <w:szCs w:val="20"/>
                <w:lang w:val="en-GB"/>
              </w:rPr>
            </w:pPr>
            <w:r w:rsidRPr="00FA117E">
              <w:rPr>
                <w:rFonts w:cs="Arial"/>
                <w:szCs w:val="20"/>
                <w:lang w:val="en-GB"/>
              </w:rPr>
              <w:t>Final Report A from CEPT to the Commission, taking into account the outcome of the public consultation</w:t>
            </w:r>
          </w:p>
        </w:tc>
        <w:tc>
          <w:tcPr>
            <w:tcW w:w="4082" w:type="dxa"/>
          </w:tcPr>
          <w:p w:rsidR="000F7A81" w:rsidRPr="00FA117E" w:rsidRDefault="000F7A81" w:rsidP="000F7A81">
            <w:pPr>
              <w:spacing w:before="120" w:after="120"/>
              <w:rPr>
                <w:rFonts w:cs="Arial"/>
                <w:szCs w:val="20"/>
                <w:lang w:val="en-GB"/>
              </w:rPr>
            </w:pPr>
            <w:r w:rsidRPr="00FA117E">
              <w:rPr>
                <w:rFonts w:cs="Arial"/>
                <w:szCs w:val="20"/>
                <w:lang w:val="en-GB"/>
              </w:rPr>
              <w:t>Description of work undertaken and final results taking into account the results of the public consultation on tasks (1) and (2)</w:t>
            </w:r>
          </w:p>
        </w:tc>
      </w:tr>
      <w:tr w:rsidR="000F7A81" w:rsidRPr="00FA117E" w:rsidTr="00842E21">
        <w:tc>
          <w:tcPr>
            <w:tcW w:w="1800" w:type="dxa"/>
          </w:tcPr>
          <w:p w:rsidR="000F7A81" w:rsidRPr="00FA117E" w:rsidRDefault="000F7A81" w:rsidP="007F366F">
            <w:pPr>
              <w:spacing w:before="120" w:after="120"/>
              <w:rPr>
                <w:rFonts w:cs="Arial"/>
                <w:szCs w:val="20"/>
                <w:lang w:val="en-GB"/>
              </w:rPr>
            </w:pPr>
            <w:r w:rsidRPr="00FA117E">
              <w:rPr>
                <w:rFonts w:cs="Arial"/>
                <w:szCs w:val="20"/>
                <w:lang w:val="en-GB"/>
              </w:rPr>
              <w:t>March 2016</w:t>
            </w:r>
            <w:r w:rsidR="007F366F" w:rsidRPr="00FA117E">
              <w:rPr>
                <w:rFonts w:cs="Arial"/>
                <w:szCs w:val="20"/>
                <w:vertAlign w:val="superscript"/>
                <w:lang w:val="en-GB"/>
              </w:rPr>
              <w:t>29</w:t>
            </w:r>
          </w:p>
        </w:tc>
        <w:tc>
          <w:tcPr>
            <w:tcW w:w="2878" w:type="dxa"/>
          </w:tcPr>
          <w:p w:rsidR="000F7A81" w:rsidRPr="00FA117E" w:rsidRDefault="000F7A81" w:rsidP="000F7A81">
            <w:pPr>
              <w:spacing w:before="120" w:after="120"/>
              <w:rPr>
                <w:rFonts w:cs="Arial"/>
                <w:b/>
                <w:szCs w:val="20"/>
                <w:lang w:val="en-GB"/>
              </w:rPr>
            </w:pPr>
            <w:r w:rsidRPr="00FA117E">
              <w:rPr>
                <w:rFonts w:cs="Arial"/>
                <w:szCs w:val="20"/>
                <w:lang w:val="en-GB"/>
              </w:rPr>
              <w:t>Final Draft Report B from CEPT to the Commission</w:t>
            </w:r>
          </w:p>
        </w:tc>
        <w:tc>
          <w:tcPr>
            <w:tcW w:w="4082" w:type="dxa"/>
          </w:tcPr>
          <w:p w:rsidR="000F7A81" w:rsidRPr="00FA117E" w:rsidRDefault="000F7A81" w:rsidP="000F7A81">
            <w:pPr>
              <w:spacing w:before="120" w:after="120"/>
              <w:rPr>
                <w:rFonts w:cs="Arial"/>
                <w:szCs w:val="20"/>
                <w:lang w:val="en-GB"/>
              </w:rPr>
            </w:pPr>
            <w:r w:rsidRPr="00FA117E">
              <w:rPr>
                <w:rFonts w:cs="Arial"/>
                <w:szCs w:val="20"/>
                <w:lang w:val="en-GB"/>
              </w:rPr>
              <w:t xml:space="preserve">Considering international developments such as outcomes of the ITU WRC-15 - description of work undertaken and final results of the Mandate on task (3) as well as review of the results of the Final Report on tasks (1) and (2) </w:t>
            </w:r>
          </w:p>
        </w:tc>
      </w:tr>
      <w:tr w:rsidR="000F7A81" w:rsidRPr="00FA117E" w:rsidTr="00842E21">
        <w:tc>
          <w:tcPr>
            <w:tcW w:w="1800" w:type="dxa"/>
            <w:shd w:val="clear" w:color="auto" w:fill="auto"/>
          </w:tcPr>
          <w:p w:rsidR="000F7A81" w:rsidRPr="00FA117E" w:rsidRDefault="000F7A81" w:rsidP="000F7A81">
            <w:pPr>
              <w:spacing w:before="120" w:after="120"/>
              <w:rPr>
                <w:rFonts w:cs="Arial"/>
                <w:szCs w:val="20"/>
                <w:lang w:val="en-GB"/>
              </w:rPr>
            </w:pPr>
            <w:r w:rsidRPr="00FA117E">
              <w:rPr>
                <w:rFonts w:cs="Arial"/>
                <w:szCs w:val="20"/>
                <w:lang w:val="en-GB"/>
              </w:rPr>
              <w:t>July 2016</w:t>
            </w:r>
          </w:p>
        </w:tc>
        <w:tc>
          <w:tcPr>
            <w:tcW w:w="2878" w:type="dxa"/>
            <w:shd w:val="clear" w:color="auto" w:fill="auto"/>
          </w:tcPr>
          <w:p w:rsidR="000F7A81" w:rsidRPr="00FA117E" w:rsidRDefault="000F7A81" w:rsidP="000F7A81">
            <w:pPr>
              <w:spacing w:before="120" w:after="120"/>
              <w:rPr>
                <w:rFonts w:cs="Arial"/>
                <w:szCs w:val="20"/>
                <w:lang w:val="en-GB"/>
              </w:rPr>
            </w:pPr>
            <w:r w:rsidRPr="00FA117E">
              <w:rPr>
                <w:rFonts w:cs="Arial"/>
                <w:szCs w:val="20"/>
                <w:lang w:val="en-GB"/>
              </w:rPr>
              <w:t>Final Report B from CEPT to the Commission</w:t>
            </w:r>
          </w:p>
        </w:tc>
        <w:tc>
          <w:tcPr>
            <w:tcW w:w="4082" w:type="dxa"/>
            <w:shd w:val="clear" w:color="auto" w:fill="auto"/>
          </w:tcPr>
          <w:p w:rsidR="000F7A81" w:rsidRPr="00FA117E" w:rsidRDefault="000F7A81" w:rsidP="000F7A81">
            <w:pPr>
              <w:spacing w:before="120" w:after="120"/>
              <w:rPr>
                <w:rFonts w:cs="Arial"/>
                <w:szCs w:val="20"/>
                <w:lang w:val="en-GB"/>
              </w:rPr>
            </w:pPr>
            <w:r w:rsidRPr="00FA117E">
              <w:rPr>
                <w:rFonts w:cs="Arial"/>
                <w:szCs w:val="20"/>
                <w:lang w:val="en-GB"/>
              </w:rPr>
              <w:t>Considering international developments such as outcomes of the ITU WRC-15 - description of work undertaken and final results of the Mandate on task (3) as well as review of the results of the Final Report on tasks (1) and (2), taking into account the results of the public consultation.</w:t>
            </w:r>
          </w:p>
        </w:tc>
      </w:tr>
    </w:tbl>
    <w:p w:rsidR="000F7A81" w:rsidRPr="00FA117E" w:rsidRDefault="000F7A81" w:rsidP="000F7A81">
      <w:pPr>
        <w:spacing w:after="120"/>
        <w:ind w:left="720"/>
        <w:jc w:val="both"/>
        <w:rPr>
          <w:rFonts w:cs="Arial"/>
          <w:szCs w:val="20"/>
          <w:lang w:val="en-GB" w:eastAsia="fr-BE"/>
        </w:rPr>
      </w:pPr>
    </w:p>
    <w:p w:rsidR="000F7A81" w:rsidRPr="00FA117E" w:rsidRDefault="000F7A81" w:rsidP="000F7A81">
      <w:pPr>
        <w:spacing w:after="120"/>
        <w:jc w:val="both"/>
        <w:rPr>
          <w:rFonts w:cs="Arial"/>
          <w:szCs w:val="20"/>
          <w:lang w:val="en-GB" w:eastAsia="fr-BE"/>
        </w:rPr>
      </w:pPr>
      <w:r w:rsidRPr="00FA117E">
        <w:rPr>
          <w:rFonts w:cs="Arial"/>
          <w:szCs w:val="20"/>
          <w:lang w:val="en-GB" w:eastAsia="fr-BE"/>
        </w:rPr>
        <w:t xml:space="preserve">CEPT is requested to report on the progress of its work pursuant to this Mandate to all meetings of the Radio Spectrum Committee taking place during the course of the Mandate. </w:t>
      </w:r>
    </w:p>
    <w:p w:rsidR="000F7A81" w:rsidRPr="00FA117E" w:rsidRDefault="000F7A81" w:rsidP="006F75CE">
      <w:pPr>
        <w:rPr>
          <w:lang w:val="en-GB"/>
        </w:rPr>
      </w:pPr>
      <w:r w:rsidRPr="00FA117E">
        <w:rPr>
          <w:rFonts w:cs="Arial"/>
          <w:szCs w:val="20"/>
          <w:lang w:val="en-GB"/>
        </w:rPr>
        <w:t xml:space="preserve">The Commission, with the assistance of the Radio Spectrum Committee and pursuant to the Radio Spectrum Decision, may consider applying the results of this mandate in the EU, pursuant to Article 4 of the Radio Spectrum Decision and subject to the results of the inventory process and the guidance of the RSPG. </w:t>
      </w:r>
    </w:p>
    <w:p w:rsidR="000F7A81" w:rsidRPr="00FA117E" w:rsidRDefault="000F7A81" w:rsidP="000F7A81">
      <w:pPr>
        <w:pStyle w:val="ECCAnnexheading1"/>
        <w:numPr>
          <w:ilvl w:val="0"/>
          <w:numId w:val="20"/>
        </w:numPr>
      </w:pPr>
      <w:r w:rsidRPr="00FA117E">
        <w:lastRenderedPageBreak/>
        <w:tab/>
      </w:r>
      <w:bookmarkStart w:id="40" w:name="_Ref422930426"/>
      <w:bookmarkStart w:id="41" w:name="_Toc441229627"/>
      <w:r w:rsidRPr="00FA117E">
        <w:t>LETTER TO CEPT REQUESTING AN EARLY DELIVERY OF THE CEPT REPORT IN RESPONSE TO TASK 3</w:t>
      </w:r>
      <w:bookmarkEnd w:id="40"/>
      <w:bookmarkEnd w:id="41"/>
      <w:r w:rsidRPr="00FA117E">
        <w:t xml:space="preserve">  </w:t>
      </w:r>
    </w:p>
    <w:p w:rsidR="0064147E" w:rsidRPr="00FA117E" w:rsidRDefault="008713C3" w:rsidP="00AB46DF">
      <w:pPr>
        <w:pStyle w:val="ECCParagrap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9pt;margin-top:13.95pt;width:446.2pt;height:631.65pt;z-index:-251657216;mso-position-horizontal-relative:text;mso-position-vertical-relative:text" wrapcoords="-36 0 -36 21549 21600 21549 21600 0 -36 0" o:allowoverlap="f">
            <v:imagedata r:id="rId14" o:title=""/>
            <w10:wrap type="tight"/>
          </v:shape>
          <o:OLEObject Type="Embed" ProgID="AcroExch.Document.DC" ShapeID="_x0000_s1026" DrawAspect="Content" ObjectID="_1518341134" r:id="rId15"/>
        </w:pict>
      </w:r>
    </w:p>
    <w:p w:rsidR="00AB46DF" w:rsidRPr="00FA117E" w:rsidRDefault="003C3EE4" w:rsidP="00AB46DF">
      <w:pPr>
        <w:pStyle w:val="ECCAnnexheading1"/>
      </w:pPr>
      <w:bookmarkStart w:id="42" w:name="_Toc441229628"/>
      <w:r w:rsidRPr="00FA117E">
        <w:lastRenderedPageBreak/>
        <w:t>List of reference</w:t>
      </w:r>
      <w:bookmarkEnd w:id="42"/>
    </w:p>
    <w:p w:rsidR="006F3BC8" w:rsidRPr="00FA117E" w:rsidRDefault="006F3BC8" w:rsidP="005273A4">
      <w:pPr>
        <w:pStyle w:val="reference"/>
        <w:numPr>
          <w:ilvl w:val="0"/>
          <w:numId w:val="6"/>
        </w:numPr>
        <w:rPr>
          <w:lang w:val="en-GB"/>
        </w:rPr>
      </w:pPr>
      <w:bookmarkStart w:id="43" w:name="_Ref420684125"/>
      <w:bookmarkStart w:id="44" w:name="_Ref420683179"/>
      <w:r w:rsidRPr="00FA117E">
        <w:rPr>
          <w:lang w:val="en-GB"/>
        </w:rPr>
        <w:t>CEPT Report 53: Report A from CEPT to the European Commission in response to the Mandate</w:t>
      </w:r>
      <w:bookmarkEnd w:id="43"/>
      <w:r w:rsidRPr="00FA117E">
        <w:rPr>
          <w:lang w:val="en-GB"/>
        </w:rPr>
        <w:t xml:space="preserve"> </w:t>
      </w:r>
    </w:p>
    <w:p w:rsidR="000226FB" w:rsidRPr="00FA117E" w:rsidRDefault="000226FB" w:rsidP="005273A4">
      <w:pPr>
        <w:pStyle w:val="reference"/>
        <w:numPr>
          <w:ilvl w:val="0"/>
          <w:numId w:val="6"/>
        </w:numPr>
        <w:rPr>
          <w:lang w:val="en-GB"/>
        </w:rPr>
      </w:pPr>
      <w:bookmarkStart w:id="45" w:name="_Ref433017725"/>
      <w:r w:rsidRPr="00FA117E">
        <w:rPr>
          <w:lang w:val="en-GB"/>
        </w:rPr>
        <w:t>ECC D</w:t>
      </w:r>
      <w:r w:rsidR="00FD4F42" w:rsidRPr="00FA117E">
        <w:rPr>
          <w:lang w:val="en-GB"/>
        </w:rPr>
        <w:t>ecision (</w:t>
      </w:r>
      <w:r w:rsidRPr="00FA117E">
        <w:rPr>
          <w:lang w:val="en-GB"/>
        </w:rPr>
        <w:t>15)01 “Harmonised technical conditions for mobile/fixed communications networks (MFCN) in the band 694-790 MHz including a paired frequency arrangement (Frequency Division Duplex 2x30 MHz) and an optional unpaired frequency arrangement (Supplemental Downlink)”</w:t>
      </w:r>
      <w:bookmarkEnd w:id="44"/>
      <w:bookmarkEnd w:id="45"/>
    </w:p>
    <w:p w:rsidR="000226FB" w:rsidRPr="00FA117E" w:rsidRDefault="000226FB" w:rsidP="000226FB">
      <w:pPr>
        <w:pStyle w:val="reference"/>
        <w:rPr>
          <w:lang w:val="en-GB"/>
        </w:rPr>
      </w:pPr>
      <w:bookmarkStart w:id="46" w:name="_Ref420683237"/>
      <w:r w:rsidRPr="00FA117E">
        <w:rPr>
          <w:lang w:val="en-GB"/>
        </w:rPr>
        <w:t>CEPT Report 30: The identification of common and minimal (least restrictive) technical conditions for 790 - 862 MHz for the digital dividend in the European Union</w:t>
      </w:r>
      <w:bookmarkEnd w:id="46"/>
    </w:p>
    <w:p w:rsidR="006F3BC8" w:rsidRPr="00FA117E" w:rsidRDefault="006F3BC8" w:rsidP="003033B2">
      <w:pPr>
        <w:pStyle w:val="reference"/>
        <w:rPr>
          <w:lang w:val="en-GB"/>
        </w:rPr>
      </w:pPr>
      <w:bookmarkStart w:id="47" w:name="_Ref420684018"/>
      <w:r w:rsidRPr="00FA117E">
        <w:rPr>
          <w:lang w:val="en-GB"/>
        </w:rPr>
        <w:t>CEPT Report 50: Technical conditions for the use of the bands 821-832 MHz and 1785-1805 MHz for wireless radio microphones in the EU</w:t>
      </w:r>
      <w:bookmarkEnd w:id="47"/>
    </w:p>
    <w:p w:rsidR="006F75CE" w:rsidRPr="00FA117E" w:rsidRDefault="006F75CE" w:rsidP="006F75CE">
      <w:pPr>
        <w:pStyle w:val="reference"/>
        <w:rPr>
          <w:lang w:val="en-GB"/>
        </w:rPr>
      </w:pPr>
      <w:bookmarkStart w:id="48" w:name="_Ref422930265"/>
      <w:r w:rsidRPr="00FA117E">
        <w:rPr>
          <w:lang w:val="en-GB"/>
        </w:rPr>
        <w:t>ETSI EN 300 422: Electromagnetic compatibility and Radio spectrum Matters (ERM); Wireless microphones in the 25 MHz to 3 GHz frequency range; Part 1: Technical characteristics and methods of measurement</w:t>
      </w:r>
      <w:bookmarkEnd w:id="48"/>
    </w:p>
    <w:p w:rsidR="00690853" w:rsidRPr="00FA117E" w:rsidRDefault="00690853" w:rsidP="00690853">
      <w:pPr>
        <w:pStyle w:val="reference"/>
        <w:rPr>
          <w:lang w:val="en-GB"/>
        </w:rPr>
      </w:pPr>
      <w:bookmarkStart w:id="49" w:name="_Ref422930862"/>
      <w:r w:rsidRPr="00FA117E">
        <w:rPr>
          <w:lang w:val="en-GB"/>
        </w:rPr>
        <w:t>ECC Report 221: Adjacent band compatibility between MFCN and PMSE audio applications in the 700 MHz frequency band.</w:t>
      </w:r>
      <w:bookmarkEnd w:id="49"/>
    </w:p>
    <w:p w:rsidR="00A61528" w:rsidRPr="00FA117E" w:rsidRDefault="00A61528" w:rsidP="00A61528">
      <w:pPr>
        <w:pStyle w:val="reference"/>
        <w:rPr>
          <w:lang w:val="en-GB"/>
        </w:rPr>
      </w:pPr>
      <w:bookmarkStart w:id="50" w:name="_Ref422931600"/>
      <w:r w:rsidRPr="00FA117E">
        <w:rPr>
          <w:lang w:val="en-GB"/>
        </w:rPr>
        <w:t xml:space="preserve">ECC </w:t>
      </w:r>
      <w:r w:rsidR="00FD4F42" w:rsidRPr="00FA117E">
        <w:rPr>
          <w:lang w:val="en-GB"/>
        </w:rPr>
        <w:t xml:space="preserve">Report </w:t>
      </w:r>
      <w:r w:rsidRPr="00FA117E">
        <w:rPr>
          <w:lang w:val="en-GB"/>
        </w:rPr>
        <w:t>191: Adjacent band compatibility between MFCN and PMSE audio applications in the 1785-1805 MHz frequency range</w:t>
      </w:r>
      <w:bookmarkEnd w:id="50"/>
    </w:p>
    <w:p w:rsidR="00AB46DF" w:rsidRPr="00FA117E" w:rsidRDefault="00AB46DF" w:rsidP="00AB46DF">
      <w:pPr>
        <w:pStyle w:val="ECCParagraph"/>
      </w:pPr>
    </w:p>
    <w:sectPr w:rsidR="00AB46DF" w:rsidRPr="00FA117E"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17E" w:rsidRDefault="00FA117E" w:rsidP="00AB46DF">
      <w:r>
        <w:separator/>
      </w:r>
    </w:p>
  </w:endnote>
  <w:endnote w:type="continuationSeparator" w:id="0">
    <w:p w:rsidR="00FA117E" w:rsidRDefault="00FA117E"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variable"/>
    <w:sig w:usb0="00003A87" w:usb1="00000000" w:usb2="00000000" w:usb3="00000000" w:csb0="000000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17E" w:rsidRDefault="00FA117E" w:rsidP="00AB46DF">
      <w:r>
        <w:separator/>
      </w:r>
    </w:p>
  </w:footnote>
  <w:footnote w:type="continuationSeparator" w:id="0">
    <w:p w:rsidR="00FA117E" w:rsidRDefault="00FA117E" w:rsidP="00AB46DF">
      <w:r>
        <w:continuationSeparator/>
      </w:r>
    </w:p>
  </w:footnote>
  <w:footnote w:id="1">
    <w:p w:rsidR="00FA117E" w:rsidRPr="002D4E6D" w:rsidRDefault="00FA117E" w:rsidP="00814850">
      <w:pPr>
        <w:pStyle w:val="ECCFootnote"/>
      </w:pPr>
      <w:r w:rsidRPr="00FC74E7">
        <w:rPr>
          <w:rStyle w:val="FootnoteReference"/>
          <w:szCs w:val="16"/>
        </w:rPr>
        <w:footnoteRef/>
      </w:r>
      <w:r w:rsidRPr="00FC74E7">
        <w:rPr>
          <w:szCs w:val="16"/>
        </w:rPr>
        <w:t xml:space="preserve"> </w:t>
      </w:r>
      <w:r w:rsidRPr="002D4E6D">
        <w:t>Provisional lower band edge subject to precise definition within the scope of this Mandate</w:t>
      </w:r>
    </w:p>
    <w:p w:rsidR="00FA117E" w:rsidRPr="00575AA6" w:rsidRDefault="00FA117E" w:rsidP="00E439D2">
      <w:pPr>
        <w:pStyle w:val="FootnoteText"/>
        <w:ind w:left="-1134"/>
      </w:pPr>
    </w:p>
  </w:footnote>
  <w:footnote w:id="2">
    <w:p w:rsidR="00FA117E" w:rsidRPr="00FA117E" w:rsidRDefault="00FA117E" w:rsidP="00814850">
      <w:pPr>
        <w:pStyle w:val="ECCFootnote"/>
        <w:rPr>
          <w:lang w:val="en-GB"/>
        </w:rPr>
      </w:pPr>
      <w:r w:rsidRPr="00FA117E">
        <w:rPr>
          <w:rStyle w:val="FootnoteReference"/>
          <w:szCs w:val="18"/>
          <w:lang w:val="en-GB"/>
        </w:rPr>
        <w:footnoteRef/>
      </w:r>
      <w:r w:rsidRPr="00FA117E">
        <w:rPr>
          <w:lang w:val="en-GB"/>
        </w:rPr>
        <w:t xml:space="preserve"> Such as the definition of appropriate BEMs (Block Edge Masks) </w:t>
      </w:r>
    </w:p>
  </w:footnote>
  <w:footnote w:id="3">
    <w:p w:rsidR="00FA117E" w:rsidRPr="00FA117E" w:rsidRDefault="00FA117E" w:rsidP="00814850">
      <w:pPr>
        <w:pStyle w:val="ECCFootnote"/>
        <w:rPr>
          <w:lang w:val="en-GB"/>
        </w:rPr>
      </w:pPr>
      <w:r w:rsidRPr="00FA117E">
        <w:rPr>
          <w:rStyle w:val="FootnoteReference"/>
          <w:szCs w:val="18"/>
          <w:lang w:val="en-GB"/>
        </w:rPr>
        <w:footnoteRef/>
      </w:r>
      <w:r w:rsidRPr="00FA117E">
        <w:rPr>
          <w:lang w:val="en-GB"/>
        </w:rPr>
        <w:t xml:space="preserve"> This provisional lower band edge is subject to a precise definition within the scope of this Mandate. It is identical with the provisional lower limit stipulated in WRC-12 Resolution 232 which is subject to additional refinement at the WRC-15</w:t>
      </w:r>
    </w:p>
  </w:footnote>
  <w:footnote w:id="4">
    <w:p w:rsidR="00FA117E" w:rsidRPr="00FA117E" w:rsidRDefault="00FA117E" w:rsidP="00814850">
      <w:pPr>
        <w:pStyle w:val="ECCFootnote"/>
        <w:rPr>
          <w:lang w:val="en-GB"/>
        </w:rPr>
      </w:pPr>
      <w:r w:rsidRPr="00FA117E">
        <w:rPr>
          <w:rStyle w:val="FootnoteReference"/>
          <w:szCs w:val="18"/>
          <w:lang w:val="en-GB"/>
        </w:rPr>
        <w:footnoteRef/>
      </w:r>
      <w:r w:rsidRPr="00FA117E">
        <w:rPr>
          <w:lang w:val="en-GB"/>
        </w:rPr>
        <w:t xml:space="preserve"> Subject to Commission Decision 2010/267/EU</w:t>
      </w:r>
    </w:p>
  </w:footnote>
  <w:footnote w:id="5">
    <w:p w:rsidR="00FA117E" w:rsidRPr="00FA117E" w:rsidRDefault="00FA117E" w:rsidP="00814850">
      <w:pPr>
        <w:pStyle w:val="ECCFootnote"/>
        <w:rPr>
          <w:lang w:val="en-GB"/>
        </w:rPr>
      </w:pPr>
      <w:r w:rsidRPr="00FA117E">
        <w:rPr>
          <w:rStyle w:val="FootnoteReference"/>
          <w:szCs w:val="18"/>
          <w:lang w:val="en-GB"/>
        </w:rPr>
        <w:footnoteRef/>
      </w:r>
      <w:r w:rsidRPr="00FA117E">
        <w:rPr>
          <w:lang w:val="en-GB"/>
        </w:rPr>
        <w:t xml:space="preserve"> For example in unused parts of the band such as a centre gap of a potential FDD arrangement</w:t>
      </w:r>
    </w:p>
  </w:footnote>
  <w:footnote w:id="6">
    <w:p w:rsidR="00FA117E" w:rsidRPr="002D4E6D" w:rsidRDefault="00FA117E" w:rsidP="00814850">
      <w:pPr>
        <w:pStyle w:val="ECCFootnote"/>
      </w:pPr>
      <w:r w:rsidRPr="00FA117E">
        <w:rPr>
          <w:rStyle w:val="FootnoteReference"/>
          <w:szCs w:val="18"/>
          <w:lang w:val="en-GB"/>
        </w:rPr>
        <w:footnoteRef/>
      </w:r>
      <w:r w:rsidRPr="00FA117E">
        <w:rPr>
          <w:lang w:val="en-GB"/>
        </w:rPr>
        <w:t xml:space="preserve"> Such as resolutions at the ITU WRC-15</w:t>
      </w:r>
    </w:p>
  </w:footnote>
  <w:footnote w:id="7">
    <w:p w:rsidR="00FA117E" w:rsidRPr="00584573" w:rsidRDefault="00FA117E" w:rsidP="00814850">
      <w:pPr>
        <w:pStyle w:val="ECCFootnote"/>
      </w:pPr>
      <w:r>
        <w:rPr>
          <w:rStyle w:val="FootnoteReference"/>
        </w:rPr>
        <w:footnoteRef/>
      </w:r>
      <w:r>
        <w:t xml:space="preserve"> </w:t>
      </w:r>
      <w:r w:rsidRPr="00584573">
        <w:t>ECC</w:t>
      </w:r>
      <w:r>
        <w:t>/</w:t>
      </w:r>
      <w:r w:rsidRPr="00584573">
        <w:t>D</w:t>
      </w:r>
      <w:r>
        <w:t>EC/</w:t>
      </w:r>
      <w:r w:rsidRPr="00584573">
        <w:t>(15)01</w:t>
      </w:r>
      <w:r>
        <w:t xml:space="preserve"> </w:t>
      </w:r>
      <w:r>
        <w:fldChar w:fldCharType="begin"/>
      </w:r>
      <w:r>
        <w:instrText xml:space="preserve"> REF _Ref433017725 \r \h  \* MERGEFORMAT </w:instrText>
      </w:r>
      <w:r>
        <w:fldChar w:fldCharType="separate"/>
      </w:r>
      <w:r>
        <w:t>[2]</w:t>
      </w:r>
      <w:r>
        <w:fldChar w:fldCharType="end"/>
      </w:r>
    </w:p>
  </w:footnote>
  <w:footnote w:id="8">
    <w:p w:rsidR="00FA117E" w:rsidRPr="0037323B" w:rsidRDefault="00FA117E" w:rsidP="00814850">
      <w:pPr>
        <w:pStyle w:val="ECCFootnote"/>
      </w:pPr>
      <w:r w:rsidRPr="00814850">
        <w:rPr>
          <w:vertAlign w:val="superscript"/>
        </w:rPr>
        <w:footnoteRef/>
      </w:r>
      <w:r w:rsidRPr="00154C4E">
        <w:t xml:space="preserve"> </w:t>
      </w:r>
      <w:r w:rsidRPr="006F75CE">
        <w:t>TRP is a measure of</w:t>
      </w:r>
      <w:r w:rsidRPr="00154C4E">
        <w:rPr>
          <w:rStyle w:val="FootnoteReference"/>
        </w:rPr>
        <w:t xml:space="preserve"> </w:t>
      </w:r>
      <w:r w:rsidRPr="006312F0">
        <w:t>how much power the antenna actually radiates. The TRP is defined as the integ</w:t>
      </w:r>
      <w:r w:rsidR="00814850">
        <w:t xml:space="preserve">ral of the power transmitted in </w:t>
      </w:r>
      <w:r w:rsidRPr="006F75CE">
        <w:t>different</w:t>
      </w:r>
      <w:r w:rsidRPr="006312F0">
        <w:t xml:space="preserve"> directions over the entire radiation sphere. For an isotropic antenna radiation pattern</w:t>
      </w:r>
      <w:r>
        <w:t>,</w:t>
      </w:r>
      <w:r w:rsidRPr="006312F0">
        <w:t xml:space="preserve"> </w:t>
      </w:r>
      <w:proofErr w:type="spellStart"/>
      <w:r w:rsidRPr="006F75CE">
        <w:t>e.i.r.p</w:t>
      </w:r>
      <w:proofErr w:type="spellEnd"/>
      <w:r w:rsidRPr="006F75CE">
        <w:t>.</w:t>
      </w:r>
      <w:r w:rsidRPr="006312F0">
        <w:t xml:space="preserve"> and TRP are equivalent. For a directional antenna radiation pattern</w:t>
      </w:r>
      <w:r>
        <w:t>,</w:t>
      </w:r>
      <w:r w:rsidRPr="006312F0">
        <w:t xml:space="preserve"> </w:t>
      </w:r>
      <w:proofErr w:type="spellStart"/>
      <w:r w:rsidRPr="006F75CE">
        <w:t>e.i.r.p</w:t>
      </w:r>
      <w:proofErr w:type="spellEnd"/>
      <w:r w:rsidRPr="006F75CE">
        <w:t>.</w:t>
      </w:r>
      <w:r w:rsidRPr="006312F0">
        <w:t xml:space="preserve"> in the direction of the main beam is (by definition</w:t>
      </w:r>
      <w:r w:rsidRPr="006F75CE">
        <w:t>) greater than the TRP.</w:t>
      </w:r>
    </w:p>
  </w:footnote>
  <w:footnote w:id="9">
    <w:p w:rsidR="00FA117E" w:rsidRPr="00814850" w:rsidRDefault="00FA117E" w:rsidP="000F7A81">
      <w:pPr>
        <w:pStyle w:val="FootnoteText"/>
        <w:ind w:left="142" w:hanging="142"/>
        <w:rPr>
          <w:sz w:val="16"/>
          <w:szCs w:val="16"/>
        </w:rPr>
      </w:pPr>
      <w:r w:rsidRPr="00814850">
        <w:rPr>
          <w:rStyle w:val="FootnoteReference"/>
          <w:sz w:val="16"/>
          <w:szCs w:val="16"/>
        </w:rPr>
        <w:footnoteRef/>
      </w:r>
      <w:r w:rsidRPr="00814850">
        <w:rPr>
          <w:sz w:val="16"/>
          <w:szCs w:val="16"/>
        </w:rPr>
        <w:t xml:space="preserve"> This provisional lower band edge is subject to a precise definition within the scope of this Mandate. It is identical with the provisional lower limit stipulated in WRC-12 Resolution 232 which is subject to additional refinement at the WRC-15</w:t>
      </w:r>
    </w:p>
  </w:footnote>
  <w:footnote w:id="10">
    <w:p w:rsidR="00FA117E" w:rsidRPr="00814850" w:rsidRDefault="00FA117E" w:rsidP="000F7A81">
      <w:pPr>
        <w:pStyle w:val="FootnoteText"/>
        <w:rPr>
          <w:sz w:val="16"/>
          <w:szCs w:val="16"/>
        </w:rPr>
      </w:pPr>
      <w:r w:rsidRPr="00814850">
        <w:rPr>
          <w:rStyle w:val="FootnoteReference"/>
          <w:sz w:val="16"/>
          <w:szCs w:val="16"/>
        </w:rPr>
        <w:footnoteRef/>
      </w:r>
      <w:r w:rsidRPr="00814850">
        <w:rPr>
          <w:sz w:val="16"/>
          <w:szCs w:val="16"/>
        </w:rPr>
        <w:t xml:space="preserve"> In ITU terminology</w:t>
      </w:r>
    </w:p>
  </w:footnote>
  <w:footnote w:id="11">
    <w:p w:rsidR="00FA117E" w:rsidRPr="00814850" w:rsidRDefault="00FA117E" w:rsidP="00814850">
      <w:pPr>
        <w:pStyle w:val="FootnoteText"/>
        <w:ind w:left="284" w:hanging="284"/>
        <w:rPr>
          <w:sz w:val="16"/>
          <w:szCs w:val="16"/>
        </w:rPr>
      </w:pPr>
      <w:r w:rsidRPr="00814850">
        <w:rPr>
          <w:rStyle w:val="FootnoteReference"/>
          <w:sz w:val="16"/>
          <w:szCs w:val="16"/>
        </w:rPr>
        <w:footnoteRef/>
      </w:r>
      <w:r w:rsidRPr="00814850">
        <w:rPr>
          <w:sz w:val="16"/>
          <w:szCs w:val="16"/>
        </w:rPr>
        <w:t xml:space="preserve"> Within the ITU Joint Task Group JTG 4-5-6-7 working on Agenda Items 1.1 (spectrum requirements for wireless broadband) and 1.2 (use of the 700 MHz band for mobile services) for WRC-15</w:t>
      </w:r>
    </w:p>
  </w:footnote>
  <w:footnote w:id="12">
    <w:p w:rsidR="00FA117E" w:rsidRPr="00814850" w:rsidRDefault="00FA117E" w:rsidP="000F7A81">
      <w:pPr>
        <w:pStyle w:val="FootnoteText"/>
        <w:spacing w:after="120"/>
        <w:rPr>
          <w:sz w:val="16"/>
          <w:szCs w:val="16"/>
        </w:rPr>
      </w:pPr>
      <w:r w:rsidRPr="00814850">
        <w:rPr>
          <w:rStyle w:val="FootnoteReference"/>
          <w:sz w:val="16"/>
          <w:szCs w:val="16"/>
        </w:rPr>
        <w:footnoteRef/>
      </w:r>
      <w:r w:rsidRPr="00814850">
        <w:rPr>
          <w:sz w:val="16"/>
          <w:szCs w:val="16"/>
        </w:rPr>
        <w:t xml:space="preserve"> Subject to the release of the 800 MHz band from broadcasting services in all EU Member States in the future  </w:t>
      </w:r>
    </w:p>
  </w:footnote>
  <w:footnote w:id="13">
    <w:p w:rsidR="00FA117E" w:rsidRPr="00814850" w:rsidRDefault="00FA117E" w:rsidP="00814850">
      <w:pPr>
        <w:pStyle w:val="FootnoteText"/>
        <w:rPr>
          <w:sz w:val="16"/>
          <w:szCs w:val="16"/>
        </w:rPr>
      </w:pPr>
      <w:r w:rsidRPr="00814850">
        <w:rPr>
          <w:rStyle w:val="FootnoteReference"/>
          <w:sz w:val="16"/>
          <w:szCs w:val="16"/>
        </w:rPr>
        <w:footnoteRef/>
      </w:r>
      <w:r w:rsidRPr="00814850">
        <w:rPr>
          <w:sz w:val="16"/>
          <w:szCs w:val="16"/>
        </w:rPr>
        <w:t xml:space="preserve"> RSPG12-415 "Request for an Opinion on Strategic Challenges facing Europe in addressing the Growing Spectrum Demand for Wireless Broadband"</w:t>
      </w:r>
    </w:p>
  </w:footnote>
  <w:footnote w:id="14">
    <w:p w:rsidR="00FA117E" w:rsidRPr="00814850" w:rsidRDefault="00FA117E" w:rsidP="00814850">
      <w:pPr>
        <w:pStyle w:val="FootnoteText"/>
        <w:rPr>
          <w:sz w:val="16"/>
          <w:szCs w:val="16"/>
        </w:rPr>
      </w:pPr>
      <w:r w:rsidRPr="00814850">
        <w:rPr>
          <w:rStyle w:val="FootnoteReference"/>
          <w:sz w:val="16"/>
          <w:szCs w:val="16"/>
        </w:rPr>
        <w:footnoteRef/>
      </w:r>
      <w:r w:rsidRPr="00814850">
        <w:rPr>
          <w:sz w:val="16"/>
          <w:szCs w:val="16"/>
        </w:rPr>
        <w:t xml:space="preserve"> RSPG12-422 "Request for an Opinion on the preparation of Common Policy Objectives for WRC-15"</w:t>
      </w:r>
    </w:p>
  </w:footnote>
  <w:footnote w:id="15">
    <w:p w:rsidR="00FA117E" w:rsidRPr="00814850" w:rsidRDefault="00FA117E" w:rsidP="00814850">
      <w:pPr>
        <w:pStyle w:val="FootnoteText"/>
        <w:rPr>
          <w:sz w:val="16"/>
          <w:szCs w:val="16"/>
        </w:rPr>
      </w:pPr>
      <w:r w:rsidRPr="00814850">
        <w:rPr>
          <w:rStyle w:val="FootnoteReference"/>
          <w:sz w:val="16"/>
          <w:szCs w:val="16"/>
        </w:rPr>
        <w:footnoteRef/>
      </w:r>
      <w:r w:rsidRPr="00814850">
        <w:rPr>
          <w:sz w:val="16"/>
          <w:szCs w:val="16"/>
        </w:rPr>
        <w:t xml:space="preserve"> Decision 243/2012/EU of the European Parliament and of the Council of 14 March 2012</w:t>
      </w:r>
    </w:p>
  </w:footnote>
  <w:footnote w:id="16">
    <w:p w:rsidR="00FA117E" w:rsidRPr="00814850" w:rsidRDefault="00FA117E" w:rsidP="00814850">
      <w:pPr>
        <w:pStyle w:val="FootnoteText"/>
        <w:rPr>
          <w:sz w:val="16"/>
          <w:szCs w:val="16"/>
        </w:rPr>
      </w:pPr>
      <w:r w:rsidRPr="00814850">
        <w:rPr>
          <w:rStyle w:val="FootnoteReference"/>
          <w:sz w:val="16"/>
          <w:szCs w:val="16"/>
        </w:rPr>
        <w:footnoteRef/>
      </w:r>
      <w:r w:rsidRPr="00814850">
        <w:rPr>
          <w:sz w:val="16"/>
          <w:szCs w:val="16"/>
        </w:rPr>
        <w:t xml:space="preserve"> Wireless Access Policy for Electronic Communications Services (see COM/2007/0050 final)</w:t>
      </w:r>
    </w:p>
  </w:footnote>
  <w:footnote w:id="17">
    <w:p w:rsidR="00FA117E" w:rsidRPr="00814850" w:rsidRDefault="00FA117E" w:rsidP="00814850">
      <w:pPr>
        <w:pStyle w:val="FootnoteText"/>
        <w:rPr>
          <w:sz w:val="16"/>
          <w:szCs w:val="16"/>
        </w:rPr>
      </w:pPr>
      <w:r w:rsidRPr="00814850">
        <w:rPr>
          <w:rStyle w:val="FootnoteReference"/>
          <w:sz w:val="16"/>
          <w:szCs w:val="16"/>
        </w:rPr>
        <w:footnoteRef/>
      </w:r>
      <w:r w:rsidRPr="00814850">
        <w:rPr>
          <w:sz w:val="16"/>
          <w:szCs w:val="16"/>
        </w:rPr>
        <w:t xml:space="preserve"> In support of the studies at ITU level mandated by ITU Resolutions 232 and 233 (WRC-12)</w:t>
      </w:r>
    </w:p>
  </w:footnote>
  <w:footnote w:id="18">
    <w:p w:rsidR="00FA117E" w:rsidRPr="00814850" w:rsidRDefault="00FA117E" w:rsidP="00814850">
      <w:pPr>
        <w:pStyle w:val="FootnoteText"/>
        <w:rPr>
          <w:sz w:val="16"/>
          <w:szCs w:val="16"/>
        </w:rPr>
      </w:pPr>
      <w:r w:rsidRPr="00814850">
        <w:rPr>
          <w:rStyle w:val="FootnoteReference"/>
          <w:sz w:val="16"/>
          <w:szCs w:val="16"/>
        </w:rPr>
        <w:footnoteRef/>
      </w:r>
      <w:r w:rsidRPr="00814850">
        <w:rPr>
          <w:sz w:val="16"/>
          <w:szCs w:val="16"/>
        </w:rPr>
        <w:t xml:space="preserve"> See Articles 3(b) and 6-8 of the RSPP (Decision 243/2012/EU)</w:t>
      </w:r>
    </w:p>
  </w:footnote>
  <w:footnote w:id="19">
    <w:p w:rsidR="00FA117E" w:rsidRPr="00B03BEE" w:rsidRDefault="00FA117E" w:rsidP="00814850">
      <w:pPr>
        <w:pStyle w:val="FootnoteText"/>
      </w:pPr>
      <w:r w:rsidRPr="00814850">
        <w:rPr>
          <w:rStyle w:val="FootnoteReference"/>
          <w:sz w:val="16"/>
          <w:szCs w:val="16"/>
        </w:rPr>
        <w:footnoteRef/>
      </w:r>
      <w:r w:rsidRPr="00814850">
        <w:rPr>
          <w:sz w:val="16"/>
          <w:szCs w:val="16"/>
        </w:rPr>
        <w:t xml:space="preserve"> RSPG12-425 "Commission services' discussion paper on the future use of the 700 MHz band in the EU"</w:t>
      </w:r>
    </w:p>
  </w:footnote>
  <w:footnote w:id="20">
    <w:p w:rsidR="00FA117E" w:rsidRPr="00814850" w:rsidRDefault="00FA117E" w:rsidP="000F7A81">
      <w:pPr>
        <w:pStyle w:val="FootnoteText"/>
        <w:ind w:left="240" w:hanging="240"/>
        <w:rPr>
          <w:sz w:val="16"/>
          <w:szCs w:val="16"/>
        </w:rPr>
      </w:pPr>
      <w:r w:rsidRPr="00814850">
        <w:rPr>
          <w:rStyle w:val="FootnoteReference"/>
          <w:sz w:val="16"/>
          <w:szCs w:val="16"/>
        </w:rPr>
        <w:footnoteRef/>
      </w:r>
      <w:r w:rsidRPr="00814850">
        <w:rPr>
          <w:sz w:val="16"/>
          <w:szCs w:val="16"/>
        </w:rPr>
        <w:t xml:space="preserve"> Decision 676/2002/EC of the European Parliament and of the Council of 7 March 2002 on a regulatory framework for radio spectrum policy in the European Community, OJL 108 of 24.4.2002</w:t>
      </w:r>
    </w:p>
  </w:footnote>
  <w:footnote w:id="21">
    <w:p w:rsidR="00FA117E" w:rsidRPr="00814850" w:rsidRDefault="00FA117E" w:rsidP="000F7A81">
      <w:pPr>
        <w:pStyle w:val="FootnoteText"/>
        <w:rPr>
          <w:sz w:val="16"/>
          <w:szCs w:val="16"/>
        </w:rPr>
      </w:pPr>
      <w:r w:rsidRPr="00814850">
        <w:rPr>
          <w:rStyle w:val="FootnoteReference"/>
          <w:sz w:val="16"/>
          <w:szCs w:val="16"/>
        </w:rPr>
        <w:footnoteRef/>
      </w:r>
      <w:r w:rsidRPr="00814850">
        <w:rPr>
          <w:sz w:val="16"/>
          <w:szCs w:val="16"/>
        </w:rPr>
        <w:t xml:space="preserve"> Subject to Commission Decision 2010/267/EU</w:t>
      </w:r>
    </w:p>
  </w:footnote>
  <w:footnote w:id="22">
    <w:p w:rsidR="00FA117E" w:rsidRPr="00261682" w:rsidRDefault="00FA117E" w:rsidP="000F7A81">
      <w:pPr>
        <w:pStyle w:val="FootnoteText"/>
        <w:ind w:left="284" w:hanging="284"/>
        <w:rPr>
          <w:lang w:val="en-GB"/>
        </w:rPr>
      </w:pPr>
      <w:r w:rsidRPr="00814850">
        <w:rPr>
          <w:rStyle w:val="FootnoteReference"/>
          <w:sz w:val="16"/>
          <w:szCs w:val="16"/>
        </w:rPr>
        <w:footnoteRef/>
      </w:r>
      <w:r w:rsidRPr="00814850">
        <w:rPr>
          <w:sz w:val="16"/>
          <w:szCs w:val="16"/>
        </w:rPr>
        <w:t xml:space="preserve"> PPDR as a public service does not represent an electronic communications service in the meaning of the Framework </w:t>
      </w:r>
      <w:r w:rsidRPr="00814850">
        <w:rPr>
          <w:sz w:val="16"/>
          <w:szCs w:val="16"/>
          <w:lang w:val="en-GB"/>
        </w:rPr>
        <w:t>Directive (2002/21/EC) as amended by Directive 2009/140/EC, and thus is not considered as a WBB service. However, it could nevertheless make use of harmonised conditions for WBB use, subject to national demand.</w:t>
      </w:r>
    </w:p>
  </w:footnote>
  <w:footnote w:id="23">
    <w:p w:rsidR="00FA117E" w:rsidRPr="00814850" w:rsidRDefault="00FA117E" w:rsidP="000F7A81">
      <w:pPr>
        <w:pStyle w:val="FootnoteText"/>
        <w:ind w:left="284" w:hanging="284"/>
        <w:rPr>
          <w:sz w:val="16"/>
          <w:szCs w:val="16"/>
          <w:lang w:val="en-GB"/>
        </w:rPr>
      </w:pPr>
      <w:r w:rsidRPr="00814850">
        <w:rPr>
          <w:rStyle w:val="FootnoteReference"/>
          <w:sz w:val="16"/>
          <w:szCs w:val="16"/>
          <w:lang w:val="en-GB"/>
        </w:rPr>
        <w:footnoteRef/>
      </w:r>
      <w:r w:rsidRPr="00814850">
        <w:rPr>
          <w:sz w:val="16"/>
          <w:szCs w:val="16"/>
          <w:lang w:val="en-GB"/>
        </w:rPr>
        <w:t xml:space="preserve"> RSCOM11-59 rev1 "Mandate to CEPT on technical conditions regarding spectrum harmonisation options for wireless radio microphones and cordless cameras (PMSE equipment)"</w:t>
      </w:r>
    </w:p>
  </w:footnote>
  <w:footnote w:id="24">
    <w:p w:rsidR="00FA117E" w:rsidRPr="00814850" w:rsidRDefault="00FA117E" w:rsidP="000F7A81">
      <w:pPr>
        <w:pStyle w:val="FootnoteText"/>
        <w:rPr>
          <w:sz w:val="16"/>
          <w:szCs w:val="16"/>
          <w:lang w:val="en-GB"/>
        </w:rPr>
      </w:pPr>
      <w:r w:rsidRPr="00814850">
        <w:rPr>
          <w:rStyle w:val="FootnoteReference"/>
          <w:sz w:val="16"/>
          <w:szCs w:val="16"/>
          <w:lang w:val="en-GB"/>
        </w:rPr>
        <w:footnoteRef/>
      </w:r>
      <w:r w:rsidRPr="00814850">
        <w:rPr>
          <w:sz w:val="16"/>
          <w:szCs w:val="16"/>
          <w:lang w:val="en-GB"/>
        </w:rPr>
        <w:t xml:space="preserve"> RSCOM12-17 rev3: "Mandate to CEPT to undertake studies on the harmonised technical conditions for the 1900-1920 MHz and 2010-2025 MHz frequency bands in the EU"</w:t>
      </w:r>
    </w:p>
  </w:footnote>
  <w:footnote w:id="25">
    <w:p w:rsidR="00FA117E" w:rsidRDefault="00FA117E" w:rsidP="000F7A81">
      <w:pPr>
        <w:pStyle w:val="FootnoteText"/>
      </w:pPr>
      <w:r w:rsidRPr="00814850">
        <w:rPr>
          <w:rStyle w:val="FootnoteReference"/>
          <w:sz w:val="16"/>
          <w:szCs w:val="16"/>
        </w:rPr>
        <w:footnoteRef/>
      </w:r>
      <w:r w:rsidRPr="00814850">
        <w:rPr>
          <w:sz w:val="16"/>
          <w:szCs w:val="16"/>
        </w:rPr>
        <w:t xml:space="preserve"> Such as the definition of appropriate BEMs (Block Edge Masks)</w:t>
      </w:r>
    </w:p>
  </w:footnote>
  <w:footnote w:id="26">
    <w:p w:rsidR="00FA117E" w:rsidRPr="00814850" w:rsidRDefault="00FA117E" w:rsidP="000F7A81">
      <w:pPr>
        <w:pStyle w:val="FootnoteText"/>
        <w:rPr>
          <w:sz w:val="16"/>
          <w:szCs w:val="16"/>
        </w:rPr>
      </w:pPr>
      <w:r w:rsidRPr="00814850">
        <w:rPr>
          <w:rStyle w:val="FootnoteReference"/>
          <w:sz w:val="16"/>
          <w:szCs w:val="16"/>
        </w:rPr>
        <w:footnoteRef/>
      </w:r>
      <w:r w:rsidRPr="00814850">
        <w:rPr>
          <w:sz w:val="16"/>
          <w:szCs w:val="16"/>
        </w:rPr>
        <w:t xml:space="preserve"> Subject to Commission Decision 2010/267/EU</w:t>
      </w:r>
    </w:p>
  </w:footnote>
  <w:footnote w:id="27">
    <w:p w:rsidR="00FA117E" w:rsidRPr="00814850" w:rsidRDefault="00FA117E" w:rsidP="000F7A81">
      <w:pPr>
        <w:pStyle w:val="FootnoteText"/>
        <w:rPr>
          <w:sz w:val="16"/>
          <w:szCs w:val="16"/>
        </w:rPr>
      </w:pPr>
      <w:r w:rsidRPr="00814850">
        <w:rPr>
          <w:rStyle w:val="FootnoteReference"/>
          <w:sz w:val="16"/>
          <w:szCs w:val="16"/>
        </w:rPr>
        <w:footnoteRef/>
      </w:r>
      <w:r w:rsidRPr="00814850">
        <w:rPr>
          <w:sz w:val="16"/>
          <w:szCs w:val="16"/>
        </w:rPr>
        <w:t xml:space="preserve"> For example in unused parts of the band such as a center gap of  a potential FDD arrangement</w:t>
      </w:r>
    </w:p>
  </w:footnote>
  <w:footnote w:id="28">
    <w:p w:rsidR="00FA117E" w:rsidRPr="00814850" w:rsidRDefault="00FA117E" w:rsidP="000F7A81">
      <w:pPr>
        <w:pStyle w:val="FootnoteText"/>
        <w:rPr>
          <w:sz w:val="16"/>
          <w:szCs w:val="16"/>
        </w:rPr>
      </w:pPr>
      <w:r w:rsidRPr="00814850">
        <w:rPr>
          <w:rStyle w:val="FootnoteReference"/>
          <w:sz w:val="16"/>
          <w:szCs w:val="16"/>
        </w:rPr>
        <w:footnoteRef/>
      </w:r>
      <w:r w:rsidRPr="00814850">
        <w:rPr>
          <w:sz w:val="16"/>
          <w:szCs w:val="16"/>
        </w:rPr>
        <w:t xml:space="preserve"> Such as resolutions at the ITU WRC-15</w:t>
      </w:r>
    </w:p>
  </w:footnote>
  <w:footnote w:id="29">
    <w:p w:rsidR="00FA117E" w:rsidRPr="00EC6CF2" w:rsidRDefault="00FA117E" w:rsidP="000F7A81">
      <w:pPr>
        <w:pStyle w:val="FootnoteText"/>
        <w:spacing w:after="120"/>
      </w:pPr>
      <w:r w:rsidRPr="00814850">
        <w:rPr>
          <w:rStyle w:val="FootnoteReference"/>
          <w:sz w:val="16"/>
          <w:szCs w:val="16"/>
        </w:rPr>
        <w:footnoteRef/>
      </w:r>
      <w:r w:rsidRPr="00814850">
        <w:rPr>
          <w:sz w:val="16"/>
          <w:szCs w:val="16"/>
        </w:rPr>
        <w:t xml:space="preserve"> Subject to subsequent public consultation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17E" w:rsidRDefault="00FA117E" w:rsidP="00944DC5">
    <w:pPr>
      <w:pStyle w:val="Header"/>
      <w:jc w:val="right"/>
    </w:pPr>
    <w:r>
      <w:rPr>
        <w:noProof/>
        <w:szCs w:val="20"/>
        <w:lang w:val="da-DK" w:eastAsia="da-DK"/>
      </w:rPr>
      <w:drawing>
        <wp:anchor distT="0" distB="0" distL="114300" distR="114300" simplePos="0" relativeHeight="251673600" behindDoc="0" locked="0" layoutInCell="1" allowOverlap="1" wp14:anchorId="41550006" wp14:editId="74EEB095">
          <wp:simplePos x="0" y="0"/>
          <wp:positionH relativeFrom="page">
            <wp:posOffset>5717540</wp:posOffset>
          </wp:positionH>
          <wp:positionV relativeFrom="page">
            <wp:posOffset>648335</wp:posOffset>
          </wp:positionV>
          <wp:extent cx="1461770" cy="546100"/>
          <wp:effectExtent l="25400" t="0" r="11430" b="0"/>
          <wp:wrapNone/>
          <wp:docPr id="1" name="Picture 1"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72576" behindDoc="0" locked="0" layoutInCell="1" allowOverlap="1" wp14:anchorId="03F92C22" wp14:editId="091ECC54">
          <wp:simplePos x="0" y="0"/>
          <wp:positionH relativeFrom="page">
            <wp:posOffset>572770</wp:posOffset>
          </wp:positionH>
          <wp:positionV relativeFrom="page">
            <wp:posOffset>457200</wp:posOffset>
          </wp:positionV>
          <wp:extent cx="889000" cy="889000"/>
          <wp:effectExtent l="25400" t="0" r="0" b="0"/>
          <wp:wrapNone/>
          <wp:docPr id="2" name="Picture 2"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17E" w:rsidRPr="007C5F95" w:rsidRDefault="00FA117E">
    <w:pPr>
      <w:pStyle w:val="Header"/>
      <w:rPr>
        <w:szCs w:val="16"/>
        <w:lang w:val="da-DK"/>
      </w:rPr>
    </w:pPr>
    <w:r>
      <w:rPr>
        <w:lang w:val="da-DK"/>
      </w:rPr>
      <w:t>CEPT REPORT 60 -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8713C3" w:rsidRPr="008713C3">
      <w:rPr>
        <w:noProof/>
        <w:szCs w:val="16"/>
        <w:lang w:val="da-DK"/>
      </w:rPr>
      <w:t>12</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17E" w:rsidRPr="007C5F95" w:rsidRDefault="00FA117E" w:rsidP="00AB46DF">
    <w:pPr>
      <w:pStyle w:val="Header"/>
      <w:jc w:val="right"/>
      <w:rPr>
        <w:szCs w:val="16"/>
        <w:lang w:val="da-DK"/>
      </w:rPr>
    </w:pPr>
    <w:r>
      <w:rPr>
        <w:lang w:val="da-DK"/>
      </w:rPr>
      <w:t>CEPT REPORT 60 -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8713C3" w:rsidRPr="008713C3">
      <w:rPr>
        <w:noProof/>
        <w:szCs w:val="16"/>
        <w:lang w:val="da-DK"/>
      </w:rPr>
      <w:t>13</w:t>
    </w:r>
    <w:r>
      <w:rPr>
        <w:noProof/>
        <w:szCs w:val="16"/>
        <w:lang w:val="da-DK"/>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17E" w:rsidRPr="001223D0" w:rsidRDefault="00FA117E" w:rsidP="00AB46DF">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467A8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34CB3"/>
    <w:multiLevelType w:val="hybridMultilevel"/>
    <w:tmpl w:val="855A425C"/>
    <w:lvl w:ilvl="0" w:tplc="04463DC8">
      <w:start w:val="9"/>
      <w:numFmt w:val="bullet"/>
      <w:lvlText w:val="-"/>
      <w:lvlJc w:val="left"/>
      <w:pPr>
        <w:tabs>
          <w:tab w:val="num" w:pos="360"/>
        </w:tabs>
        <w:ind w:left="360" w:hanging="360"/>
      </w:pPr>
      <w:rPr>
        <w:rFonts w:ascii="Arial" w:eastAsia="MS Mincho" w:hAnsi="Arial" w:cs="Arial"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
    <w:nsid w:val="09356F62"/>
    <w:multiLevelType w:val="hybridMultilevel"/>
    <w:tmpl w:val="B2B8E6FA"/>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6626C"/>
    <w:multiLevelType w:val="hybridMultilevel"/>
    <w:tmpl w:val="B6E04786"/>
    <w:lvl w:ilvl="0" w:tplc="1C8A6162">
      <w:start w:val="1"/>
      <w:numFmt w:val="bullet"/>
      <w:lvlText w:val=""/>
      <w:lvlJc w:val="left"/>
      <w:pPr>
        <w:ind w:left="720" w:hanging="360"/>
      </w:pPr>
      <w:rPr>
        <w:rFonts w:ascii="Wingdings" w:hAnsi="Wingdings" w:hint="default"/>
        <w:color w:val="D2232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5">
    <w:nsid w:val="1BF25586"/>
    <w:multiLevelType w:val="hybridMultilevel"/>
    <w:tmpl w:val="27F8A06A"/>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20A87A02"/>
    <w:multiLevelType w:val="hybridMultilevel"/>
    <w:tmpl w:val="3962F2D4"/>
    <w:lvl w:ilvl="0" w:tplc="FFFFFFFF">
      <w:start w:val="1"/>
      <w:numFmt w:val="bullet"/>
      <w:lvlText w:val=""/>
      <w:lvlJc w:val="left"/>
      <w:pPr>
        <w:tabs>
          <w:tab w:val="num" w:pos="680"/>
        </w:tabs>
        <w:ind w:left="680" w:hanging="340"/>
      </w:pPr>
      <w:rPr>
        <w:rFonts w:ascii="Wingdings" w:hAnsi="Wingdings" w:hint="default"/>
        <w:color w:val="D2232A"/>
      </w:rPr>
    </w:lvl>
    <w:lvl w:ilvl="1" w:tplc="FFFFFFFF">
      <w:start w:val="1"/>
      <w:numFmt w:val="bullet"/>
      <w:lvlText w:val="o"/>
      <w:lvlJc w:val="left"/>
      <w:pPr>
        <w:tabs>
          <w:tab w:val="num" w:pos="759"/>
        </w:tabs>
        <w:ind w:left="759" w:hanging="360"/>
      </w:pPr>
      <w:rPr>
        <w:rFonts w:ascii="Courier New" w:hAnsi="Courier New" w:cs="Times New Roman Bold" w:hint="default"/>
      </w:rPr>
    </w:lvl>
    <w:lvl w:ilvl="2" w:tplc="FFFFFFFF">
      <w:start w:val="1"/>
      <w:numFmt w:val="bullet"/>
      <w:lvlText w:val=""/>
      <w:lvlJc w:val="left"/>
      <w:pPr>
        <w:tabs>
          <w:tab w:val="num" w:pos="1479"/>
        </w:tabs>
        <w:ind w:left="1479" w:hanging="360"/>
      </w:pPr>
      <w:rPr>
        <w:rFonts w:ascii="Wingdings" w:hAnsi="Wingdings" w:hint="default"/>
      </w:rPr>
    </w:lvl>
    <w:lvl w:ilvl="3" w:tplc="FFFFFFFF">
      <w:start w:val="1"/>
      <w:numFmt w:val="bullet"/>
      <w:lvlText w:val=""/>
      <w:lvlJc w:val="left"/>
      <w:pPr>
        <w:tabs>
          <w:tab w:val="num" w:pos="2199"/>
        </w:tabs>
        <w:ind w:left="2199" w:hanging="360"/>
      </w:pPr>
      <w:rPr>
        <w:rFonts w:ascii="Symbol" w:hAnsi="Symbol" w:hint="default"/>
      </w:rPr>
    </w:lvl>
    <w:lvl w:ilvl="4" w:tplc="FFFFFFFF">
      <w:start w:val="1"/>
      <w:numFmt w:val="bullet"/>
      <w:lvlText w:val="o"/>
      <w:lvlJc w:val="left"/>
      <w:pPr>
        <w:tabs>
          <w:tab w:val="num" w:pos="2919"/>
        </w:tabs>
        <w:ind w:left="2919" w:hanging="360"/>
      </w:pPr>
      <w:rPr>
        <w:rFonts w:ascii="Courier New" w:hAnsi="Courier New" w:cs="Times New Roman Bold" w:hint="default"/>
      </w:rPr>
    </w:lvl>
    <w:lvl w:ilvl="5" w:tplc="FFFFFFFF">
      <w:start w:val="1"/>
      <w:numFmt w:val="bullet"/>
      <w:lvlText w:val=""/>
      <w:lvlJc w:val="left"/>
      <w:pPr>
        <w:tabs>
          <w:tab w:val="num" w:pos="3639"/>
        </w:tabs>
        <w:ind w:left="3639" w:hanging="360"/>
      </w:pPr>
      <w:rPr>
        <w:rFonts w:ascii="Wingdings" w:hAnsi="Wingdings" w:hint="default"/>
      </w:rPr>
    </w:lvl>
    <w:lvl w:ilvl="6" w:tplc="FFFFFFFF">
      <w:start w:val="1"/>
      <w:numFmt w:val="bullet"/>
      <w:lvlText w:val=""/>
      <w:lvlJc w:val="left"/>
      <w:pPr>
        <w:tabs>
          <w:tab w:val="num" w:pos="4359"/>
        </w:tabs>
        <w:ind w:left="4359" w:hanging="360"/>
      </w:pPr>
      <w:rPr>
        <w:rFonts w:ascii="Symbol" w:hAnsi="Symbol" w:hint="default"/>
      </w:rPr>
    </w:lvl>
    <w:lvl w:ilvl="7" w:tplc="FFFFFFFF">
      <w:start w:val="1"/>
      <w:numFmt w:val="bullet"/>
      <w:lvlText w:val="o"/>
      <w:lvlJc w:val="left"/>
      <w:pPr>
        <w:tabs>
          <w:tab w:val="num" w:pos="5079"/>
        </w:tabs>
        <w:ind w:left="5079" w:hanging="360"/>
      </w:pPr>
      <w:rPr>
        <w:rFonts w:ascii="Courier New" w:hAnsi="Courier New" w:cs="Times New Roman Bold" w:hint="default"/>
      </w:rPr>
    </w:lvl>
    <w:lvl w:ilvl="8" w:tplc="FFFFFFFF" w:tentative="1">
      <w:start w:val="1"/>
      <w:numFmt w:val="bullet"/>
      <w:lvlText w:val=""/>
      <w:lvlJc w:val="left"/>
      <w:pPr>
        <w:tabs>
          <w:tab w:val="num" w:pos="5799"/>
        </w:tabs>
        <w:ind w:left="5799" w:hanging="360"/>
      </w:pPr>
      <w:rPr>
        <w:rFonts w:ascii="Wingdings" w:hAnsi="Wingdings" w:hint="default"/>
      </w:rPr>
    </w:lvl>
  </w:abstractNum>
  <w:abstractNum w:abstractNumId="7">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nsid w:val="2DBB0A8A"/>
    <w:multiLevelType w:val="hybridMultilevel"/>
    <w:tmpl w:val="0FF23D3E"/>
    <w:lvl w:ilvl="0" w:tplc="56CC27A0">
      <w:start w:val="1"/>
      <w:numFmt w:val="lowerLetter"/>
      <w:lvlText w:val="%1."/>
      <w:lvlJc w:val="left"/>
      <w:pPr>
        <w:ind w:left="1080" w:hanging="360"/>
      </w:pPr>
      <w:rPr>
        <w:rFonts w:ascii="Arial" w:hAnsi="Arial" w:hint="default"/>
        <w:color w:val="C00000"/>
        <w:sz w:val="20"/>
      </w:rPr>
    </w:lvl>
    <w:lvl w:ilvl="1" w:tplc="5762C6A8">
      <w:start w:val="1"/>
      <w:numFmt w:val="decimal"/>
      <w:lvlText w:val="%2."/>
      <w:lvlJc w:val="left"/>
      <w:pPr>
        <w:ind w:left="2160" w:hanging="720"/>
      </w:pPr>
      <w:rPr>
        <w:rFonts w:hint="default"/>
      </w:rPr>
    </w:lvl>
    <w:lvl w:ilvl="2" w:tplc="064CD3C4">
      <w:numFmt w:val="bullet"/>
      <w:lvlText w:val="•"/>
      <w:lvlJc w:val="left"/>
      <w:pPr>
        <w:ind w:left="4620" w:hanging="2280"/>
      </w:pPr>
      <w:rPr>
        <w:rFonts w:ascii="Arial" w:eastAsia="Times New Roman" w:hAnsi="Arial" w:cs="Arial" w:hint="default"/>
      </w:r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0">
    <w:nsid w:val="31640B8E"/>
    <w:multiLevelType w:val="hybridMultilevel"/>
    <w:tmpl w:val="A0F433E6"/>
    <w:lvl w:ilvl="0" w:tplc="B5A617CE">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32A77A34"/>
    <w:multiLevelType w:val="hybridMultilevel"/>
    <w:tmpl w:val="31DAC7DE"/>
    <w:lvl w:ilvl="0" w:tplc="4C0CFF66">
      <w:start w:val="1"/>
      <w:numFmt w:val="bullet"/>
      <w:pStyle w:val="WGNNA-bulleted"/>
      <w:lvlText w:val=""/>
      <w:lvlJc w:val="left"/>
      <w:pPr>
        <w:tabs>
          <w:tab w:val="num" w:pos="372"/>
        </w:tabs>
        <w:ind w:left="372" w:hanging="372"/>
      </w:pPr>
      <w:rPr>
        <w:rFonts w:ascii="Wingdings" w:hAnsi="Wingdings" w:hint="default"/>
        <w:color w:val="auto"/>
      </w:rPr>
    </w:lvl>
    <w:lvl w:ilvl="1" w:tplc="04060019">
      <w:start w:val="1"/>
      <w:numFmt w:val="bullet"/>
      <w:lvlText w:val="o"/>
      <w:lvlJc w:val="left"/>
      <w:pPr>
        <w:tabs>
          <w:tab w:val="num" w:pos="306"/>
        </w:tabs>
        <w:ind w:left="306" w:hanging="360"/>
      </w:pPr>
      <w:rPr>
        <w:rFonts w:ascii="Courier New" w:hAnsi="Courier New" w:hint="default"/>
      </w:rPr>
    </w:lvl>
    <w:lvl w:ilvl="2" w:tplc="0406001B">
      <w:start w:val="1"/>
      <w:numFmt w:val="bullet"/>
      <w:lvlText w:val=""/>
      <w:lvlJc w:val="left"/>
      <w:pPr>
        <w:tabs>
          <w:tab w:val="num" w:pos="1026"/>
        </w:tabs>
        <w:ind w:left="1026" w:hanging="360"/>
      </w:pPr>
      <w:rPr>
        <w:rFonts w:ascii="Wingdings" w:hAnsi="Wingdings" w:hint="default"/>
      </w:rPr>
    </w:lvl>
    <w:lvl w:ilvl="3" w:tplc="0406000F">
      <w:start w:val="1"/>
      <w:numFmt w:val="bullet"/>
      <w:lvlText w:val=""/>
      <w:lvlJc w:val="left"/>
      <w:pPr>
        <w:tabs>
          <w:tab w:val="num" w:pos="1746"/>
        </w:tabs>
        <w:ind w:left="1746" w:hanging="360"/>
      </w:pPr>
      <w:rPr>
        <w:rFonts w:ascii="Symbol" w:hAnsi="Symbol" w:hint="default"/>
      </w:rPr>
    </w:lvl>
    <w:lvl w:ilvl="4" w:tplc="04060019">
      <w:start w:val="1"/>
      <w:numFmt w:val="bullet"/>
      <w:lvlText w:val="o"/>
      <w:lvlJc w:val="left"/>
      <w:pPr>
        <w:tabs>
          <w:tab w:val="num" w:pos="2466"/>
        </w:tabs>
        <w:ind w:left="2466" w:hanging="360"/>
      </w:pPr>
      <w:rPr>
        <w:rFonts w:ascii="Courier New" w:hAnsi="Courier New" w:hint="default"/>
      </w:rPr>
    </w:lvl>
    <w:lvl w:ilvl="5" w:tplc="0406001B">
      <w:start w:val="1"/>
      <w:numFmt w:val="bullet"/>
      <w:lvlText w:val=""/>
      <w:lvlJc w:val="left"/>
      <w:pPr>
        <w:tabs>
          <w:tab w:val="num" w:pos="3186"/>
        </w:tabs>
        <w:ind w:left="3186" w:hanging="360"/>
      </w:pPr>
      <w:rPr>
        <w:rFonts w:ascii="Wingdings" w:hAnsi="Wingdings" w:hint="default"/>
      </w:rPr>
    </w:lvl>
    <w:lvl w:ilvl="6" w:tplc="0406000F">
      <w:start w:val="1"/>
      <w:numFmt w:val="bullet"/>
      <w:lvlText w:val=""/>
      <w:lvlJc w:val="left"/>
      <w:pPr>
        <w:tabs>
          <w:tab w:val="num" w:pos="3906"/>
        </w:tabs>
        <w:ind w:left="3906" w:hanging="360"/>
      </w:pPr>
      <w:rPr>
        <w:rFonts w:ascii="Symbol" w:hAnsi="Symbol" w:hint="default"/>
      </w:rPr>
    </w:lvl>
    <w:lvl w:ilvl="7" w:tplc="04060019">
      <w:start w:val="1"/>
      <w:numFmt w:val="bullet"/>
      <w:lvlText w:val="o"/>
      <w:lvlJc w:val="left"/>
      <w:pPr>
        <w:tabs>
          <w:tab w:val="num" w:pos="4626"/>
        </w:tabs>
        <w:ind w:left="4626" w:hanging="360"/>
      </w:pPr>
      <w:rPr>
        <w:rFonts w:ascii="Courier New" w:hAnsi="Courier New" w:hint="default"/>
      </w:rPr>
    </w:lvl>
    <w:lvl w:ilvl="8" w:tplc="0406001B">
      <w:start w:val="1"/>
      <w:numFmt w:val="bullet"/>
      <w:lvlText w:val=""/>
      <w:lvlJc w:val="left"/>
      <w:pPr>
        <w:tabs>
          <w:tab w:val="num" w:pos="5346"/>
        </w:tabs>
        <w:ind w:left="5346" w:hanging="360"/>
      </w:pPr>
      <w:rPr>
        <w:rFonts w:ascii="Wingdings" w:hAnsi="Wingdings" w:hint="default"/>
      </w:rPr>
    </w:lvl>
  </w:abstractNum>
  <w:abstractNum w:abstractNumId="12">
    <w:nsid w:val="35757B9A"/>
    <w:multiLevelType w:val="hybridMultilevel"/>
    <w:tmpl w:val="B1AED8FE"/>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Aria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Arial"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3D163F7A"/>
    <w:multiLevelType w:val="multilevel"/>
    <w:tmpl w:val="02CEEBD6"/>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5">
    <w:nsid w:val="3D386088"/>
    <w:multiLevelType w:val="hybridMultilevel"/>
    <w:tmpl w:val="FE4C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9C05E9"/>
    <w:multiLevelType w:val="hybridMultilevel"/>
    <w:tmpl w:val="AE9E8860"/>
    <w:lvl w:ilvl="0" w:tplc="1C8A6162">
      <w:start w:val="1"/>
      <w:numFmt w:val="bullet"/>
      <w:lvlText w:val=""/>
      <w:lvlJc w:val="left"/>
      <w:pPr>
        <w:ind w:left="720" w:hanging="360"/>
      </w:pPr>
      <w:rPr>
        <w:rFonts w:ascii="Wingdings" w:hAnsi="Wingdings" w:hint="default"/>
        <w:color w:val="D2232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27E184A"/>
    <w:multiLevelType w:val="hybridMultilevel"/>
    <w:tmpl w:val="F51A9A3A"/>
    <w:lvl w:ilvl="0" w:tplc="599AD8DA">
      <w:start w:val="1"/>
      <w:numFmt w:val="bullet"/>
      <w:pStyle w:val="ECCParBulleted"/>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18">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431502F"/>
    <w:multiLevelType w:val="hybridMultilevel"/>
    <w:tmpl w:val="51943514"/>
    <w:lvl w:ilvl="0" w:tplc="CAAC2D2E">
      <w:start w:val="1"/>
      <w:numFmt w:val="bullet"/>
      <w:lvlText w:val=""/>
      <w:lvlJc w:val="left"/>
      <w:pPr>
        <w:ind w:left="6" w:hanging="360"/>
      </w:pPr>
      <w:rPr>
        <w:rFonts w:ascii="Wingdings" w:hAnsi="Wingdings" w:hint="default"/>
        <w:color w:val="D2232A"/>
      </w:rPr>
    </w:lvl>
    <w:lvl w:ilvl="1" w:tplc="040C0003" w:tentative="1">
      <w:start w:val="1"/>
      <w:numFmt w:val="bullet"/>
      <w:lvlText w:val="o"/>
      <w:lvlJc w:val="left"/>
      <w:pPr>
        <w:ind w:left="726" w:hanging="360"/>
      </w:pPr>
      <w:rPr>
        <w:rFonts w:ascii="Courier New" w:hAnsi="Courier New" w:cs="Courier New" w:hint="default"/>
      </w:rPr>
    </w:lvl>
    <w:lvl w:ilvl="2" w:tplc="040C0005" w:tentative="1">
      <w:start w:val="1"/>
      <w:numFmt w:val="bullet"/>
      <w:lvlText w:val=""/>
      <w:lvlJc w:val="left"/>
      <w:pPr>
        <w:ind w:left="1446" w:hanging="360"/>
      </w:pPr>
      <w:rPr>
        <w:rFonts w:ascii="Wingdings" w:hAnsi="Wingdings" w:hint="default"/>
      </w:rPr>
    </w:lvl>
    <w:lvl w:ilvl="3" w:tplc="040C0001" w:tentative="1">
      <w:start w:val="1"/>
      <w:numFmt w:val="bullet"/>
      <w:lvlText w:val=""/>
      <w:lvlJc w:val="left"/>
      <w:pPr>
        <w:ind w:left="2166" w:hanging="360"/>
      </w:pPr>
      <w:rPr>
        <w:rFonts w:ascii="Symbol" w:hAnsi="Symbol" w:hint="default"/>
      </w:rPr>
    </w:lvl>
    <w:lvl w:ilvl="4" w:tplc="040C0003" w:tentative="1">
      <w:start w:val="1"/>
      <w:numFmt w:val="bullet"/>
      <w:lvlText w:val="o"/>
      <w:lvlJc w:val="left"/>
      <w:pPr>
        <w:ind w:left="2886" w:hanging="360"/>
      </w:pPr>
      <w:rPr>
        <w:rFonts w:ascii="Courier New" w:hAnsi="Courier New" w:cs="Courier New" w:hint="default"/>
      </w:rPr>
    </w:lvl>
    <w:lvl w:ilvl="5" w:tplc="040C0005" w:tentative="1">
      <w:start w:val="1"/>
      <w:numFmt w:val="bullet"/>
      <w:lvlText w:val=""/>
      <w:lvlJc w:val="left"/>
      <w:pPr>
        <w:ind w:left="3606" w:hanging="360"/>
      </w:pPr>
      <w:rPr>
        <w:rFonts w:ascii="Wingdings" w:hAnsi="Wingdings" w:hint="default"/>
      </w:rPr>
    </w:lvl>
    <w:lvl w:ilvl="6" w:tplc="040C0001" w:tentative="1">
      <w:start w:val="1"/>
      <w:numFmt w:val="bullet"/>
      <w:lvlText w:val=""/>
      <w:lvlJc w:val="left"/>
      <w:pPr>
        <w:ind w:left="4326" w:hanging="360"/>
      </w:pPr>
      <w:rPr>
        <w:rFonts w:ascii="Symbol" w:hAnsi="Symbol" w:hint="default"/>
      </w:rPr>
    </w:lvl>
    <w:lvl w:ilvl="7" w:tplc="040C0003" w:tentative="1">
      <w:start w:val="1"/>
      <w:numFmt w:val="bullet"/>
      <w:lvlText w:val="o"/>
      <w:lvlJc w:val="left"/>
      <w:pPr>
        <w:ind w:left="5046" w:hanging="360"/>
      </w:pPr>
      <w:rPr>
        <w:rFonts w:ascii="Courier New" w:hAnsi="Courier New" w:cs="Courier New" w:hint="default"/>
      </w:rPr>
    </w:lvl>
    <w:lvl w:ilvl="8" w:tplc="040C0005" w:tentative="1">
      <w:start w:val="1"/>
      <w:numFmt w:val="bullet"/>
      <w:lvlText w:val=""/>
      <w:lvlJc w:val="left"/>
      <w:pPr>
        <w:ind w:left="5766" w:hanging="360"/>
      </w:pPr>
      <w:rPr>
        <w:rFonts w:ascii="Wingdings" w:hAnsi="Wingdings" w:hint="default"/>
      </w:rPr>
    </w:lvl>
  </w:abstractNum>
  <w:abstractNum w:abstractNumId="20">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6A0129"/>
    <w:multiLevelType w:val="hybridMultilevel"/>
    <w:tmpl w:val="6D9EB81C"/>
    <w:lvl w:ilvl="0" w:tplc="1C8A6162">
      <w:start w:val="1"/>
      <w:numFmt w:val="bullet"/>
      <w:lvlText w:val=""/>
      <w:lvlJc w:val="left"/>
      <w:pPr>
        <w:ind w:left="720" w:hanging="360"/>
      </w:pPr>
      <w:rPr>
        <w:rFonts w:ascii="Wingdings" w:hAnsi="Wingdings" w:hint="default"/>
        <w:color w:val="D2232A"/>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8120C77"/>
    <w:multiLevelType w:val="hybridMultilevel"/>
    <w:tmpl w:val="2F88FF00"/>
    <w:lvl w:ilvl="0" w:tplc="6D4EEA08">
      <w:start w:val="1"/>
      <w:numFmt w:val="lowerLetter"/>
      <w:lvlText w:val="(%1)"/>
      <w:lvlJc w:val="left"/>
      <w:pPr>
        <w:ind w:left="1080" w:hanging="360"/>
      </w:pPr>
      <w:rPr>
        <w:rFonts w:hint="default"/>
        <w:color w:val="FF00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nsid w:val="482453B2"/>
    <w:multiLevelType w:val="hybridMultilevel"/>
    <w:tmpl w:val="386600A2"/>
    <w:lvl w:ilvl="0" w:tplc="1C8A6162">
      <w:start w:val="1"/>
      <w:numFmt w:val="bullet"/>
      <w:lvlText w:val=""/>
      <w:lvlJc w:val="left"/>
      <w:pPr>
        <w:ind w:left="770" w:hanging="360"/>
      </w:pPr>
      <w:rPr>
        <w:rFonts w:ascii="Wingdings" w:hAnsi="Wingdings" w:hint="default"/>
        <w:color w:val="D2232A"/>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4">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4A5145E4"/>
    <w:multiLevelType w:val="hybridMultilevel"/>
    <w:tmpl w:val="42621B78"/>
    <w:lvl w:ilvl="0" w:tplc="A0CE8A8A">
      <w:start w:val="5"/>
      <w:numFmt w:val="decimal"/>
      <w:lvlText w:val="%1."/>
      <w:lvlJc w:val="left"/>
      <w:pPr>
        <w:ind w:left="360" w:hanging="360"/>
      </w:pPr>
      <w:rPr>
        <w:rFonts w:cs="Arial" w:hint="default"/>
        <w:b/>
        <w:color w:val="D2232A"/>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4F606495"/>
    <w:multiLevelType w:val="hybridMultilevel"/>
    <w:tmpl w:val="CE18F64A"/>
    <w:lvl w:ilvl="0" w:tplc="1C8A6162">
      <w:start w:val="1"/>
      <w:numFmt w:val="bullet"/>
      <w:lvlText w:val=""/>
      <w:lvlJc w:val="left"/>
      <w:pPr>
        <w:ind w:left="720" w:hanging="360"/>
      </w:pPr>
      <w:rPr>
        <w:rFonts w:ascii="Wingdings" w:hAnsi="Wingdings" w:hint="default"/>
        <w:color w:val="D2232A"/>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8A33532"/>
    <w:multiLevelType w:val="hybridMultilevel"/>
    <w:tmpl w:val="E014D9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59932CB6"/>
    <w:multiLevelType w:val="hybridMultilevel"/>
    <w:tmpl w:val="ED9E7214"/>
    <w:lvl w:ilvl="0" w:tplc="1C8A6162">
      <w:start w:val="1"/>
      <w:numFmt w:val="bullet"/>
      <w:lvlText w:val=""/>
      <w:lvlJc w:val="left"/>
      <w:pPr>
        <w:ind w:left="720" w:hanging="360"/>
      </w:pPr>
      <w:rPr>
        <w:rFonts w:ascii="Wingdings" w:hAnsi="Wingdings" w:hint="default"/>
        <w:color w:val="D2232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B423A74"/>
    <w:multiLevelType w:val="hybridMultilevel"/>
    <w:tmpl w:val="5C385AFC"/>
    <w:lvl w:ilvl="0" w:tplc="1C8A6162">
      <w:start w:val="1"/>
      <w:numFmt w:val="bullet"/>
      <w:lvlText w:val=""/>
      <w:lvlJc w:val="left"/>
      <w:pPr>
        <w:ind w:left="720" w:hanging="360"/>
      </w:pPr>
      <w:rPr>
        <w:rFonts w:ascii="Wingdings" w:hAnsi="Wingdings" w:hint="default"/>
        <w:color w:val="D2232A"/>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1882FC1"/>
    <w:multiLevelType w:val="hybridMultilevel"/>
    <w:tmpl w:val="9BE4E982"/>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1">
    <w:nsid w:val="7412367D"/>
    <w:multiLevelType w:val="hybridMultilevel"/>
    <w:tmpl w:val="D69E0AA0"/>
    <w:lvl w:ilvl="0" w:tplc="1C8A6162">
      <w:start w:val="1"/>
      <w:numFmt w:val="bullet"/>
      <w:lvlText w:val=""/>
      <w:lvlJc w:val="left"/>
      <w:pPr>
        <w:ind w:left="1851" w:hanging="360"/>
      </w:pPr>
      <w:rPr>
        <w:rFonts w:ascii="Wingdings" w:hAnsi="Wingdings" w:hint="default"/>
        <w:color w:val="D2232A"/>
      </w:rPr>
    </w:lvl>
    <w:lvl w:ilvl="1" w:tplc="08090003">
      <w:start w:val="1"/>
      <w:numFmt w:val="bullet"/>
      <w:lvlText w:val="o"/>
      <w:lvlJc w:val="left"/>
      <w:pPr>
        <w:ind w:left="2571" w:hanging="360"/>
      </w:pPr>
      <w:rPr>
        <w:rFonts w:ascii="Courier New" w:hAnsi="Courier New" w:cs="Courier New" w:hint="default"/>
      </w:rPr>
    </w:lvl>
    <w:lvl w:ilvl="2" w:tplc="08090005">
      <w:start w:val="1"/>
      <w:numFmt w:val="bullet"/>
      <w:lvlText w:val=""/>
      <w:lvlJc w:val="left"/>
      <w:pPr>
        <w:ind w:left="3291" w:hanging="360"/>
      </w:pPr>
      <w:rPr>
        <w:rFonts w:ascii="Wingdings" w:hAnsi="Wingdings" w:hint="default"/>
      </w:rPr>
    </w:lvl>
    <w:lvl w:ilvl="3" w:tplc="08090001">
      <w:start w:val="1"/>
      <w:numFmt w:val="bullet"/>
      <w:lvlText w:val=""/>
      <w:lvlJc w:val="left"/>
      <w:pPr>
        <w:ind w:left="4011" w:hanging="360"/>
      </w:pPr>
      <w:rPr>
        <w:rFonts w:ascii="Symbol" w:hAnsi="Symbol" w:hint="default"/>
      </w:rPr>
    </w:lvl>
    <w:lvl w:ilvl="4" w:tplc="08090003">
      <w:start w:val="1"/>
      <w:numFmt w:val="bullet"/>
      <w:lvlText w:val="o"/>
      <w:lvlJc w:val="left"/>
      <w:pPr>
        <w:ind w:left="4731" w:hanging="360"/>
      </w:pPr>
      <w:rPr>
        <w:rFonts w:ascii="Courier New" w:hAnsi="Courier New" w:cs="Courier New" w:hint="default"/>
      </w:rPr>
    </w:lvl>
    <w:lvl w:ilvl="5" w:tplc="08090005">
      <w:start w:val="1"/>
      <w:numFmt w:val="bullet"/>
      <w:lvlText w:val=""/>
      <w:lvlJc w:val="left"/>
      <w:pPr>
        <w:ind w:left="5451" w:hanging="360"/>
      </w:pPr>
      <w:rPr>
        <w:rFonts w:ascii="Wingdings" w:hAnsi="Wingdings" w:hint="default"/>
      </w:rPr>
    </w:lvl>
    <w:lvl w:ilvl="6" w:tplc="08090001">
      <w:start w:val="1"/>
      <w:numFmt w:val="bullet"/>
      <w:lvlText w:val=""/>
      <w:lvlJc w:val="left"/>
      <w:pPr>
        <w:ind w:left="6171" w:hanging="360"/>
      </w:pPr>
      <w:rPr>
        <w:rFonts w:ascii="Symbol" w:hAnsi="Symbol" w:hint="default"/>
      </w:rPr>
    </w:lvl>
    <w:lvl w:ilvl="7" w:tplc="08090003">
      <w:start w:val="1"/>
      <w:numFmt w:val="bullet"/>
      <w:lvlText w:val="o"/>
      <w:lvlJc w:val="left"/>
      <w:pPr>
        <w:ind w:left="6891" w:hanging="360"/>
      </w:pPr>
      <w:rPr>
        <w:rFonts w:ascii="Courier New" w:hAnsi="Courier New" w:cs="Courier New" w:hint="default"/>
      </w:rPr>
    </w:lvl>
    <w:lvl w:ilvl="8" w:tplc="08090005">
      <w:start w:val="1"/>
      <w:numFmt w:val="bullet"/>
      <w:lvlText w:val=""/>
      <w:lvlJc w:val="left"/>
      <w:pPr>
        <w:ind w:left="7611" w:hanging="360"/>
      </w:pPr>
      <w:rPr>
        <w:rFonts w:ascii="Wingdings" w:hAnsi="Wingdings" w:hint="default"/>
      </w:rPr>
    </w:lvl>
  </w:abstractNum>
  <w:abstractNum w:abstractNumId="32">
    <w:nsid w:val="7B3212E4"/>
    <w:multiLevelType w:val="multilevel"/>
    <w:tmpl w:val="15582302"/>
    <w:lvl w:ilvl="0">
      <w:start w:val="1"/>
      <w:numFmt w:val="decimal"/>
      <w:pStyle w:val="ECCTabletitle"/>
      <w:suff w:val="space"/>
      <w:lvlText w:val="Table %1:"/>
      <w:lvlJc w:val="left"/>
      <w:pPr>
        <w:ind w:left="3196" w:hanging="360"/>
      </w:pPr>
      <w:rPr>
        <w:rFonts w:ascii="Arial" w:hAnsi="Arial" w:hint="default"/>
        <w:b/>
        <w:i w:val="0"/>
        <w:color w:val="D2232A"/>
        <w:sz w:val="20"/>
      </w:rPr>
    </w:lvl>
    <w:lvl w:ilvl="1">
      <w:start w:val="1"/>
      <w:numFmt w:val="decimal"/>
      <w:lvlText w:val="%1.%2."/>
      <w:lvlJc w:val="left"/>
      <w:pPr>
        <w:tabs>
          <w:tab w:val="num" w:pos="2919"/>
        </w:tabs>
        <w:ind w:left="2919" w:hanging="432"/>
      </w:pPr>
      <w:rPr>
        <w:rFonts w:hint="default"/>
      </w:rPr>
    </w:lvl>
    <w:lvl w:ilvl="2">
      <w:start w:val="1"/>
      <w:numFmt w:val="decimal"/>
      <w:lvlText w:val="%1.%2.%3."/>
      <w:lvlJc w:val="left"/>
      <w:pPr>
        <w:tabs>
          <w:tab w:val="num" w:pos="3567"/>
        </w:tabs>
        <w:ind w:left="3351" w:hanging="504"/>
      </w:pPr>
      <w:rPr>
        <w:rFonts w:hint="default"/>
      </w:rPr>
    </w:lvl>
    <w:lvl w:ilvl="3">
      <w:start w:val="1"/>
      <w:numFmt w:val="decimal"/>
      <w:lvlText w:val="%1.%2.%3.%4."/>
      <w:lvlJc w:val="left"/>
      <w:pPr>
        <w:tabs>
          <w:tab w:val="num" w:pos="3927"/>
        </w:tabs>
        <w:ind w:left="3855" w:hanging="648"/>
      </w:pPr>
      <w:rPr>
        <w:rFonts w:hint="default"/>
      </w:rPr>
    </w:lvl>
    <w:lvl w:ilvl="4">
      <w:start w:val="1"/>
      <w:numFmt w:val="decimal"/>
      <w:lvlText w:val="%1.%2.%3.%4.%5."/>
      <w:lvlJc w:val="left"/>
      <w:pPr>
        <w:tabs>
          <w:tab w:val="num" w:pos="4647"/>
        </w:tabs>
        <w:ind w:left="4359" w:hanging="792"/>
      </w:pPr>
      <w:rPr>
        <w:rFonts w:hint="default"/>
      </w:rPr>
    </w:lvl>
    <w:lvl w:ilvl="5">
      <w:start w:val="1"/>
      <w:numFmt w:val="decimal"/>
      <w:lvlText w:val="%1.%2.%3.%4.%5.%6."/>
      <w:lvlJc w:val="left"/>
      <w:pPr>
        <w:tabs>
          <w:tab w:val="num" w:pos="5007"/>
        </w:tabs>
        <w:ind w:left="4863" w:hanging="936"/>
      </w:pPr>
      <w:rPr>
        <w:rFonts w:hint="default"/>
      </w:rPr>
    </w:lvl>
    <w:lvl w:ilvl="6">
      <w:start w:val="1"/>
      <w:numFmt w:val="decimal"/>
      <w:lvlText w:val="%1.%2.%3.%4.%5.%6.%7."/>
      <w:lvlJc w:val="left"/>
      <w:pPr>
        <w:tabs>
          <w:tab w:val="num" w:pos="5727"/>
        </w:tabs>
        <w:ind w:left="5367" w:hanging="1080"/>
      </w:pPr>
      <w:rPr>
        <w:rFonts w:hint="default"/>
      </w:rPr>
    </w:lvl>
    <w:lvl w:ilvl="7">
      <w:start w:val="1"/>
      <w:numFmt w:val="decimal"/>
      <w:lvlText w:val="%1.%2.%3.%4.%5.%6.%7.%8."/>
      <w:lvlJc w:val="left"/>
      <w:pPr>
        <w:tabs>
          <w:tab w:val="num" w:pos="6087"/>
        </w:tabs>
        <w:ind w:left="5871" w:hanging="1224"/>
      </w:pPr>
      <w:rPr>
        <w:rFonts w:hint="default"/>
      </w:rPr>
    </w:lvl>
    <w:lvl w:ilvl="8">
      <w:start w:val="1"/>
      <w:numFmt w:val="decimal"/>
      <w:lvlText w:val="%1.%2.%3.%4.%5.%6.%7.%8.%9."/>
      <w:lvlJc w:val="left"/>
      <w:pPr>
        <w:tabs>
          <w:tab w:val="num" w:pos="6807"/>
        </w:tabs>
        <w:ind w:left="6447" w:hanging="1440"/>
      </w:pPr>
      <w:rPr>
        <w:rFonts w:hint="default"/>
      </w:rPr>
    </w:lvl>
  </w:abstractNum>
  <w:abstractNum w:abstractNumId="33">
    <w:nsid w:val="7E8172D4"/>
    <w:multiLevelType w:val="multilevel"/>
    <w:tmpl w:val="121866B2"/>
    <w:lvl w:ilvl="0">
      <w:start w:val="1"/>
      <w:numFmt w:val="decimal"/>
      <w:pStyle w:val="BulletList1"/>
      <w:lvlText w:val=""/>
      <w:lvlJc w:val="left"/>
      <w:pPr>
        <w:tabs>
          <w:tab w:val="num" w:pos="400"/>
        </w:tabs>
        <w:ind w:left="400" w:hanging="400"/>
      </w:pPr>
      <w:rPr>
        <w:rFonts w:ascii="Symbol" w:hAnsi="Symbol" w:cs="Times New Roman" w:hint="default"/>
        <w:color w:val="4F2683"/>
      </w:rPr>
    </w:lvl>
    <w:lvl w:ilvl="1">
      <w:start w:val="1"/>
      <w:numFmt w:val="lowerLetter"/>
      <w:pStyle w:val="BulletList2"/>
      <w:lvlText w:val="–"/>
      <w:lvlJc w:val="left"/>
      <w:pPr>
        <w:tabs>
          <w:tab w:val="num" w:pos="800"/>
        </w:tabs>
        <w:ind w:left="800" w:hanging="400"/>
      </w:pPr>
      <w:rPr>
        <w:rFonts w:ascii="Arial" w:hAnsi="Arial" w:cs="Symbol"/>
        <w:color w:val="4F2683"/>
      </w:rPr>
    </w:lvl>
    <w:lvl w:ilvl="2">
      <w:start w:val="1"/>
      <w:numFmt w:val="lowerRoman"/>
      <w:pStyle w:val="BulletList3"/>
      <w:lvlText w:val="–"/>
      <w:lvlJc w:val="left"/>
      <w:pPr>
        <w:tabs>
          <w:tab w:val="num" w:pos="1200"/>
        </w:tabs>
        <w:ind w:left="1200" w:hanging="400"/>
      </w:pPr>
      <w:rPr>
        <w:rFonts w:ascii="Arial" w:hAnsi="Arial" w:cs="Symbol"/>
        <w:color w:val="4F2683"/>
      </w:rPr>
    </w:lvl>
    <w:lvl w:ilvl="3">
      <w:start w:val="1"/>
      <w:numFmt w:val="decimal"/>
      <w:pStyle w:val="BulletList4"/>
      <w:lvlText w:val="·"/>
      <w:lvlJc w:val="left"/>
      <w:pPr>
        <w:tabs>
          <w:tab w:val="num" w:pos="1360"/>
        </w:tabs>
        <w:ind w:left="1360" w:hanging="340"/>
      </w:pPr>
      <w:rPr>
        <w:rFonts w:ascii="Symbol" w:hAnsi="Symbol" w:cs="Times New Roman" w:hint="default"/>
      </w:rPr>
    </w:lvl>
    <w:lvl w:ilvl="4">
      <w:start w:val="1"/>
      <w:numFmt w:val="lowerLetter"/>
      <w:pStyle w:val="BulletList5"/>
      <w:lvlText w:val="·"/>
      <w:lvlJc w:val="left"/>
      <w:pPr>
        <w:tabs>
          <w:tab w:val="num" w:pos="1700"/>
        </w:tabs>
        <w:ind w:left="1700" w:hanging="340"/>
      </w:pPr>
      <w:rPr>
        <w:rFonts w:ascii="Symbol" w:hAnsi="Symbol" w:cs="Times New Roman" w:hint="default"/>
      </w:rPr>
    </w:lvl>
    <w:lvl w:ilvl="5">
      <w:start w:val="1"/>
      <w:numFmt w:val="lowerRoman"/>
      <w:pStyle w:val="BulletList6"/>
      <w:lvlText w:val="·"/>
      <w:lvlJc w:val="left"/>
      <w:pPr>
        <w:tabs>
          <w:tab w:val="num" w:pos="2040"/>
        </w:tabs>
        <w:ind w:left="2040" w:hanging="340"/>
      </w:pPr>
      <w:rPr>
        <w:rFonts w:ascii="Symbol" w:hAnsi="Symbol" w:cs="Times New Roman" w:hint="default"/>
      </w:rPr>
    </w:lvl>
    <w:lvl w:ilvl="6">
      <w:start w:val="1"/>
      <w:numFmt w:val="decimal"/>
      <w:pStyle w:val="BulletList7"/>
      <w:lvlText w:val="·"/>
      <w:lvlJc w:val="left"/>
      <w:pPr>
        <w:tabs>
          <w:tab w:val="num" w:pos="2380"/>
        </w:tabs>
        <w:ind w:left="2380" w:hanging="340"/>
      </w:pPr>
      <w:rPr>
        <w:rFonts w:ascii="Symbol" w:hAnsi="Symbol" w:cs="Times New Roman" w:hint="default"/>
      </w:rPr>
    </w:lvl>
    <w:lvl w:ilvl="7">
      <w:start w:val="1"/>
      <w:numFmt w:val="lowerLetter"/>
      <w:pStyle w:val="BulletList8"/>
      <w:lvlText w:val="·"/>
      <w:lvlJc w:val="left"/>
      <w:pPr>
        <w:tabs>
          <w:tab w:val="num" w:pos="2720"/>
        </w:tabs>
        <w:ind w:left="2720" w:hanging="340"/>
      </w:pPr>
      <w:rPr>
        <w:rFonts w:ascii="Symbol" w:hAnsi="Symbol" w:cs="Times New Roman" w:hint="default"/>
      </w:rPr>
    </w:lvl>
    <w:lvl w:ilvl="8">
      <w:start w:val="1"/>
      <w:numFmt w:val="lowerRoman"/>
      <w:pStyle w:val="BulletList9"/>
      <w:lvlText w:val="·"/>
      <w:lvlJc w:val="left"/>
      <w:pPr>
        <w:tabs>
          <w:tab w:val="num" w:pos="3060"/>
        </w:tabs>
        <w:ind w:left="3060" w:hanging="340"/>
      </w:pPr>
      <w:rPr>
        <w:rFonts w:ascii="Symbol" w:hAnsi="Symbol" w:cs="Times New Roman" w:hint="default"/>
      </w:rPr>
    </w:lvl>
  </w:abstractNum>
  <w:num w:numId="1">
    <w:abstractNumId w:val="13"/>
  </w:num>
  <w:num w:numId="2">
    <w:abstractNumId w:val="32"/>
  </w:num>
  <w:num w:numId="3">
    <w:abstractNumId w:val="24"/>
  </w:num>
  <w:num w:numId="4">
    <w:abstractNumId w:val="7"/>
  </w:num>
  <w:num w:numId="5">
    <w:abstractNumId w:val="20"/>
  </w:num>
  <w:num w:numId="6">
    <w:abstractNumId w:val="20"/>
    <w:lvlOverride w:ilvl="0">
      <w:startOverride w:val="1"/>
    </w:lvlOverride>
  </w:num>
  <w:num w:numId="7">
    <w:abstractNumId w:val="4"/>
  </w:num>
  <w:num w:numId="8">
    <w:abstractNumId w:val="14"/>
  </w:num>
  <w:num w:numId="9">
    <w:abstractNumId w:val="8"/>
  </w:num>
  <w:num w:numId="10">
    <w:abstractNumId w:val="18"/>
  </w:num>
  <w:num w:numId="11">
    <w:abstractNumId w:val="0"/>
  </w:num>
  <w:num w:numId="12">
    <w:abstractNumId w:val="11"/>
  </w:num>
  <w:num w:numId="13">
    <w:abstractNumId w:val="17"/>
  </w:num>
  <w:num w:numId="14">
    <w:abstractNumId w:val="1"/>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9"/>
  </w:num>
  <w:num w:numId="18">
    <w:abstractNumId w:val="26"/>
  </w:num>
  <w:num w:numId="19">
    <w:abstractNumId w:val="2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31"/>
  </w:num>
  <w:num w:numId="23">
    <w:abstractNumId w:val="10"/>
  </w:num>
  <w:num w:numId="24">
    <w:abstractNumId w:val="2"/>
  </w:num>
  <w:num w:numId="25">
    <w:abstractNumId w:val="12"/>
  </w:num>
  <w:num w:numId="26">
    <w:abstractNumId w:val="6"/>
  </w:num>
  <w:num w:numId="27">
    <w:abstractNumId w:val="21"/>
  </w:num>
  <w:num w:numId="28">
    <w:abstractNumId w:val="19"/>
  </w:num>
  <w:num w:numId="29">
    <w:abstractNumId w:val="16"/>
  </w:num>
  <w:num w:numId="30">
    <w:abstractNumId w:val="25"/>
  </w:num>
  <w:num w:numId="31">
    <w:abstractNumId w:val="30"/>
  </w:num>
  <w:num w:numId="32">
    <w:abstractNumId w:val="23"/>
  </w:num>
  <w:num w:numId="33">
    <w:abstractNumId w:val="17"/>
  </w:num>
  <w:num w:numId="34">
    <w:abstractNumId w:val="28"/>
  </w:num>
  <w:num w:numId="35">
    <w:abstractNumId w:val="27"/>
  </w:num>
  <w:num w:numId="36">
    <w:abstractNumId w:val="3"/>
  </w:num>
  <w:num w:numId="3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6145">
      <o:colormru v:ext="edit" colors="#7b6c58,#887e6e,#b0a696,#82828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182"/>
    <w:rsid w:val="0000568B"/>
    <w:rsid w:val="000068FF"/>
    <w:rsid w:val="000226FB"/>
    <w:rsid w:val="00040EF0"/>
    <w:rsid w:val="00054F01"/>
    <w:rsid w:val="00056B29"/>
    <w:rsid w:val="00056B7C"/>
    <w:rsid w:val="00074101"/>
    <w:rsid w:val="00080AF2"/>
    <w:rsid w:val="00085C4C"/>
    <w:rsid w:val="00095BD5"/>
    <w:rsid w:val="000C30BC"/>
    <w:rsid w:val="000C3561"/>
    <w:rsid w:val="000E1A51"/>
    <w:rsid w:val="000F7A81"/>
    <w:rsid w:val="00126649"/>
    <w:rsid w:val="0013552B"/>
    <w:rsid w:val="00142F06"/>
    <w:rsid w:val="00147881"/>
    <w:rsid w:val="001507A8"/>
    <w:rsid w:val="0018414A"/>
    <w:rsid w:val="00194C26"/>
    <w:rsid w:val="0019670F"/>
    <w:rsid w:val="00197ED2"/>
    <w:rsid w:val="001A0802"/>
    <w:rsid w:val="001A4B8A"/>
    <w:rsid w:val="001A5D3E"/>
    <w:rsid w:val="001A5D5C"/>
    <w:rsid w:val="001A690B"/>
    <w:rsid w:val="001B7094"/>
    <w:rsid w:val="001B7273"/>
    <w:rsid w:val="001C4D17"/>
    <w:rsid w:val="001D4B3B"/>
    <w:rsid w:val="001F6E73"/>
    <w:rsid w:val="002044AA"/>
    <w:rsid w:val="00211756"/>
    <w:rsid w:val="0021214B"/>
    <w:rsid w:val="00216BE1"/>
    <w:rsid w:val="002209A7"/>
    <w:rsid w:val="00223B39"/>
    <w:rsid w:val="002261ED"/>
    <w:rsid w:val="00231D76"/>
    <w:rsid w:val="002413E3"/>
    <w:rsid w:val="00241A03"/>
    <w:rsid w:val="00247188"/>
    <w:rsid w:val="002528E4"/>
    <w:rsid w:val="00262262"/>
    <w:rsid w:val="002626C1"/>
    <w:rsid w:val="00264738"/>
    <w:rsid w:val="002653B9"/>
    <w:rsid w:val="0028467B"/>
    <w:rsid w:val="002877F2"/>
    <w:rsid w:val="002B119B"/>
    <w:rsid w:val="002C4F48"/>
    <w:rsid w:val="002D1900"/>
    <w:rsid w:val="002D6DA6"/>
    <w:rsid w:val="003033B2"/>
    <w:rsid w:val="003053BC"/>
    <w:rsid w:val="00311B32"/>
    <w:rsid w:val="00313C95"/>
    <w:rsid w:val="0033190F"/>
    <w:rsid w:val="00341773"/>
    <w:rsid w:val="00343C6C"/>
    <w:rsid w:val="00347C1F"/>
    <w:rsid w:val="003519B5"/>
    <w:rsid w:val="00360D3C"/>
    <w:rsid w:val="003704F4"/>
    <w:rsid w:val="0039379F"/>
    <w:rsid w:val="00393D2D"/>
    <w:rsid w:val="00396346"/>
    <w:rsid w:val="003A1647"/>
    <w:rsid w:val="003C3EE4"/>
    <w:rsid w:val="003C62DB"/>
    <w:rsid w:val="003D2CFF"/>
    <w:rsid w:val="003E0C1B"/>
    <w:rsid w:val="003E5F42"/>
    <w:rsid w:val="003F2442"/>
    <w:rsid w:val="003F565D"/>
    <w:rsid w:val="0040714C"/>
    <w:rsid w:val="004209A3"/>
    <w:rsid w:val="00434E1F"/>
    <w:rsid w:val="00442D28"/>
    <w:rsid w:val="00465879"/>
    <w:rsid w:val="004659FA"/>
    <w:rsid w:val="0046658E"/>
    <w:rsid w:val="004665DC"/>
    <w:rsid w:val="00484421"/>
    <w:rsid w:val="00485E80"/>
    <w:rsid w:val="0049028A"/>
    <w:rsid w:val="004A4351"/>
    <w:rsid w:val="004B7210"/>
    <w:rsid w:val="004D2EC6"/>
    <w:rsid w:val="004D3B3A"/>
    <w:rsid w:val="004E2BA1"/>
    <w:rsid w:val="004E6710"/>
    <w:rsid w:val="004E7B11"/>
    <w:rsid w:val="004F1D5B"/>
    <w:rsid w:val="004F32AA"/>
    <w:rsid w:val="004F3AB3"/>
    <w:rsid w:val="004F6374"/>
    <w:rsid w:val="005024DA"/>
    <w:rsid w:val="005032D6"/>
    <w:rsid w:val="00503E95"/>
    <w:rsid w:val="00512645"/>
    <w:rsid w:val="00512677"/>
    <w:rsid w:val="00517AF4"/>
    <w:rsid w:val="005273A4"/>
    <w:rsid w:val="00532417"/>
    <w:rsid w:val="00533B3C"/>
    <w:rsid w:val="0054220C"/>
    <w:rsid w:val="00544B2D"/>
    <w:rsid w:val="005457CE"/>
    <w:rsid w:val="00551BCC"/>
    <w:rsid w:val="005723E3"/>
    <w:rsid w:val="005822DE"/>
    <w:rsid w:val="00584573"/>
    <w:rsid w:val="0059692F"/>
    <w:rsid w:val="005A423B"/>
    <w:rsid w:val="005B2F4B"/>
    <w:rsid w:val="005C651F"/>
    <w:rsid w:val="005C6C43"/>
    <w:rsid w:val="005D1009"/>
    <w:rsid w:val="005D63C0"/>
    <w:rsid w:val="005F6968"/>
    <w:rsid w:val="00601348"/>
    <w:rsid w:val="006035D3"/>
    <w:rsid w:val="00621715"/>
    <w:rsid w:val="0062450E"/>
    <w:rsid w:val="00634533"/>
    <w:rsid w:val="0064147E"/>
    <w:rsid w:val="00650BAD"/>
    <w:rsid w:val="00657189"/>
    <w:rsid w:val="0067541E"/>
    <w:rsid w:val="00687CD7"/>
    <w:rsid w:val="00690853"/>
    <w:rsid w:val="00694A9D"/>
    <w:rsid w:val="00696511"/>
    <w:rsid w:val="006A1D34"/>
    <w:rsid w:val="006B25E5"/>
    <w:rsid w:val="006B2D1D"/>
    <w:rsid w:val="006B577D"/>
    <w:rsid w:val="006E4D93"/>
    <w:rsid w:val="006F3BC8"/>
    <w:rsid w:val="006F5883"/>
    <w:rsid w:val="006F75CE"/>
    <w:rsid w:val="0070502B"/>
    <w:rsid w:val="00705BC0"/>
    <w:rsid w:val="00715938"/>
    <w:rsid w:val="00733F5C"/>
    <w:rsid w:val="00747466"/>
    <w:rsid w:val="007532D5"/>
    <w:rsid w:val="007636AE"/>
    <w:rsid w:val="00763DD0"/>
    <w:rsid w:val="00765556"/>
    <w:rsid w:val="00797182"/>
    <w:rsid w:val="007A2ED1"/>
    <w:rsid w:val="007C3592"/>
    <w:rsid w:val="007C77C1"/>
    <w:rsid w:val="007E0F36"/>
    <w:rsid w:val="007E11E4"/>
    <w:rsid w:val="007E3822"/>
    <w:rsid w:val="007F366F"/>
    <w:rsid w:val="007F5A7B"/>
    <w:rsid w:val="00801FBB"/>
    <w:rsid w:val="00803922"/>
    <w:rsid w:val="00804CC2"/>
    <w:rsid w:val="008122F2"/>
    <w:rsid w:val="00814850"/>
    <w:rsid w:val="00816FF8"/>
    <w:rsid w:val="00820412"/>
    <w:rsid w:val="00834095"/>
    <w:rsid w:val="00842E21"/>
    <w:rsid w:val="00845B56"/>
    <w:rsid w:val="00854B87"/>
    <w:rsid w:val="00855AB6"/>
    <w:rsid w:val="00860A3A"/>
    <w:rsid w:val="00864C0D"/>
    <w:rsid w:val="008713C3"/>
    <w:rsid w:val="00877E7B"/>
    <w:rsid w:val="0088775A"/>
    <w:rsid w:val="00891140"/>
    <w:rsid w:val="0089628B"/>
    <w:rsid w:val="00897495"/>
    <w:rsid w:val="008974D4"/>
    <w:rsid w:val="008A19E6"/>
    <w:rsid w:val="008A317D"/>
    <w:rsid w:val="008B1AF6"/>
    <w:rsid w:val="008B45D4"/>
    <w:rsid w:val="008C1E71"/>
    <w:rsid w:val="008C4E4C"/>
    <w:rsid w:val="008C5CB5"/>
    <w:rsid w:val="008F0A33"/>
    <w:rsid w:val="008F3E5F"/>
    <w:rsid w:val="008F5B6A"/>
    <w:rsid w:val="00907DF3"/>
    <w:rsid w:val="00932574"/>
    <w:rsid w:val="00933A94"/>
    <w:rsid w:val="0093586D"/>
    <w:rsid w:val="00941E83"/>
    <w:rsid w:val="00944DC5"/>
    <w:rsid w:val="00963850"/>
    <w:rsid w:val="0097120C"/>
    <w:rsid w:val="00972780"/>
    <w:rsid w:val="00980A6D"/>
    <w:rsid w:val="00982AF4"/>
    <w:rsid w:val="00983F18"/>
    <w:rsid w:val="00986C38"/>
    <w:rsid w:val="009920A2"/>
    <w:rsid w:val="00993E18"/>
    <w:rsid w:val="009940E8"/>
    <w:rsid w:val="009A3E57"/>
    <w:rsid w:val="009A7E4C"/>
    <w:rsid w:val="009B2012"/>
    <w:rsid w:val="009B7D16"/>
    <w:rsid w:val="009C1EA9"/>
    <w:rsid w:val="009D3309"/>
    <w:rsid w:val="009D4BA3"/>
    <w:rsid w:val="009D68C3"/>
    <w:rsid w:val="009D7102"/>
    <w:rsid w:val="009E1293"/>
    <w:rsid w:val="009E131C"/>
    <w:rsid w:val="009E330B"/>
    <w:rsid w:val="009F0661"/>
    <w:rsid w:val="00A122BF"/>
    <w:rsid w:val="00A4487C"/>
    <w:rsid w:val="00A50577"/>
    <w:rsid w:val="00A547ED"/>
    <w:rsid w:val="00A55E5A"/>
    <w:rsid w:val="00A56884"/>
    <w:rsid w:val="00A56A54"/>
    <w:rsid w:val="00A61528"/>
    <w:rsid w:val="00A64190"/>
    <w:rsid w:val="00A655D0"/>
    <w:rsid w:val="00A65956"/>
    <w:rsid w:val="00A911E7"/>
    <w:rsid w:val="00A94480"/>
    <w:rsid w:val="00A94EC4"/>
    <w:rsid w:val="00A952E9"/>
    <w:rsid w:val="00AA0532"/>
    <w:rsid w:val="00AA136F"/>
    <w:rsid w:val="00AA2633"/>
    <w:rsid w:val="00AB46DF"/>
    <w:rsid w:val="00AB53DC"/>
    <w:rsid w:val="00AB6022"/>
    <w:rsid w:val="00AC6B78"/>
    <w:rsid w:val="00AD571A"/>
    <w:rsid w:val="00AE1473"/>
    <w:rsid w:val="00AF6AAF"/>
    <w:rsid w:val="00B12135"/>
    <w:rsid w:val="00B2158E"/>
    <w:rsid w:val="00B35A92"/>
    <w:rsid w:val="00B425C0"/>
    <w:rsid w:val="00B74DB3"/>
    <w:rsid w:val="00B95F1B"/>
    <w:rsid w:val="00BC3F60"/>
    <w:rsid w:val="00BC5484"/>
    <w:rsid w:val="00BE04FB"/>
    <w:rsid w:val="00BE3422"/>
    <w:rsid w:val="00BE648E"/>
    <w:rsid w:val="00BF3DED"/>
    <w:rsid w:val="00BF4C02"/>
    <w:rsid w:val="00BF52B4"/>
    <w:rsid w:val="00BF65DA"/>
    <w:rsid w:val="00C03CFE"/>
    <w:rsid w:val="00C079CF"/>
    <w:rsid w:val="00C35966"/>
    <w:rsid w:val="00C45568"/>
    <w:rsid w:val="00C50EB2"/>
    <w:rsid w:val="00C67AC0"/>
    <w:rsid w:val="00C67D4A"/>
    <w:rsid w:val="00C700E0"/>
    <w:rsid w:val="00C700E7"/>
    <w:rsid w:val="00C81566"/>
    <w:rsid w:val="00C92429"/>
    <w:rsid w:val="00C94248"/>
    <w:rsid w:val="00CB04DE"/>
    <w:rsid w:val="00CB1A71"/>
    <w:rsid w:val="00CB33FD"/>
    <w:rsid w:val="00CB4142"/>
    <w:rsid w:val="00CB6AC4"/>
    <w:rsid w:val="00CC13C3"/>
    <w:rsid w:val="00CC2A63"/>
    <w:rsid w:val="00CC3B39"/>
    <w:rsid w:val="00CC4A00"/>
    <w:rsid w:val="00CC592C"/>
    <w:rsid w:val="00CD0D17"/>
    <w:rsid w:val="00CD294A"/>
    <w:rsid w:val="00CD3F4D"/>
    <w:rsid w:val="00CE072A"/>
    <w:rsid w:val="00CE7D32"/>
    <w:rsid w:val="00CF5230"/>
    <w:rsid w:val="00D11490"/>
    <w:rsid w:val="00D1211C"/>
    <w:rsid w:val="00D15CC3"/>
    <w:rsid w:val="00D166DE"/>
    <w:rsid w:val="00D20E3B"/>
    <w:rsid w:val="00D24621"/>
    <w:rsid w:val="00D27897"/>
    <w:rsid w:val="00D46EB2"/>
    <w:rsid w:val="00D655E5"/>
    <w:rsid w:val="00D7066E"/>
    <w:rsid w:val="00D75E9C"/>
    <w:rsid w:val="00D84E7C"/>
    <w:rsid w:val="00D91498"/>
    <w:rsid w:val="00D940A6"/>
    <w:rsid w:val="00DA4CAE"/>
    <w:rsid w:val="00DA5B38"/>
    <w:rsid w:val="00DC6C09"/>
    <w:rsid w:val="00DD0080"/>
    <w:rsid w:val="00DE749B"/>
    <w:rsid w:val="00DF0D39"/>
    <w:rsid w:val="00DF43C7"/>
    <w:rsid w:val="00DF7FD2"/>
    <w:rsid w:val="00E01A9B"/>
    <w:rsid w:val="00E13D0E"/>
    <w:rsid w:val="00E20AE0"/>
    <w:rsid w:val="00E2710E"/>
    <w:rsid w:val="00E32DD0"/>
    <w:rsid w:val="00E33CF6"/>
    <w:rsid w:val="00E35139"/>
    <w:rsid w:val="00E439D2"/>
    <w:rsid w:val="00E4608E"/>
    <w:rsid w:val="00E623D6"/>
    <w:rsid w:val="00E63FB1"/>
    <w:rsid w:val="00E71FB2"/>
    <w:rsid w:val="00E82E98"/>
    <w:rsid w:val="00E92156"/>
    <w:rsid w:val="00EA317C"/>
    <w:rsid w:val="00EA4736"/>
    <w:rsid w:val="00EB426D"/>
    <w:rsid w:val="00EB497B"/>
    <w:rsid w:val="00EC190D"/>
    <w:rsid w:val="00ED413D"/>
    <w:rsid w:val="00ED4428"/>
    <w:rsid w:val="00ED77EB"/>
    <w:rsid w:val="00EF24DE"/>
    <w:rsid w:val="00F0623F"/>
    <w:rsid w:val="00F17AE0"/>
    <w:rsid w:val="00F216A6"/>
    <w:rsid w:val="00F21EA7"/>
    <w:rsid w:val="00F33FEE"/>
    <w:rsid w:val="00F43D0E"/>
    <w:rsid w:val="00F469EB"/>
    <w:rsid w:val="00F5046D"/>
    <w:rsid w:val="00F52957"/>
    <w:rsid w:val="00F564E9"/>
    <w:rsid w:val="00F722CE"/>
    <w:rsid w:val="00F73EB2"/>
    <w:rsid w:val="00FA117E"/>
    <w:rsid w:val="00FB4667"/>
    <w:rsid w:val="00FC68F7"/>
    <w:rsid w:val="00FD15CE"/>
    <w:rsid w:val="00FD4F42"/>
    <w:rsid w:val="00FE1E46"/>
    <w:rsid w:val="00FF08BA"/>
    <w:rsid w:val="00FF7FC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7b6c58,#887e6e,#b0a696,#82828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h2,H2,h21,Heading Two,R2,l2,Sub-section"/>
    <w:basedOn w:val="Normal"/>
    <w:next w:val="ECCParagraph"/>
    <w:link w:val="Heading2Char"/>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h3,3"/>
    <w:basedOn w:val="Normal"/>
    <w:next w:val="ECCParagraph"/>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uiPriority w:val="99"/>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link w:val="FooterChar"/>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9D68C3"/>
    <w:pPr>
      <w:numPr>
        <w:numId w:val="2"/>
      </w:numPr>
      <w:spacing w:before="360" w:after="240"/>
      <w:ind w:left="0" w:firstLine="0"/>
    </w:pPr>
  </w:style>
  <w:style w:type="paragraph" w:customStyle="1" w:styleId="ECCFootnote">
    <w:name w:val="ECC Footnote"/>
    <w:basedOn w:val="Normal"/>
    <w:autoRedefine/>
    <w:rsid w:val="00814850"/>
    <w:rPr>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
    <w:basedOn w:val="Normal"/>
    <w:link w:val="FootnoteTextChar"/>
    <w:uiPriority w:val="99"/>
    <w:qFormat/>
    <w:rsid w:val="008935B9"/>
    <w:rPr>
      <w:szCs w:val="20"/>
    </w:rPr>
  </w:style>
  <w:style w:type="character" w:styleId="FootnoteReference">
    <w:name w:val="footnote reference"/>
    <w:aliases w:val="Appel note de bas de p,Footnote Reference/,Footnote,Footnote symbol,Style 12,(NECG) Footnote Reference,Style 124,o,fr,Style 13,FR,Style 17,Style 3,Appel note de bas de p + 11 pt,Italic,Appel note de bas de p1,Black,Bla"/>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512645"/>
    <w:pPr>
      <w:keepNext/>
      <w:keepLines/>
      <w:spacing w:after="0"/>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uiPriority w:val="99"/>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f Char"/>
    <w:basedOn w:val="DefaultParagraphFont"/>
    <w:link w:val="FootnoteText"/>
    <w:locked/>
    <w:rsid w:val="00343C6C"/>
    <w:rPr>
      <w:rFonts w:ascii="Arial" w:hAnsi="Arial"/>
      <w:lang w:val="en-US"/>
    </w:rPr>
  </w:style>
  <w:style w:type="paragraph" w:styleId="ListNumber">
    <w:name w:val="List Number"/>
    <w:basedOn w:val="Normal"/>
    <w:uiPriority w:val="99"/>
    <w:rsid w:val="00343C6C"/>
    <w:pPr>
      <w:numPr>
        <w:numId w:val="10"/>
      </w:numPr>
      <w:spacing w:after="240"/>
      <w:jc w:val="both"/>
    </w:pPr>
    <w:rPr>
      <w:rFonts w:ascii="Times New Roman" w:hAnsi="Times New Roman"/>
      <w:szCs w:val="20"/>
      <w:lang w:val="en-GB" w:eastAsia="fr-BE"/>
    </w:rPr>
  </w:style>
  <w:style w:type="paragraph" w:customStyle="1" w:styleId="ListNumberLevel2">
    <w:name w:val="List Number (Level 2)"/>
    <w:basedOn w:val="Normal"/>
    <w:uiPriority w:val="99"/>
    <w:rsid w:val="00343C6C"/>
    <w:pPr>
      <w:numPr>
        <w:ilvl w:val="1"/>
        <w:numId w:val="10"/>
      </w:numPr>
      <w:spacing w:after="240"/>
      <w:jc w:val="both"/>
    </w:pPr>
    <w:rPr>
      <w:rFonts w:ascii="Times New Roman" w:hAnsi="Times New Roman"/>
      <w:szCs w:val="20"/>
      <w:lang w:val="en-GB" w:eastAsia="fr-BE"/>
    </w:rPr>
  </w:style>
  <w:style w:type="paragraph" w:customStyle="1" w:styleId="ListNumberLevel3">
    <w:name w:val="List Number (Level 3)"/>
    <w:basedOn w:val="Normal"/>
    <w:uiPriority w:val="99"/>
    <w:rsid w:val="00343C6C"/>
    <w:pPr>
      <w:numPr>
        <w:ilvl w:val="2"/>
        <w:numId w:val="10"/>
      </w:numPr>
      <w:spacing w:after="240"/>
      <w:jc w:val="both"/>
    </w:pPr>
    <w:rPr>
      <w:rFonts w:ascii="Times New Roman" w:hAnsi="Times New Roman"/>
      <w:szCs w:val="20"/>
      <w:lang w:val="en-GB" w:eastAsia="fr-BE"/>
    </w:rPr>
  </w:style>
  <w:style w:type="paragraph" w:customStyle="1" w:styleId="ListNumberLevel4">
    <w:name w:val="List Number (Level 4)"/>
    <w:basedOn w:val="Normal"/>
    <w:uiPriority w:val="99"/>
    <w:rsid w:val="00343C6C"/>
    <w:pPr>
      <w:numPr>
        <w:ilvl w:val="3"/>
        <w:numId w:val="10"/>
      </w:numPr>
      <w:spacing w:after="240"/>
      <w:jc w:val="both"/>
    </w:pPr>
    <w:rPr>
      <w:rFonts w:ascii="Times New Roman" w:hAnsi="Times New Roman"/>
      <w:szCs w:val="20"/>
      <w:lang w:val="en-GB" w:eastAsia="fr-BE"/>
    </w:rPr>
  </w:style>
  <w:style w:type="paragraph" w:styleId="ListBullet">
    <w:name w:val="List Bullet"/>
    <w:basedOn w:val="Normal"/>
    <w:uiPriority w:val="99"/>
    <w:rsid w:val="00343C6C"/>
    <w:pPr>
      <w:numPr>
        <w:numId w:val="11"/>
      </w:numPr>
      <w:contextualSpacing/>
    </w:pPr>
  </w:style>
  <w:style w:type="paragraph" w:customStyle="1" w:styleId="Text1">
    <w:name w:val="Text 1"/>
    <w:basedOn w:val="Normal"/>
    <w:uiPriority w:val="99"/>
    <w:rsid w:val="00343C6C"/>
    <w:pPr>
      <w:spacing w:after="240"/>
      <w:ind w:left="482"/>
      <w:jc w:val="both"/>
    </w:pPr>
    <w:rPr>
      <w:rFonts w:ascii="Times New Roman" w:hAnsi="Times New Roman"/>
      <w:sz w:val="24"/>
      <w:szCs w:val="20"/>
      <w:lang w:val="en-GB" w:eastAsia="fr-BE"/>
    </w:rPr>
  </w:style>
  <w:style w:type="paragraph" w:styleId="Date">
    <w:name w:val="Date"/>
    <w:basedOn w:val="Normal"/>
    <w:next w:val="References"/>
    <w:link w:val="DateChar"/>
    <w:uiPriority w:val="99"/>
    <w:rsid w:val="00343C6C"/>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uiPriority w:val="99"/>
    <w:rsid w:val="00343C6C"/>
    <w:rPr>
      <w:sz w:val="24"/>
      <w:lang w:eastAsia="fr-BE"/>
    </w:rPr>
  </w:style>
  <w:style w:type="paragraph" w:customStyle="1" w:styleId="References">
    <w:name w:val="References"/>
    <w:basedOn w:val="Normal"/>
    <w:next w:val="Normal"/>
    <w:uiPriority w:val="99"/>
    <w:rsid w:val="00343C6C"/>
    <w:pPr>
      <w:spacing w:after="240"/>
      <w:ind w:left="5103"/>
    </w:pPr>
    <w:rPr>
      <w:rFonts w:ascii="Times New Roman" w:hAnsi="Times New Roman"/>
      <w:szCs w:val="20"/>
      <w:lang w:val="en-GB" w:eastAsia="fr-BE"/>
    </w:rPr>
  </w:style>
  <w:style w:type="paragraph" w:customStyle="1" w:styleId="ListNumber1">
    <w:name w:val="List Number 1"/>
    <w:basedOn w:val="Text1"/>
    <w:uiPriority w:val="99"/>
    <w:rsid w:val="00343C6C"/>
    <w:pPr>
      <w:tabs>
        <w:tab w:val="num" w:pos="1191"/>
      </w:tabs>
      <w:ind w:left="1191" w:hanging="709"/>
    </w:pPr>
  </w:style>
  <w:style w:type="paragraph" w:customStyle="1" w:styleId="ListNumber1Level2">
    <w:name w:val="List Number 1 (Level 2)"/>
    <w:basedOn w:val="Text1"/>
    <w:uiPriority w:val="99"/>
    <w:rsid w:val="00343C6C"/>
    <w:pPr>
      <w:tabs>
        <w:tab w:val="num" w:pos="1899"/>
      </w:tabs>
      <w:ind w:left="1899" w:hanging="708"/>
    </w:pPr>
  </w:style>
  <w:style w:type="paragraph" w:customStyle="1" w:styleId="ZCom">
    <w:name w:val="Z_Com"/>
    <w:basedOn w:val="Normal"/>
    <w:next w:val="ZDGName"/>
    <w:uiPriority w:val="99"/>
    <w:rsid w:val="00343C6C"/>
    <w:pPr>
      <w:widowControl w:val="0"/>
      <w:ind w:right="85"/>
      <w:jc w:val="both"/>
    </w:pPr>
    <w:rPr>
      <w:snapToGrid w:val="0"/>
      <w:sz w:val="24"/>
      <w:szCs w:val="20"/>
      <w:lang w:val="en-GB"/>
    </w:rPr>
  </w:style>
  <w:style w:type="paragraph" w:customStyle="1" w:styleId="ZDGName">
    <w:name w:val="Z_DGName"/>
    <w:basedOn w:val="Normal"/>
    <w:uiPriority w:val="99"/>
    <w:rsid w:val="00343C6C"/>
    <w:pPr>
      <w:widowControl w:val="0"/>
      <w:ind w:right="85"/>
    </w:pPr>
    <w:rPr>
      <w:snapToGrid w:val="0"/>
      <w:sz w:val="16"/>
      <w:szCs w:val="20"/>
      <w:lang w:val="en-GB"/>
    </w:rPr>
  </w:style>
  <w:style w:type="paragraph" w:customStyle="1" w:styleId="ECCParBulleted">
    <w:name w:val="ECC Par Bulleted"/>
    <w:basedOn w:val="ECCParagraph"/>
    <w:uiPriority w:val="99"/>
    <w:rsid w:val="000226FB"/>
    <w:pPr>
      <w:numPr>
        <w:numId w:val="13"/>
      </w:numPr>
      <w:spacing w:after="120"/>
    </w:pPr>
  </w:style>
  <w:style w:type="paragraph" w:customStyle="1" w:styleId="ECCAnnex-heading1">
    <w:name w:val="ECC Annex - heading1"/>
    <w:basedOn w:val="Heading1"/>
    <w:next w:val="ECCParagraph"/>
    <w:rsid w:val="000226FB"/>
    <w:pPr>
      <w:numPr>
        <w:numId w:val="0"/>
      </w:numPr>
      <w:spacing w:before="400"/>
    </w:pPr>
  </w:style>
  <w:style w:type="paragraph" w:customStyle="1" w:styleId="WGNNA-bulleted">
    <w:name w:val="WGNNA-bulleted"/>
    <w:basedOn w:val="Normal"/>
    <w:rsid w:val="000226FB"/>
    <w:pPr>
      <w:numPr>
        <w:numId w:val="12"/>
      </w:numPr>
      <w:spacing w:after="120"/>
      <w:jc w:val="both"/>
    </w:pPr>
    <w:rPr>
      <w:rFonts w:ascii="Times New Roman" w:hAnsi="Times New Roman"/>
      <w:sz w:val="24"/>
      <w:lang w:val="fr-FR" w:eastAsia="fr-FR"/>
    </w:rPr>
  </w:style>
  <w:style w:type="character" w:customStyle="1" w:styleId="ECCParagraphChar">
    <w:name w:val="ECC Paragraph Char"/>
    <w:link w:val="ECCParagraph"/>
    <w:uiPriority w:val="99"/>
    <w:locked/>
    <w:rsid w:val="000226FB"/>
    <w:rPr>
      <w:rFonts w:ascii="Arial" w:hAnsi="Arial"/>
      <w:szCs w:val="24"/>
    </w:rPr>
  </w:style>
  <w:style w:type="character" w:customStyle="1" w:styleId="FooterChar">
    <w:name w:val="Footer Char"/>
    <w:basedOn w:val="DefaultParagraphFont"/>
    <w:link w:val="Footer"/>
    <w:locked/>
    <w:rsid w:val="00BF65DA"/>
    <w:rPr>
      <w:rFonts w:ascii="Arial" w:hAnsi="Arial"/>
      <w:szCs w:val="24"/>
      <w:lang w:val="en-US"/>
    </w:rPr>
  </w:style>
  <w:style w:type="paragraph" w:customStyle="1" w:styleId="BulletList1">
    <w:name w:val="Bullet List 1"/>
    <w:basedOn w:val="Normal"/>
    <w:uiPriority w:val="99"/>
    <w:rsid w:val="00BF65DA"/>
    <w:pPr>
      <w:numPr>
        <w:numId w:val="15"/>
      </w:numPr>
      <w:spacing w:before="120" w:after="120" w:line="285" w:lineRule="auto"/>
    </w:pPr>
    <w:rPr>
      <w:szCs w:val="20"/>
      <w:lang w:val="en-GB" w:eastAsia="en-GB"/>
    </w:rPr>
  </w:style>
  <w:style w:type="paragraph" w:customStyle="1" w:styleId="BulletList2">
    <w:name w:val="Bullet List 2"/>
    <w:basedOn w:val="BulletList1"/>
    <w:uiPriority w:val="99"/>
    <w:rsid w:val="00BF65DA"/>
    <w:pPr>
      <w:numPr>
        <w:ilvl w:val="1"/>
      </w:numPr>
      <w:tabs>
        <w:tab w:val="clear" w:pos="800"/>
        <w:tab w:val="num" w:pos="360"/>
        <w:tab w:val="num" w:pos="576"/>
        <w:tab w:val="num" w:pos="680"/>
        <w:tab w:val="num" w:pos="926"/>
        <w:tab w:val="num" w:pos="1209"/>
      </w:tabs>
      <w:ind w:left="576" w:hanging="576"/>
    </w:pPr>
  </w:style>
  <w:style w:type="paragraph" w:customStyle="1" w:styleId="BulletList3">
    <w:name w:val="Bullet List 3"/>
    <w:basedOn w:val="BulletList2"/>
    <w:uiPriority w:val="99"/>
    <w:rsid w:val="00BF65DA"/>
    <w:pPr>
      <w:numPr>
        <w:ilvl w:val="2"/>
      </w:numPr>
      <w:tabs>
        <w:tab w:val="num" w:pos="360"/>
        <w:tab w:val="num" w:pos="576"/>
        <w:tab w:val="num" w:pos="720"/>
        <w:tab w:val="num" w:pos="1021"/>
      </w:tabs>
      <w:ind w:left="720" w:hanging="720"/>
    </w:pPr>
  </w:style>
  <w:style w:type="paragraph" w:customStyle="1" w:styleId="BulletList4">
    <w:name w:val="Bullet List 4"/>
    <w:basedOn w:val="BulletList3"/>
    <w:uiPriority w:val="99"/>
    <w:rsid w:val="00BF65DA"/>
    <w:pPr>
      <w:numPr>
        <w:ilvl w:val="3"/>
      </w:numPr>
      <w:tabs>
        <w:tab w:val="clear" w:pos="1360"/>
        <w:tab w:val="num" w:pos="360"/>
        <w:tab w:val="num" w:pos="576"/>
        <w:tab w:val="num" w:pos="864"/>
        <w:tab w:val="num" w:pos="1361"/>
      </w:tabs>
      <w:ind w:left="864" w:hanging="864"/>
    </w:pPr>
  </w:style>
  <w:style w:type="paragraph" w:customStyle="1" w:styleId="BulletList5">
    <w:name w:val="Bullet List 5"/>
    <w:basedOn w:val="BulletList4"/>
    <w:uiPriority w:val="99"/>
    <w:rsid w:val="00BF65DA"/>
    <w:pPr>
      <w:numPr>
        <w:ilvl w:val="4"/>
      </w:numPr>
      <w:tabs>
        <w:tab w:val="clear" w:pos="1021"/>
        <w:tab w:val="num" w:pos="360"/>
        <w:tab w:val="num" w:pos="576"/>
        <w:tab w:val="num" w:pos="1008"/>
        <w:tab w:val="num" w:pos="2579"/>
      </w:tabs>
      <w:ind w:left="1008" w:hanging="1008"/>
    </w:pPr>
  </w:style>
  <w:style w:type="paragraph" w:customStyle="1" w:styleId="BulletList6">
    <w:name w:val="Bullet List 6"/>
    <w:basedOn w:val="BulletList5"/>
    <w:uiPriority w:val="99"/>
    <w:rsid w:val="00BF65DA"/>
    <w:pPr>
      <w:numPr>
        <w:ilvl w:val="5"/>
      </w:numPr>
      <w:tabs>
        <w:tab w:val="num" w:pos="360"/>
        <w:tab w:val="num" w:pos="576"/>
        <w:tab w:val="num" w:pos="1152"/>
        <w:tab w:val="num" w:pos="3299"/>
      </w:tabs>
      <w:ind w:left="1152" w:hanging="1152"/>
    </w:pPr>
  </w:style>
  <w:style w:type="paragraph" w:customStyle="1" w:styleId="BulletList7">
    <w:name w:val="Bullet List 7"/>
    <w:basedOn w:val="BulletList6"/>
    <w:uiPriority w:val="99"/>
    <w:rsid w:val="00BF65DA"/>
    <w:pPr>
      <w:numPr>
        <w:ilvl w:val="6"/>
      </w:numPr>
      <w:tabs>
        <w:tab w:val="num" w:pos="360"/>
        <w:tab w:val="num" w:pos="576"/>
        <w:tab w:val="num" w:pos="1296"/>
        <w:tab w:val="num" w:pos="4019"/>
      </w:tabs>
      <w:ind w:left="1296" w:hanging="1296"/>
    </w:pPr>
  </w:style>
  <w:style w:type="paragraph" w:customStyle="1" w:styleId="BulletList8">
    <w:name w:val="Bullet List 8"/>
    <w:basedOn w:val="BulletList7"/>
    <w:uiPriority w:val="99"/>
    <w:rsid w:val="00BF65DA"/>
    <w:pPr>
      <w:numPr>
        <w:ilvl w:val="7"/>
      </w:numPr>
      <w:tabs>
        <w:tab w:val="num" w:pos="360"/>
        <w:tab w:val="num" w:pos="576"/>
        <w:tab w:val="num" w:pos="1440"/>
        <w:tab w:val="num" w:pos="4739"/>
      </w:tabs>
      <w:ind w:left="1440" w:hanging="1440"/>
    </w:pPr>
  </w:style>
  <w:style w:type="paragraph" w:customStyle="1" w:styleId="BulletList9">
    <w:name w:val="Bullet List 9"/>
    <w:basedOn w:val="BulletList8"/>
    <w:uiPriority w:val="99"/>
    <w:rsid w:val="00BF65DA"/>
    <w:pPr>
      <w:numPr>
        <w:ilvl w:val="8"/>
      </w:numPr>
      <w:tabs>
        <w:tab w:val="num" w:pos="360"/>
        <w:tab w:val="num" w:pos="576"/>
        <w:tab w:val="num" w:pos="1584"/>
        <w:tab w:val="num" w:pos="5459"/>
      </w:tabs>
      <w:ind w:left="1584" w:hanging="1584"/>
    </w:pPr>
  </w:style>
  <w:style w:type="paragraph" w:styleId="ListParagraph">
    <w:name w:val="List Paragraph"/>
    <w:basedOn w:val="Normal"/>
    <w:uiPriority w:val="34"/>
    <w:qFormat/>
    <w:rsid w:val="00FF7FC0"/>
    <w:pPr>
      <w:ind w:left="720"/>
      <w:contextualSpacing/>
    </w:pPr>
  </w:style>
  <w:style w:type="character" w:customStyle="1" w:styleId="Heading2Char">
    <w:name w:val="Heading 2 Char"/>
    <w:aliases w:val="ECC Heading 2 Char,h2 Char,H2 Char,h21 Char,Heading Two Char,R2 Char,l2 Char,Sub-section Char"/>
    <w:basedOn w:val="DefaultParagraphFont"/>
    <w:link w:val="Heading2"/>
    <w:locked/>
    <w:rsid w:val="00E71FB2"/>
    <w:rPr>
      <w:rFonts w:ascii="Arial" w:hAnsi="Arial" w:cs="Arial"/>
      <w:b/>
      <w:bCs/>
      <w:iCs/>
      <w:caps/>
      <w:szCs w:val="28"/>
      <w:lang w:val="en-US"/>
    </w:rPr>
  </w:style>
  <w:style w:type="paragraph" w:customStyle="1" w:styleId="eccparagraph0">
    <w:name w:val="eccparagraph"/>
    <w:basedOn w:val="Normal"/>
    <w:uiPriority w:val="99"/>
    <w:rsid w:val="00E71FB2"/>
    <w:pPr>
      <w:spacing w:after="240"/>
      <w:jc w:val="both"/>
    </w:pPr>
    <w:rPr>
      <w:rFonts w:cs="Arial"/>
      <w:szCs w:val="20"/>
      <w:lang w:val="da-DK" w:eastAsia="da-DK"/>
    </w:rPr>
  </w:style>
  <w:style w:type="character" w:styleId="CommentReference">
    <w:name w:val="annotation reference"/>
    <w:basedOn w:val="DefaultParagraphFont"/>
    <w:uiPriority w:val="99"/>
    <w:semiHidden/>
    <w:unhideWhenUsed/>
    <w:rsid w:val="008A317D"/>
    <w:rPr>
      <w:sz w:val="16"/>
      <w:szCs w:val="16"/>
    </w:rPr>
  </w:style>
  <w:style w:type="paragraph" w:styleId="CommentText">
    <w:name w:val="annotation text"/>
    <w:basedOn w:val="Normal"/>
    <w:link w:val="CommentTextChar"/>
    <w:uiPriority w:val="99"/>
    <w:semiHidden/>
    <w:unhideWhenUsed/>
    <w:rsid w:val="008A317D"/>
    <w:rPr>
      <w:szCs w:val="20"/>
    </w:rPr>
  </w:style>
  <w:style w:type="character" w:customStyle="1" w:styleId="CommentTextChar">
    <w:name w:val="Comment Text Char"/>
    <w:basedOn w:val="DefaultParagraphFont"/>
    <w:link w:val="CommentText"/>
    <w:uiPriority w:val="99"/>
    <w:semiHidden/>
    <w:rsid w:val="008A317D"/>
    <w:rPr>
      <w:rFonts w:ascii="Arial" w:hAnsi="Arial"/>
      <w:lang w:val="en-US"/>
    </w:rPr>
  </w:style>
  <w:style w:type="paragraph" w:styleId="CommentSubject">
    <w:name w:val="annotation subject"/>
    <w:basedOn w:val="CommentText"/>
    <w:next w:val="CommentText"/>
    <w:link w:val="CommentSubjectChar"/>
    <w:uiPriority w:val="99"/>
    <w:semiHidden/>
    <w:unhideWhenUsed/>
    <w:rsid w:val="008A317D"/>
    <w:rPr>
      <w:b/>
      <w:bCs/>
    </w:rPr>
  </w:style>
  <w:style w:type="character" w:customStyle="1" w:styleId="CommentSubjectChar">
    <w:name w:val="Comment Subject Char"/>
    <w:basedOn w:val="CommentTextChar"/>
    <w:link w:val="CommentSubject"/>
    <w:uiPriority w:val="99"/>
    <w:semiHidden/>
    <w:rsid w:val="008A317D"/>
    <w:rPr>
      <w:rFonts w:ascii="Arial" w:hAnsi="Arial"/>
      <w:b/>
      <w:bCs/>
      <w:lang w:val="en-US"/>
    </w:rPr>
  </w:style>
  <w:style w:type="character" w:customStyle="1" w:styleId="ECCHLyellow">
    <w:name w:val="ECC HL yellow"/>
    <w:uiPriority w:val="1"/>
    <w:qFormat/>
    <w:rsid w:val="002D6DA6"/>
    <w:rPr>
      <w:rFonts w:eastAsia="Calibri"/>
      <w:i w:val="0"/>
      <w:szCs w:val="22"/>
      <w:bdr w:val="none" w:sz="0" w:space="0" w:color="auto"/>
      <w:shd w:val="solid" w:color="FFFF00" w:fill="auto"/>
      <w:lang w:val="en-GB"/>
    </w:rPr>
  </w:style>
  <w:style w:type="character" w:customStyle="1" w:styleId="ECCHLbold">
    <w:name w:val="ECC HL bold"/>
    <w:uiPriority w:val="1"/>
    <w:qFormat/>
    <w:rsid w:val="002D6DA6"/>
    <w:rPr>
      <w:b w:val="0"/>
      <w:bCs w:val="0"/>
    </w:rPr>
  </w:style>
  <w:style w:type="paragraph" w:styleId="Revision">
    <w:name w:val="Revision"/>
    <w:hidden/>
    <w:uiPriority w:val="99"/>
    <w:semiHidden/>
    <w:rsid w:val="009B2012"/>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h2,H2,h21,Heading Two,R2,l2,Sub-section"/>
    <w:basedOn w:val="Normal"/>
    <w:next w:val="ECCParagraph"/>
    <w:link w:val="Heading2Char"/>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h3,3"/>
    <w:basedOn w:val="Normal"/>
    <w:next w:val="ECCParagraph"/>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uiPriority w:val="99"/>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link w:val="FooterChar"/>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9D68C3"/>
    <w:pPr>
      <w:numPr>
        <w:numId w:val="2"/>
      </w:numPr>
      <w:spacing w:before="360" w:after="240"/>
      <w:ind w:left="0" w:firstLine="0"/>
    </w:pPr>
  </w:style>
  <w:style w:type="paragraph" w:customStyle="1" w:styleId="ECCFootnote">
    <w:name w:val="ECC Footnote"/>
    <w:basedOn w:val="Normal"/>
    <w:autoRedefine/>
    <w:rsid w:val="00814850"/>
    <w:rPr>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
    <w:basedOn w:val="Normal"/>
    <w:link w:val="FootnoteTextChar"/>
    <w:uiPriority w:val="99"/>
    <w:qFormat/>
    <w:rsid w:val="008935B9"/>
    <w:rPr>
      <w:szCs w:val="20"/>
    </w:rPr>
  </w:style>
  <w:style w:type="character" w:styleId="FootnoteReference">
    <w:name w:val="footnote reference"/>
    <w:aliases w:val="Appel note de bas de p,Footnote Reference/,Footnote,Footnote symbol,Style 12,(NECG) Footnote Reference,Style 124,o,fr,Style 13,FR,Style 17,Style 3,Appel note de bas de p + 11 pt,Italic,Appel note de bas de p1,Black,Bla"/>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512645"/>
    <w:pPr>
      <w:keepNext/>
      <w:keepLines/>
      <w:spacing w:after="0"/>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uiPriority w:val="99"/>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f Char"/>
    <w:basedOn w:val="DefaultParagraphFont"/>
    <w:link w:val="FootnoteText"/>
    <w:locked/>
    <w:rsid w:val="00343C6C"/>
    <w:rPr>
      <w:rFonts w:ascii="Arial" w:hAnsi="Arial"/>
      <w:lang w:val="en-US"/>
    </w:rPr>
  </w:style>
  <w:style w:type="paragraph" w:styleId="ListNumber">
    <w:name w:val="List Number"/>
    <w:basedOn w:val="Normal"/>
    <w:uiPriority w:val="99"/>
    <w:rsid w:val="00343C6C"/>
    <w:pPr>
      <w:numPr>
        <w:numId w:val="10"/>
      </w:numPr>
      <w:spacing w:after="240"/>
      <w:jc w:val="both"/>
    </w:pPr>
    <w:rPr>
      <w:rFonts w:ascii="Times New Roman" w:hAnsi="Times New Roman"/>
      <w:szCs w:val="20"/>
      <w:lang w:val="en-GB" w:eastAsia="fr-BE"/>
    </w:rPr>
  </w:style>
  <w:style w:type="paragraph" w:customStyle="1" w:styleId="ListNumberLevel2">
    <w:name w:val="List Number (Level 2)"/>
    <w:basedOn w:val="Normal"/>
    <w:uiPriority w:val="99"/>
    <w:rsid w:val="00343C6C"/>
    <w:pPr>
      <w:numPr>
        <w:ilvl w:val="1"/>
        <w:numId w:val="10"/>
      </w:numPr>
      <w:spacing w:after="240"/>
      <w:jc w:val="both"/>
    </w:pPr>
    <w:rPr>
      <w:rFonts w:ascii="Times New Roman" w:hAnsi="Times New Roman"/>
      <w:szCs w:val="20"/>
      <w:lang w:val="en-GB" w:eastAsia="fr-BE"/>
    </w:rPr>
  </w:style>
  <w:style w:type="paragraph" w:customStyle="1" w:styleId="ListNumberLevel3">
    <w:name w:val="List Number (Level 3)"/>
    <w:basedOn w:val="Normal"/>
    <w:uiPriority w:val="99"/>
    <w:rsid w:val="00343C6C"/>
    <w:pPr>
      <w:numPr>
        <w:ilvl w:val="2"/>
        <w:numId w:val="10"/>
      </w:numPr>
      <w:spacing w:after="240"/>
      <w:jc w:val="both"/>
    </w:pPr>
    <w:rPr>
      <w:rFonts w:ascii="Times New Roman" w:hAnsi="Times New Roman"/>
      <w:szCs w:val="20"/>
      <w:lang w:val="en-GB" w:eastAsia="fr-BE"/>
    </w:rPr>
  </w:style>
  <w:style w:type="paragraph" w:customStyle="1" w:styleId="ListNumberLevel4">
    <w:name w:val="List Number (Level 4)"/>
    <w:basedOn w:val="Normal"/>
    <w:uiPriority w:val="99"/>
    <w:rsid w:val="00343C6C"/>
    <w:pPr>
      <w:numPr>
        <w:ilvl w:val="3"/>
        <w:numId w:val="10"/>
      </w:numPr>
      <w:spacing w:after="240"/>
      <w:jc w:val="both"/>
    </w:pPr>
    <w:rPr>
      <w:rFonts w:ascii="Times New Roman" w:hAnsi="Times New Roman"/>
      <w:szCs w:val="20"/>
      <w:lang w:val="en-GB" w:eastAsia="fr-BE"/>
    </w:rPr>
  </w:style>
  <w:style w:type="paragraph" w:styleId="ListBullet">
    <w:name w:val="List Bullet"/>
    <w:basedOn w:val="Normal"/>
    <w:uiPriority w:val="99"/>
    <w:rsid w:val="00343C6C"/>
    <w:pPr>
      <w:numPr>
        <w:numId w:val="11"/>
      </w:numPr>
      <w:contextualSpacing/>
    </w:pPr>
  </w:style>
  <w:style w:type="paragraph" w:customStyle="1" w:styleId="Text1">
    <w:name w:val="Text 1"/>
    <w:basedOn w:val="Normal"/>
    <w:uiPriority w:val="99"/>
    <w:rsid w:val="00343C6C"/>
    <w:pPr>
      <w:spacing w:after="240"/>
      <w:ind w:left="482"/>
      <w:jc w:val="both"/>
    </w:pPr>
    <w:rPr>
      <w:rFonts w:ascii="Times New Roman" w:hAnsi="Times New Roman"/>
      <w:sz w:val="24"/>
      <w:szCs w:val="20"/>
      <w:lang w:val="en-GB" w:eastAsia="fr-BE"/>
    </w:rPr>
  </w:style>
  <w:style w:type="paragraph" w:styleId="Date">
    <w:name w:val="Date"/>
    <w:basedOn w:val="Normal"/>
    <w:next w:val="References"/>
    <w:link w:val="DateChar"/>
    <w:uiPriority w:val="99"/>
    <w:rsid w:val="00343C6C"/>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uiPriority w:val="99"/>
    <w:rsid w:val="00343C6C"/>
    <w:rPr>
      <w:sz w:val="24"/>
      <w:lang w:eastAsia="fr-BE"/>
    </w:rPr>
  </w:style>
  <w:style w:type="paragraph" w:customStyle="1" w:styleId="References">
    <w:name w:val="References"/>
    <w:basedOn w:val="Normal"/>
    <w:next w:val="Normal"/>
    <w:uiPriority w:val="99"/>
    <w:rsid w:val="00343C6C"/>
    <w:pPr>
      <w:spacing w:after="240"/>
      <w:ind w:left="5103"/>
    </w:pPr>
    <w:rPr>
      <w:rFonts w:ascii="Times New Roman" w:hAnsi="Times New Roman"/>
      <w:szCs w:val="20"/>
      <w:lang w:val="en-GB" w:eastAsia="fr-BE"/>
    </w:rPr>
  </w:style>
  <w:style w:type="paragraph" w:customStyle="1" w:styleId="ListNumber1">
    <w:name w:val="List Number 1"/>
    <w:basedOn w:val="Text1"/>
    <w:uiPriority w:val="99"/>
    <w:rsid w:val="00343C6C"/>
    <w:pPr>
      <w:tabs>
        <w:tab w:val="num" w:pos="1191"/>
      </w:tabs>
      <w:ind w:left="1191" w:hanging="709"/>
    </w:pPr>
  </w:style>
  <w:style w:type="paragraph" w:customStyle="1" w:styleId="ListNumber1Level2">
    <w:name w:val="List Number 1 (Level 2)"/>
    <w:basedOn w:val="Text1"/>
    <w:uiPriority w:val="99"/>
    <w:rsid w:val="00343C6C"/>
    <w:pPr>
      <w:tabs>
        <w:tab w:val="num" w:pos="1899"/>
      </w:tabs>
      <w:ind w:left="1899" w:hanging="708"/>
    </w:pPr>
  </w:style>
  <w:style w:type="paragraph" w:customStyle="1" w:styleId="ZCom">
    <w:name w:val="Z_Com"/>
    <w:basedOn w:val="Normal"/>
    <w:next w:val="ZDGName"/>
    <w:uiPriority w:val="99"/>
    <w:rsid w:val="00343C6C"/>
    <w:pPr>
      <w:widowControl w:val="0"/>
      <w:ind w:right="85"/>
      <w:jc w:val="both"/>
    </w:pPr>
    <w:rPr>
      <w:snapToGrid w:val="0"/>
      <w:sz w:val="24"/>
      <w:szCs w:val="20"/>
      <w:lang w:val="en-GB"/>
    </w:rPr>
  </w:style>
  <w:style w:type="paragraph" w:customStyle="1" w:styleId="ZDGName">
    <w:name w:val="Z_DGName"/>
    <w:basedOn w:val="Normal"/>
    <w:uiPriority w:val="99"/>
    <w:rsid w:val="00343C6C"/>
    <w:pPr>
      <w:widowControl w:val="0"/>
      <w:ind w:right="85"/>
    </w:pPr>
    <w:rPr>
      <w:snapToGrid w:val="0"/>
      <w:sz w:val="16"/>
      <w:szCs w:val="20"/>
      <w:lang w:val="en-GB"/>
    </w:rPr>
  </w:style>
  <w:style w:type="paragraph" w:customStyle="1" w:styleId="ECCParBulleted">
    <w:name w:val="ECC Par Bulleted"/>
    <w:basedOn w:val="ECCParagraph"/>
    <w:uiPriority w:val="99"/>
    <w:rsid w:val="000226FB"/>
    <w:pPr>
      <w:numPr>
        <w:numId w:val="13"/>
      </w:numPr>
      <w:spacing w:after="120"/>
    </w:pPr>
  </w:style>
  <w:style w:type="paragraph" w:customStyle="1" w:styleId="ECCAnnex-heading1">
    <w:name w:val="ECC Annex - heading1"/>
    <w:basedOn w:val="Heading1"/>
    <w:next w:val="ECCParagraph"/>
    <w:rsid w:val="000226FB"/>
    <w:pPr>
      <w:numPr>
        <w:numId w:val="0"/>
      </w:numPr>
      <w:spacing w:before="400"/>
    </w:pPr>
  </w:style>
  <w:style w:type="paragraph" w:customStyle="1" w:styleId="WGNNA-bulleted">
    <w:name w:val="WGNNA-bulleted"/>
    <w:basedOn w:val="Normal"/>
    <w:rsid w:val="000226FB"/>
    <w:pPr>
      <w:numPr>
        <w:numId w:val="12"/>
      </w:numPr>
      <w:spacing w:after="120"/>
      <w:jc w:val="both"/>
    </w:pPr>
    <w:rPr>
      <w:rFonts w:ascii="Times New Roman" w:hAnsi="Times New Roman"/>
      <w:sz w:val="24"/>
      <w:lang w:val="fr-FR" w:eastAsia="fr-FR"/>
    </w:rPr>
  </w:style>
  <w:style w:type="character" w:customStyle="1" w:styleId="ECCParagraphChar">
    <w:name w:val="ECC Paragraph Char"/>
    <w:link w:val="ECCParagraph"/>
    <w:uiPriority w:val="99"/>
    <w:locked/>
    <w:rsid w:val="000226FB"/>
    <w:rPr>
      <w:rFonts w:ascii="Arial" w:hAnsi="Arial"/>
      <w:szCs w:val="24"/>
    </w:rPr>
  </w:style>
  <w:style w:type="character" w:customStyle="1" w:styleId="FooterChar">
    <w:name w:val="Footer Char"/>
    <w:basedOn w:val="DefaultParagraphFont"/>
    <w:link w:val="Footer"/>
    <w:locked/>
    <w:rsid w:val="00BF65DA"/>
    <w:rPr>
      <w:rFonts w:ascii="Arial" w:hAnsi="Arial"/>
      <w:szCs w:val="24"/>
      <w:lang w:val="en-US"/>
    </w:rPr>
  </w:style>
  <w:style w:type="paragraph" w:customStyle="1" w:styleId="BulletList1">
    <w:name w:val="Bullet List 1"/>
    <w:basedOn w:val="Normal"/>
    <w:uiPriority w:val="99"/>
    <w:rsid w:val="00BF65DA"/>
    <w:pPr>
      <w:numPr>
        <w:numId w:val="15"/>
      </w:numPr>
      <w:spacing w:before="120" w:after="120" w:line="285" w:lineRule="auto"/>
    </w:pPr>
    <w:rPr>
      <w:szCs w:val="20"/>
      <w:lang w:val="en-GB" w:eastAsia="en-GB"/>
    </w:rPr>
  </w:style>
  <w:style w:type="paragraph" w:customStyle="1" w:styleId="BulletList2">
    <w:name w:val="Bullet List 2"/>
    <w:basedOn w:val="BulletList1"/>
    <w:uiPriority w:val="99"/>
    <w:rsid w:val="00BF65DA"/>
    <w:pPr>
      <w:numPr>
        <w:ilvl w:val="1"/>
      </w:numPr>
      <w:tabs>
        <w:tab w:val="clear" w:pos="800"/>
        <w:tab w:val="num" w:pos="360"/>
        <w:tab w:val="num" w:pos="576"/>
        <w:tab w:val="num" w:pos="680"/>
        <w:tab w:val="num" w:pos="926"/>
        <w:tab w:val="num" w:pos="1209"/>
      </w:tabs>
      <w:ind w:left="576" w:hanging="576"/>
    </w:pPr>
  </w:style>
  <w:style w:type="paragraph" w:customStyle="1" w:styleId="BulletList3">
    <w:name w:val="Bullet List 3"/>
    <w:basedOn w:val="BulletList2"/>
    <w:uiPriority w:val="99"/>
    <w:rsid w:val="00BF65DA"/>
    <w:pPr>
      <w:numPr>
        <w:ilvl w:val="2"/>
      </w:numPr>
      <w:tabs>
        <w:tab w:val="num" w:pos="360"/>
        <w:tab w:val="num" w:pos="576"/>
        <w:tab w:val="num" w:pos="720"/>
        <w:tab w:val="num" w:pos="1021"/>
      </w:tabs>
      <w:ind w:left="720" w:hanging="720"/>
    </w:pPr>
  </w:style>
  <w:style w:type="paragraph" w:customStyle="1" w:styleId="BulletList4">
    <w:name w:val="Bullet List 4"/>
    <w:basedOn w:val="BulletList3"/>
    <w:uiPriority w:val="99"/>
    <w:rsid w:val="00BF65DA"/>
    <w:pPr>
      <w:numPr>
        <w:ilvl w:val="3"/>
      </w:numPr>
      <w:tabs>
        <w:tab w:val="clear" w:pos="1360"/>
        <w:tab w:val="num" w:pos="360"/>
        <w:tab w:val="num" w:pos="576"/>
        <w:tab w:val="num" w:pos="864"/>
        <w:tab w:val="num" w:pos="1361"/>
      </w:tabs>
      <w:ind w:left="864" w:hanging="864"/>
    </w:pPr>
  </w:style>
  <w:style w:type="paragraph" w:customStyle="1" w:styleId="BulletList5">
    <w:name w:val="Bullet List 5"/>
    <w:basedOn w:val="BulletList4"/>
    <w:uiPriority w:val="99"/>
    <w:rsid w:val="00BF65DA"/>
    <w:pPr>
      <w:numPr>
        <w:ilvl w:val="4"/>
      </w:numPr>
      <w:tabs>
        <w:tab w:val="clear" w:pos="1021"/>
        <w:tab w:val="num" w:pos="360"/>
        <w:tab w:val="num" w:pos="576"/>
        <w:tab w:val="num" w:pos="1008"/>
        <w:tab w:val="num" w:pos="2579"/>
      </w:tabs>
      <w:ind w:left="1008" w:hanging="1008"/>
    </w:pPr>
  </w:style>
  <w:style w:type="paragraph" w:customStyle="1" w:styleId="BulletList6">
    <w:name w:val="Bullet List 6"/>
    <w:basedOn w:val="BulletList5"/>
    <w:uiPriority w:val="99"/>
    <w:rsid w:val="00BF65DA"/>
    <w:pPr>
      <w:numPr>
        <w:ilvl w:val="5"/>
      </w:numPr>
      <w:tabs>
        <w:tab w:val="num" w:pos="360"/>
        <w:tab w:val="num" w:pos="576"/>
        <w:tab w:val="num" w:pos="1152"/>
        <w:tab w:val="num" w:pos="3299"/>
      </w:tabs>
      <w:ind w:left="1152" w:hanging="1152"/>
    </w:pPr>
  </w:style>
  <w:style w:type="paragraph" w:customStyle="1" w:styleId="BulletList7">
    <w:name w:val="Bullet List 7"/>
    <w:basedOn w:val="BulletList6"/>
    <w:uiPriority w:val="99"/>
    <w:rsid w:val="00BF65DA"/>
    <w:pPr>
      <w:numPr>
        <w:ilvl w:val="6"/>
      </w:numPr>
      <w:tabs>
        <w:tab w:val="num" w:pos="360"/>
        <w:tab w:val="num" w:pos="576"/>
        <w:tab w:val="num" w:pos="1296"/>
        <w:tab w:val="num" w:pos="4019"/>
      </w:tabs>
      <w:ind w:left="1296" w:hanging="1296"/>
    </w:pPr>
  </w:style>
  <w:style w:type="paragraph" w:customStyle="1" w:styleId="BulletList8">
    <w:name w:val="Bullet List 8"/>
    <w:basedOn w:val="BulletList7"/>
    <w:uiPriority w:val="99"/>
    <w:rsid w:val="00BF65DA"/>
    <w:pPr>
      <w:numPr>
        <w:ilvl w:val="7"/>
      </w:numPr>
      <w:tabs>
        <w:tab w:val="num" w:pos="360"/>
        <w:tab w:val="num" w:pos="576"/>
        <w:tab w:val="num" w:pos="1440"/>
        <w:tab w:val="num" w:pos="4739"/>
      </w:tabs>
      <w:ind w:left="1440" w:hanging="1440"/>
    </w:pPr>
  </w:style>
  <w:style w:type="paragraph" w:customStyle="1" w:styleId="BulletList9">
    <w:name w:val="Bullet List 9"/>
    <w:basedOn w:val="BulletList8"/>
    <w:uiPriority w:val="99"/>
    <w:rsid w:val="00BF65DA"/>
    <w:pPr>
      <w:numPr>
        <w:ilvl w:val="8"/>
      </w:numPr>
      <w:tabs>
        <w:tab w:val="num" w:pos="360"/>
        <w:tab w:val="num" w:pos="576"/>
        <w:tab w:val="num" w:pos="1584"/>
        <w:tab w:val="num" w:pos="5459"/>
      </w:tabs>
      <w:ind w:left="1584" w:hanging="1584"/>
    </w:pPr>
  </w:style>
  <w:style w:type="paragraph" w:styleId="ListParagraph">
    <w:name w:val="List Paragraph"/>
    <w:basedOn w:val="Normal"/>
    <w:uiPriority w:val="34"/>
    <w:qFormat/>
    <w:rsid w:val="00FF7FC0"/>
    <w:pPr>
      <w:ind w:left="720"/>
      <w:contextualSpacing/>
    </w:pPr>
  </w:style>
  <w:style w:type="character" w:customStyle="1" w:styleId="Heading2Char">
    <w:name w:val="Heading 2 Char"/>
    <w:aliases w:val="ECC Heading 2 Char,h2 Char,H2 Char,h21 Char,Heading Two Char,R2 Char,l2 Char,Sub-section Char"/>
    <w:basedOn w:val="DefaultParagraphFont"/>
    <w:link w:val="Heading2"/>
    <w:locked/>
    <w:rsid w:val="00E71FB2"/>
    <w:rPr>
      <w:rFonts w:ascii="Arial" w:hAnsi="Arial" w:cs="Arial"/>
      <w:b/>
      <w:bCs/>
      <w:iCs/>
      <w:caps/>
      <w:szCs w:val="28"/>
      <w:lang w:val="en-US"/>
    </w:rPr>
  </w:style>
  <w:style w:type="paragraph" w:customStyle="1" w:styleId="eccparagraph0">
    <w:name w:val="eccparagraph"/>
    <w:basedOn w:val="Normal"/>
    <w:uiPriority w:val="99"/>
    <w:rsid w:val="00E71FB2"/>
    <w:pPr>
      <w:spacing w:after="240"/>
      <w:jc w:val="both"/>
    </w:pPr>
    <w:rPr>
      <w:rFonts w:cs="Arial"/>
      <w:szCs w:val="20"/>
      <w:lang w:val="da-DK" w:eastAsia="da-DK"/>
    </w:rPr>
  </w:style>
  <w:style w:type="character" w:styleId="CommentReference">
    <w:name w:val="annotation reference"/>
    <w:basedOn w:val="DefaultParagraphFont"/>
    <w:uiPriority w:val="99"/>
    <w:semiHidden/>
    <w:unhideWhenUsed/>
    <w:rsid w:val="008A317D"/>
    <w:rPr>
      <w:sz w:val="16"/>
      <w:szCs w:val="16"/>
    </w:rPr>
  </w:style>
  <w:style w:type="paragraph" w:styleId="CommentText">
    <w:name w:val="annotation text"/>
    <w:basedOn w:val="Normal"/>
    <w:link w:val="CommentTextChar"/>
    <w:uiPriority w:val="99"/>
    <w:semiHidden/>
    <w:unhideWhenUsed/>
    <w:rsid w:val="008A317D"/>
    <w:rPr>
      <w:szCs w:val="20"/>
    </w:rPr>
  </w:style>
  <w:style w:type="character" w:customStyle="1" w:styleId="CommentTextChar">
    <w:name w:val="Comment Text Char"/>
    <w:basedOn w:val="DefaultParagraphFont"/>
    <w:link w:val="CommentText"/>
    <w:uiPriority w:val="99"/>
    <w:semiHidden/>
    <w:rsid w:val="008A317D"/>
    <w:rPr>
      <w:rFonts w:ascii="Arial" w:hAnsi="Arial"/>
      <w:lang w:val="en-US"/>
    </w:rPr>
  </w:style>
  <w:style w:type="paragraph" w:styleId="CommentSubject">
    <w:name w:val="annotation subject"/>
    <w:basedOn w:val="CommentText"/>
    <w:next w:val="CommentText"/>
    <w:link w:val="CommentSubjectChar"/>
    <w:uiPriority w:val="99"/>
    <w:semiHidden/>
    <w:unhideWhenUsed/>
    <w:rsid w:val="008A317D"/>
    <w:rPr>
      <w:b/>
      <w:bCs/>
    </w:rPr>
  </w:style>
  <w:style w:type="character" w:customStyle="1" w:styleId="CommentSubjectChar">
    <w:name w:val="Comment Subject Char"/>
    <w:basedOn w:val="CommentTextChar"/>
    <w:link w:val="CommentSubject"/>
    <w:uiPriority w:val="99"/>
    <w:semiHidden/>
    <w:rsid w:val="008A317D"/>
    <w:rPr>
      <w:rFonts w:ascii="Arial" w:hAnsi="Arial"/>
      <w:b/>
      <w:bCs/>
      <w:lang w:val="en-US"/>
    </w:rPr>
  </w:style>
  <w:style w:type="character" w:customStyle="1" w:styleId="ECCHLyellow">
    <w:name w:val="ECC HL yellow"/>
    <w:uiPriority w:val="1"/>
    <w:qFormat/>
    <w:rsid w:val="002D6DA6"/>
    <w:rPr>
      <w:rFonts w:eastAsia="Calibri"/>
      <w:i w:val="0"/>
      <w:szCs w:val="22"/>
      <w:bdr w:val="none" w:sz="0" w:space="0" w:color="auto"/>
      <w:shd w:val="solid" w:color="FFFF00" w:fill="auto"/>
      <w:lang w:val="en-GB"/>
    </w:rPr>
  </w:style>
  <w:style w:type="character" w:customStyle="1" w:styleId="ECCHLbold">
    <w:name w:val="ECC HL bold"/>
    <w:uiPriority w:val="1"/>
    <w:qFormat/>
    <w:rsid w:val="002D6DA6"/>
    <w:rPr>
      <w:b w:val="0"/>
      <w:bCs w:val="0"/>
    </w:rPr>
  </w:style>
  <w:style w:type="paragraph" w:styleId="Revision">
    <w:name w:val="Revision"/>
    <w:hidden/>
    <w:uiPriority w:val="99"/>
    <w:semiHidden/>
    <w:rsid w:val="009B2012"/>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223474">
      <w:bodyDiv w:val="1"/>
      <w:marLeft w:val="0"/>
      <w:marRight w:val="0"/>
      <w:marTop w:val="0"/>
      <w:marBottom w:val="0"/>
      <w:divBdr>
        <w:top w:val="none" w:sz="0" w:space="0" w:color="auto"/>
        <w:left w:val="none" w:sz="0" w:space="0" w:color="auto"/>
        <w:bottom w:val="none" w:sz="0" w:space="0" w:color="auto"/>
        <w:right w:val="none" w:sz="0" w:space="0" w:color="auto"/>
      </w:divBdr>
    </w:div>
    <w:div w:id="1207644450">
      <w:bodyDiv w:val="1"/>
      <w:marLeft w:val="0"/>
      <w:marRight w:val="0"/>
      <w:marTop w:val="0"/>
      <w:marBottom w:val="0"/>
      <w:divBdr>
        <w:top w:val="none" w:sz="0" w:space="0" w:color="auto"/>
        <w:left w:val="none" w:sz="0" w:space="0" w:color="auto"/>
        <w:bottom w:val="none" w:sz="0" w:space="0" w:color="auto"/>
        <w:right w:val="none" w:sz="0" w:space="0" w:color="auto"/>
      </w:divBdr>
      <w:divsChild>
        <w:div w:id="444544539">
          <w:marLeft w:val="0"/>
          <w:marRight w:val="0"/>
          <w:marTop w:val="0"/>
          <w:marBottom w:val="0"/>
          <w:divBdr>
            <w:top w:val="none" w:sz="0" w:space="0" w:color="auto"/>
            <w:left w:val="none" w:sz="0" w:space="0" w:color="auto"/>
            <w:bottom w:val="none" w:sz="0" w:space="0" w:color="auto"/>
            <w:right w:val="none" w:sz="0" w:space="0" w:color="auto"/>
          </w:divBdr>
        </w:div>
        <w:div w:id="1229343635">
          <w:marLeft w:val="0"/>
          <w:marRight w:val="0"/>
          <w:marTop w:val="0"/>
          <w:marBottom w:val="0"/>
          <w:divBdr>
            <w:top w:val="none" w:sz="0" w:space="0" w:color="auto"/>
            <w:left w:val="none" w:sz="0" w:space="0" w:color="auto"/>
            <w:bottom w:val="none" w:sz="0" w:space="0" w:color="auto"/>
            <w:right w:val="none" w:sz="0" w:space="0" w:color="auto"/>
          </w:divBdr>
        </w:div>
        <w:div w:id="1982033640">
          <w:marLeft w:val="0"/>
          <w:marRight w:val="0"/>
          <w:marTop w:val="0"/>
          <w:marBottom w:val="0"/>
          <w:divBdr>
            <w:top w:val="none" w:sz="0" w:space="0" w:color="auto"/>
            <w:left w:val="none" w:sz="0" w:space="0" w:color="auto"/>
            <w:bottom w:val="none" w:sz="0" w:space="0" w:color="auto"/>
            <w:right w:val="none" w:sz="0" w:space="0" w:color="auto"/>
          </w:divBdr>
        </w:div>
        <w:div w:id="1503549381">
          <w:marLeft w:val="0"/>
          <w:marRight w:val="0"/>
          <w:marTop w:val="0"/>
          <w:marBottom w:val="0"/>
          <w:divBdr>
            <w:top w:val="none" w:sz="0" w:space="0" w:color="auto"/>
            <w:left w:val="none" w:sz="0" w:space="0" w:color="auto"/>
            <w:bottom w:val="none" w:sz="0" w:space="0" w:color="auto"/>
            <w:right w:val="none" w:sz="0" w:space="0" w:color="auto"/>
          </w:divBdr>
        </w:div>
      </w:divsChild>
    </w:div>
    <w:div w:id="156749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1FC64-B35D-4A1A-922C-9614324F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7647</Words>
  <Characters>46653</Characters>
  <Application>Microsoft Office Word</Application>
  <DocSecurity>4</DocSecurity>
  <Lines>388</Lines>
  <Paragraphs>108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AtoS</Company>
  <LinksUpToDate>false</LinksUpToDate>
  <CharactersWithSpaces>54192</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Krämer</dc:creator>
  <cp:lastModifiedBy>Bente Pedersen</cp:lastModifiedBy>
  <cp:revision>2</cp:revision>
  <dcterms:created xsi:type="dcterms:W3CDTF">2016-03-01T11:39:00Z</dcterms:created>
  <dcterms:modified xsi:type="dcterms:W3CDTF">2016-03-01T11:39:00Z</dcterms:modified>
</cp:coreProperties>
</file>